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AA7AC">
      <w:pPr>
        <w:framePr w:hSpace="180" w:vSpace="180" w:wrap="auto" w:vAnchor="margin" w:hAnchor="margin" w:y="1" w:anchorLock="1"/>
        <w:jc w:val="left"/>
        <w:textAlignment w:val="center"/>
        <w:rPr>
          <w:rFonts w:ascii="Times New Roman" w:hAnsi="Times New Roman" w:eastAsia="黑体"/>
          <w:kern w:val="0"/>
          <w:szCs w:val="21"/>
        </w:rPr>
      </w:pPr>
      <w:bookmarkStart w:id="0" w:name="_Hlk87948272"/>
      <w:r>
        <w:rPr>
          <w:rFonts w:ascii="Times New Roman" w:hAnsi="Times New Roman" w:eastAsia="黑体"/>
          <w:b/>
          <w:kern w:val="0"/>
          <w:szCs w:val="21"/>
        </w:rPr>
        <w:t>ICS</w:t>
      </w:r>
      <w:r>
        <w:rPr>
          <w:rFonts w:ascii="Times New Roman" w:hAnsi="Times New Roman" w:eastAsia="MS Gothic"/>
          <w:kern w:val="0"/>
          <w:szCs w:val="21"/>
        </w:rPr>
        <w:t> </w:t>
      </w:r>
      <w:bookmarkStart w:id="1" w:name="ICS"/>
      <w:r>
        <w:rPr>
          <w:rFonts w:ascii="Times New Roman" w:hAnsi="Times New Roman" w:eastAsia="黑体"/>
          <w:kern w:val="0"/>
          <w:szCs w:val="21"/>
        </w:rPr>
        <w:fldChar w:fldCharType="begin">
          <w:ffData>
            <w:name w:val="ICS"/>
            <w:enabled/>
            <w:calcOnExit w:val="0"/>
            <w:textInput/>
          </w:ffData>
        </w:fldChar>
      </w:r>
      <w:r>
        <w:rPr>
          <w:rFonts w:ascii="Times New Roman" w:hAnsi="Times New Roman" w:eastAsia="黑体"/>
          <w:kern w:val="0"/>
          <w:szCs w:val="21"/>
        </w:rPr>
        <w:instrText xml:space="preserve"> FORMTEXT </w:instrText>
      </w:r>
      <w:r>
        <w:rPr>
          <w:rFonts w:ascii="Times New Roman" w:hAnsi="Times New Roman" w:eastAsia="黑体"/>
          <w:kern w:val="0"/>
          <w:szCs w:val="21"/>
        </w:rPr>
        <w:fldChar w:fldCharType="separate"/>
      </w:r>
      <w:r>
        <w:rPr>
          <w:rFonts w:ascii="Times New Roman" w:hAnsi="Times New Roman" w:eastAsia="黑体"/>
          <w:kern w:val="0"/>
          <w:szCs w:val="21"/>
        </w:rPr>
        <w:t>91.120.30</w:t>
      </w:r>
      <w:r>
        <w:rPr>
          <w:rFonts w:ascii="Times New Roman" w:hAnsi="Times New Roman" w:eastAsia="黑体"/>
          <w:kern w:val="0"/>
          <w:szCs w:val="21"/>
        </w:rPr>
        <w:fldChar w:fldCharType="end"/>
      </w:r>
      <w:bookmarkEnd w:id="1"/>
    </w:p>
    <w:p w14:paraId="2031C5BD">
      <w:pPr>
        <w:framePr w:hSpace="180" w:vSpace="180" w:wrap="auto" w:vAnchor="margin" w:hAnchor="margin" w:y="1" w:anchorLock="1"/>
        <w:jc w:val="left"/>
        <w:textAlignment w:val="center"/>
        <w:rPr>
          <w:rFonts w:ascii="Times New Roman" w:hAnsi="Times New Roman" w:eastAsia="黑体"/>
          <w:kern w:val="0"/>
          <w:szCs w:val="21"/>
        </w:rPr>
      </w:pPr>
      <w:r>
        <w:rPr>
          <w:rFonts w:ascii="Times New Roman" w:hAnsi="Times New Roman" w:eastAsia="黑体"/>
          <w:kern w:val="0"/>
          <w:szCs w:val="21"/>
        </w:rPr>
        <w:fldChar w:fldCharType="begin">
          <w:ffData>
            <w:name w:val="WXFLH"/>
            <w:enabled/>
            <w:calcOnExit w:val="0"/>
            <w:textInput>
              <w:default w:val="Q17"/>
            </w:textInput>
          </w:ffData>
        </w:fldChar>
      </w:r>
      <w:bookmarkStart w:id="2" w:name="WXFLH"/>
      <w:r>
        <w:rPr>
          <w:rFonts w:ascii="Times New Roman" w:hAnsi="Times New Roman" w:eastAsia="黑体"/>
          <w:kern w:val="0"/>
          <w:szCs w:val="21"/>
        </w:rPr>
        <w:instrText xml:space="preserve"> FORMTEXT </w:instrText>
      </w:r>
      <w:r>
        <w:rPr>
          <w:rFonts w:ascii="Times New Roman" w:hAnsi="Times New Roman" w:eastAsia="黑体"/>
          <w:kern w:val="0"/>
          <w:szCs w:val="21"/>
        </w:rPr>
        <w:fldChar w:fldCharType="separate"/>
      </w:r>
      <w:r>
        <w:rPr>
          <w:rFonts w:ascii="Times New Roman" w:hAnsi="Times New Roman" w:eastAsia="黑体"/>
          <w:kern w:val="0"/>
          <w:szCs w:val="21"/>
        </w:rPr>
        <w:t>Q17</w:t>
      </w:r>
      <w:r>
        <w:rPr>
          <w:rFonts w:ascii="Times New Roman" w:hAnsi="Times New Roman" w:eastAsia="黑体"/>
          <w:kern w:val="0"/>
          <w:szCs w:val="21"/>
        </w:rPr>
        <w:fldChar w:fldCharType="end"/>
      </w:r>
      <w:bookmarkEnd w:id="2"/>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71"/>
      </w:tblGrid>
      <w:tr w14:paraId="59CA3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4" w:type="dxa"/>
            <w:tcBorders>
              <w:top w:val="nil"/>
              <w:left w:val="nil"/>
              <w:bottom w:val="nil"/>
              <w:right w:val="nil"/>
            </w:tcBorders>
          </w:tcPr>
          <w:p w14:paraId="3F21B709">
            <w:pPr>
              <w:framePr w:hSpace="180" w:vSpace="180" w:wrap="auto" w:vAnchor="margin" w:hAnchor="margin" w:y="1" w:anchorLock="1"/>
              <w:jc w:val="left"/>
              <w:textAlignment w:val="center"/>
              <w:rPr>
                <w:rFonts w:ascii="Times New Roman" w:hAnsi="Times New Roman" w:eastAsia="黑体"/>
                <w:kern w:val="0"/>
                <w:szCs w:val="21"/>
              </w:rPr>
            </w:pPr>
            <w:r>
              <w:rPr>
                <w:rFonts w:ascii="Times New Roman" w:hAnsi="Times New Roman" w:eastAsia="黑体"/>
                <w:kern w:val="0"/>
                <w:szCs w:val="21"/>
              </w:rPr>
              <mc:AlternateContent>
                <mc:Choice Requires="wps">
                  <w:drawing>
                    <wp:anchor distT="0" distB="0" distL="114300" distR="114300" simplePos="0" relativeHeight="251661312" behindDoc="1" locked="0" layoutInCell="1" allowOverlap="1">
                      <wp:simplePos x="0" y="0"/>
                      <wp:positionH relativeFrom="column">
                        <wp:posOffset>-66675</wp:posOffset>
                      </wp:positionH>
                      <wp:positionV relativeFrom="paragraph">
                        <wp:posOffset>0</wp:posOffset>
                      </wp:positionV>
                      <wp:extent cx="866775" cy="198120"/>
                      <wp:effectExtent l="0" t="0" r="1905" b="0"/>
                      <wp:wrapNone/>
                      <wp:docPr id="2" name="矩形 2"/>
                      <wp:cNvGraphicFramePr/>
                      <a:graphic xmlns:a="http://schemas.openxmlformats.org/drawingml/2006/main">
                        <a:graphicData uri="http://schemas.microsoft.com/office/word/2010/wordprocessingShape">
                          <wps:wsp>
                            <wps:cNvSpPr/>
                            <wps:spPr>
                              <a:xfrm>
                                <a:off x="0" y="0"/>
                                <a:ext cx="866775" cy="19812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25pt;margin-top:0pt;height:15.6pt;width:68.25pt;z-index:-251655168;mso-width-relative:page;mso-height-relative:page;" fillcolor="#FFFFFF" filled="t"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Iri/s&#10;1QAAAAcBAAAPAAAAAAAAAAEAIAAAACIAAABkcnMvZG93bnJldi54bWxQSwECFAAUAAAACACHTuJA&#10;d6NCF7IBAABeAwAADgAAAAAAAAABACAAAAAkAQAAZHJzL2Uyb0RvYy54bWxQSwUGAAAAAAYABgBZ&#10;AQAASAUAAAAA&#10;">
                      <v:fill on="t" focussize="0,0"/>
                      <v:stroke on="f"/>
                      <v:imagedata o:title=""/>
                      <o:lock v:ext="edit" aspectratio="f"/>
                    </v:rect>
                  </w:pict>
                </mc:Fallback>
              </mc:AlternateContent>
            </w:r>
            <w:bookmarkStart w:id="3" w:name="BAH"/>
            <w:r>
              <w:rPr>
                <w:rFonts w:ascii="Times New Roman" w:hAnsi="Times New Roman" w:eastAsia="黑体"/>
                <w:kern w:val="0"/>
                <w:szCs w:val="21"/>
              </w:rPr>
              <w:fldChar w:fldCharType="begin">
                <w:ffData>
                  <w:name w:val="BAH"/>
                  <w:enabled/>
                  <w:calcOnExit w:val="0"/>
                  <w:textInput/>
                </w:ffData>
              </w:fldChar>
            </w:r>
            <w:r>
              <w:rPr>
                <w:rFonts w:ascii="Times New Roman" w:hAnsi="Times New Roman" w:eastAsia="黑体"/>
                <w:kern w:val="0"/>
                <w:szCs w:val="21"/>
              </w:rPr>
              <w:instrText xml:space="preserve"> FORMTEXT </w:instrText>
            </w:r>
            <w:r>
              <w:rPr>
                <w:rFonts w:ascii="Times New Roman" w:hAnsi="Times New Roman" w:eastAsia="黑体"/>
                <w:kern w:val="0"/>
                <w:szCs w:val="21"/>
              </w:rPr>
              <w:fldChar w:fldCharType="separate"/>
            </w:r>
            <w:r>
              <w:rPr>
                <w:rFonts w:ascii="Times New Roman" w:hAnsi="Times New Roman" w:eastAsia="黑体"/>
                <w:kern w:val="0"/>
                <w:szCs w:val="21"/>
              </w:rPr>
              <w:t>备案号：XXXXX</w:t>
            </w:r>
            <w:r>
              <w:rPr>
                <w:rFonts w:ascii="Times New Roman" w:hAnsi="Times New Roman" w:eastAsia="黑体"/>
                <w:kern w:val="0"/>
                <w:szCs w:val="21"/>
              </w:rPr>
              <w:fldChar w:fldCharType="end"/>
            </w:r>
            <w:bookmarkEnd w:id="3"/>
          </w:p>
        </w:tc>
      </w:tr>
    </w:tbl>
    <w:p w14:paraId="4DFD9792">
      <w:pPr>
        <w:framePr w:w="2546" w:h="1389" w:hRule="exact" w:hSpace="181" w:vSpace="181" w:wrap="auto" w:vAnchor="margin" w:hAnchor="margin" w:x="6522" w:y="398" w:anchorLock="1"/>
        <w:widowControl/>
        <w:shd w:val="solid" w:color="FFFFFF" w:fill="FFFFFF"/>
        <w:spacing w:line="240" w:lineRule="atLeast"/>
        <w:jc w:val="right"/>
        <w:rPr>
          <w:rFonts w:ascii="Times New Roman" w:hAnsi="Times New Roman"/>
          <w:b/>
          <w:w w:val="170"/>
          <w:kern w:val="0"/>
          <w:sz w:val="96"/>
          <w:szCs w:val="96"/>
        </w:rPr>
      </w:pPr>
      <w:r>
        <w:rPr>
          <w:rFonts w:ascii="Times New Roman" w:hAnsi="Times New Roman"/>
          <w:b/>
          <w:w w:val="170"/>
          <w:kern w:val="0"/>
          <w:sz w:val="96"/>
          <w:szCs w:val="96"/>
        </w:rPr>
        <w:fldChar w:fldCharType="begin">
          <w:ffData>
            <w:name w:val="c1"/>
            <w:enabled/>
            <w:calcOnExit w:val="0"/>
            <w:textInput>
              <w:default w:val="T"/>
              <w:maxLength w:val="2"/>
            </w:textInput>
          </w:ffData>
        </w:fldChar>
      </w:r>
      <w:bookmarkStart w:id="4" w:name="c1"/>
      <w:r>
        <w:rPr>
          <w:rFonts w:ascii="Times New Roman" w:hAnsi="Times New Roman"/>
          <w:b/>
          <w:w w:val="170"/>
          <w:kern w:val="0"/>
          <w:sz w:val="96"/>
          <w:szCs w:val="96"/>
        </w:rPr>
        <w:instrText xml:space="preserve"> FORMTEXT </w:instrText>
      </w:r>
      <w:r>
        <w:rPr>
          <w:rFonts w:ascii="Times New Roman" w:hAnsi="Times New Roman"/>
          <w:b/>
          <w:w w:val="170"/>
          <w:kern w:val="0"/>
          <w:sz w:val="96"/>
          <w:szCs w:val="96"/>
        </w:rPr>
        <w:fldChar w:fldCharType="separate"/>
      </w:r>
      <w:r>
        <w:rPr>
          <w:rFonts w:ascii="Times New Roman" w:hAnsi="Times New Roman"/>
          <w:b/>
          <w:w w:val="170"/>
          <w:kern w:val="0"/>
          <w:sz w:val="96"/>
          <w:szCs w:val="96"/>
        </w:rPr>
        <w:t>T</w:t>
      </w:r>
      <w:r>
        <w:rPr>
          <w:rFonts w:ascii="Times New Roman" w:hAnsi="Times New Roman"/>
          <w:b/>
          <w:w w:val="170"/>
          <w:kern w:val="0"/>
          <w:sz w:val="96"/>
          <w:szCs w:val="96"/>
        </w:rPr>
        <w:fldChar w:fldCharType="end"/>
      </w:r>
      <w:bookmarkEnd w:id="4"/>
    </w:p>
    <w:p w14:paraId="5FB5F2FF">
      <w:pPr>
        <w:framePr w:hSpace="181" w:vSpace="181" w:wrap="auto" w:vAnchor="page" w:hAnchor="page" w:x="1419" w:y="2286" w:anchorLock="1"/>
        <w:widowControl/>
        <w:spacing w:line="240" w:lineRule="atLeast"/>
        <w:jc w:val="distribute"/>
        <w:rPr>
          <w:rFonts w:ascii="Times New Roman" w:hAnsi="Times New Roman" w:eastAsia="黑体"/>
          <w:spacing w:val="-40"/>
          <w:kern w:val="0"/>
          <w:sz w:val="48"/>
          <w:szCs w:val="52"/>
        </w:rPr>
      </w:pPr>
      <w:bookmarkStart w:id="5" w:name="_Hlk87948421"/>
      <w:r>
        <w:rPr>
          <w:rFonts w:ascii="Times New Roman" w:hAnsi="Times New Roman" w:eastAsia="黑体"/>
          <w:spacing w:val="-40"/>
          <w:kern w:val="0"/>
          <w:sz w:val="48"/>
          <w:szCs w:val="52"/>
        </w:rPr>
        <w:t>中国工程建设标准化协会团体标准</w:t>
      </w:r>
    </w:p>
    <w:bookmarkEnd w:id="5"/>
    <w:p w14:paraId="36BE8DB1">
      <w:pPr>
        <w:framePr w:w="9140" w:h="1264" w:hRule="exact" w:hSpace="284" w:wrap="auto" w:vAnchor="page" w:hAnchor="page" w:x="1645" w:y="2910" w:anchorLock="1"/>
        <w:widowControl/>
        <w:spacing w:before="357" w:line="280" w:lineRule="exact"/>
        <w:jc w:val="right"/>
        <w:rPr>
          <w:rFonts w:ascii="Times New Roman" w:hAnsi="Times New Roman" w:eastAsia="黑体"/>
          <w:kern w:val="0"/>
          <w:sz w:val="28"/>
          <w:szCs w:val="28"/>
        </w:rPr>
      </w:pPr>
      <w:r>
        <w:rPr>
          <w:rFonts w:ascii="Times New Roman" w:hAnsi="Times New Roman" w:eastAsia="黑体"/>
          <w:b/>
          <w:kern w:val="0"/>
          <w:sz w:val="28"/>
          <w:szCs w:val="28"/>
        </w:rPr>
        <w:t>T/</w:t>
      </w:r>
      <w:bookmarkStart w:id="6" w:name="StdNo1"/>
      <w:r>
        <w:rPr>
          <w:rFonts w:ascii="Times New Roman" w:hAnsi="Times New Roman" w:eastAsia="黑体"/>
          <w:b/>
          <w:kern w:val="0"/>
          <w:sz w:val="28"/>
          <w:szCs w:val="28"/>
        </w:rPr>
        <w:t xml:space="preserve">CECS </w:t>
      </w:r>
      <w:r>
        <w:rPr>
          <w:rFonts w:ascii="Times New Roman" w:hAnsi="Times New Roman" w:eastAsia="黑体"/>
          <w:kern w:val="0"/>
          <w:sz w:val="28"/>
          <w:szCs w:val="28"/>
        </w:rPr>
        <w:fldChar w:fldCharType="begin">
          <w:ffData>
            <w:enabled/>
            <w:calcOnExit w:val="0"/>
            <w:textInput>
              <w:default w:val="×××"/>
            </w:textInput>
          </w:ffData>
        </w:fldChar>
      </w:r>
      <w:r>
        <w:rPr>
          <w:rFonts w:ascii="Times New Roman" w:hAnsi="Times New Roman" w:eastAsia="黑体"/>
          <w:kern w:val="0"/>
          <w:sz w:val="28"/>
          <w:szCs w:val="28"/>
        </w:rPr>
        <w:instrText xml:space="preserve"> FORMTEXT </w:instrText>
      </w:r>
      <w:r>
        <w:rPr>
          <w:rFonts w:ascii="Times New Roman" w:hAnsi="Times New Roman" w:eastAsia="黑体"/>
          <w:kern w:val="0"/>
          <w:sz w:val="28"/>
          <w:szCs w:val="28"/>
        </w:rPr>
        <w:fldChar w:fldCharType="separate"/>
      </w:r>
      <w:r>
        <w:rPr>
          <w:rFonts w:ascii="Times New Roman" w:hAnsi="Times New Roman" w:eastAsia="黑体"/>
          <w:kern w:val="0"/>
          <w:sz w:val="28"/>
          <w:szCs w:val="28"/>
        </w:rPr>
        <w:t>×××</w:t>
      </w:r>
      <w:r>
        <w:rPr>
          <w:rFonts w:ascii="Times New Roman" w:hAnsi="Times New Roman" w:eastAsia="黑体"/>
          <w:kern w:val="0"/>
          <w:sz w:val="28"/>
          <w:szCs w:val="28"/>
        </w:rPr>
        <w:fldChar w:fldCharType="end"/>
      </w:r>
      <w:bookmarkEnd w:id="6"/>
      <w:r>
        <w:rPr>
          <w:rFonts w:ascii="Times New Roman" w:hAnsi="Times New Roman" w:eastAsia="黑体"/>
          <w:kern w:val="0"/>
          <w:sz w:val="28"/>
          <w:szCs w:val="28"/>
        </w:rPr>
        <w:t>—</w:t>
      </w:r>
      <w:bookmarkStart w:id="7" w:name="StdNo2"/>
      <w:r>
        <w:rPr>
          <w:rFonts w:ascii="Times New Roman" w:hAnsi="Times New Roman" w:eastAsia="黑体"/>
          <w:kern w:val="0"/>
          <w:sz w:val="28"/>
          <w:szCs w:val="28"/>
        </w:rPr>
        <w:fldChar w:fldCharType="begin">
          <w:ffData>
            <w:name w:val="StdNo2"/>
            <w:enabled/>
            <w:calcOnExit w:val="0"/>
            <w:textInput>
              <w:default w:val="XXXX"/>
              <w:maxLength w:val="4"/>
            </w:textInput>
          </w:ffData>
        </w:fldChar>
      </w:r>
      <w:r>
        <w:rPr>
          <w:rFonts w:ascii="Times New Roman" w:hAnsi="Times New Roman" w:eastAsia="黑体"/>
          <w:kern w:val="0"/>
          <w:sz w:val="28"/>
          <w:szCs w:val="28"/>
        </w:rPr>
        <w:instrText xml:space="preserve"> FORMTEXT </w:instrText>
      </w:r>
      <w:r>
        <w:rPr>
          <w:rFonts w:ascii="Times New Roman" w:hAnsi="Times New Roman" w:eastAsia="黑体"/>
          <w:kern w:val="0"/>
          <w:sz w:val="28"/>
          <w:szCs w:val="28"/>
        </w:rPr>
        <w:fldChar w:fldCharType="separate"/>
      </w:r>
      <w:r>
        <w:rPr>
          <w:rFonts w:ascii="Times New Roman" w:hAnsi="Times New Roman" w:eastAsia="黑体"/>
          <w:kern w:val="0"/>
          <w:sz w:val="28"/>
          <w:szCs w:val="28"/>
        </w:rPr>
        <w:t>201X</w:t>
      </w:r>
      <w:r>
        <w:rPr>
          <w:rFonts w:ascii="Times New Roman" w:hAnsi="Times New Roman" w:eastAsia="黑体"/>
          <w:kern w:val="0"/>
          <w:sz w:val="28"/>
          <w:szCs w:val="28"/>
        </w:rPr>
        <w:fldChar w:fldCharType="end"/>
      </w:r>
      <w:bookmarkEnd w:id="7"/>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6"/>
      </w:tblGrid>
      <w:tr w14:paraId="3BDCA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14:paraId="3ECFB91D">
            <w:pPr>
              <w:framePr w:w="9140" w:h="1264" w:hRule="exact" w:hSpace="284" w:wrap="auto" w:vAnchor="page" w:hAnchor="page" w:x="1645" w:y="2910" w:anchorLock="1"/>
              <w:widowControl/>
              <w:spacing w:before="357" w:line="280" w:lineRule="exact"/>
              <w:jc w:val="right"/>
              <w:rPr>
                <w:rFonts w:ascii="Times New Roman" w:hAnsi="Times New Roman"/>
                <w:kern w:val="0"/>
                <w:sz w:val="24"/>
              </w:rPr>
            </w:pPr>
            <w:bookmarkStart w:id="8" w:name="DT"/>
          </w:p>
          <w:bookmarkEnd w:id="8"/>
          <w:p w14:paraId="63B8D908">
            <w:pPr>
              <w:framePr w:w="9140" w:h="1264" w:hRule="exact" w:hSpace="284" w:wrap="auto" w:vAnchor="page" w:hAnchor="page" w:x="1645" w:y="2910" w:anchorLock="1"/>
              <w:widowControl/>
              <w:spacing w:before="57" w:line="280" w:lineRule="exact"/>
              <w:jc w:val="right"/>
              <w:rPr>
                <w:rFonts w:ascii="Times New Roman" w:hAnsi="Times New Roman"/>
                <w:kern w:val="0"/>
                <w:szCs w:val="21"/>
              </w:rPr>
            </w:pPr>
          </w:p>
        </w:tc>
      </w:tr>
      <w:tr w14:paraId="3B54F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14:paraId="6A8D3A29">
            <w:pPr>
              <w:framePr w:w="9140" w:h="1264" w:hRule="exact" w:hSpace="284" w:wrap="auto" w:vAnchor="page" w:hAnchor="page" w:x="1645" w:y="2910" w:anchorLock="1"/>
              <w:widowControl/>
              <w:spacing w:before="57" w:line="280" w:lineRule="exact"/>
              <w:jc w:val="right"/>
              <w:rPr>
                <w:rFonts w:ascii="Times New Roman" w:hAnsi="Times New Roman"/>
                <w:kern w:val="0"/>
                <w:szCs w:val="21"/>
              </w:rPr>
            </w:pPr>
          </w:p>
        </w:tc>
      </w:tr>
    </w:tbl>
    <w:p w14:paraId="605AFAF4">
      <w:pPr>
        <w:framePr w:w="9140" w:h="1264" w:hRule="exact" w:hSpace="284" w:wrap="auto" w:vAnchor="page" w:hAnchor="page" w:x="1645" w:y="2910" w:anchorLock="1"/>
        <w:widowControl/>
        <w:spacing w:before="357" w:line="280" w:lineRule="exact"/>
        <w:jc w:val="right"/>
        <w:rPr>
          <w:rFonts w:ascii="Times New Roman" w:hAnsi="Times New Roman" w:eastAsia="黑体"/>
          <w:kern w:val="0"/>
          <w:sz w:val="28"/>
          <w:szCs w:val="28"/>
        </w:rPr>
      </w:pPr>
    </w:p>
    <w:p w14:paraId="3ED03810">
      <w:pPr>
        <w:framePr w:w="9140" w:h="1264" w:hRule="exact" w:hSpace="284" w:wrap="auto" w:vAnchor="page" w:hAnchor="page" w:x="1645" w:y="2910" w:anchorLock="1"/>
        <w:widowControl/>
        <w:spacing w:before="357" w:line="280" w:lineRule="exact"/>
        <w:jc w:val="right"/>
        <w:rPr>
          <w:rFonts w:ascii="Times New Roman" w:hAnsi="Times New Roman" w:eastAsia="黑体"/>
          <w:kern w:val="0"/>
          <w:sz w:val="28"/>
          <w:szCs w:val="28"/>
        </w:rPr>
      </w:pPr>
    </w:p>
    <w:p w14:paraId="42C5D733">
      <w:pPr>
        <w:framePr w:w="9639" w:h="6917" w:hRule="exact" w:wrap="auto" w:vAnchor="page" w:hAnchor="page" w:x="1486" w:y="4201" w:anchorLock="1"/>
        <w:spacing w:line="680" w:lineRule="exact"/>
        <w:jc w:val="center"/>
        <w:textAlignment w:val="center"/>
        <w:rPr>
          <w:rFonts w:hint="eastAsia" w:ascii="Times New Roman" w:hAnsi="Times New Roman" w:eastAsia="黑体"/>
          <w:kern w:val="0"/>
          <w:sz w:val="52"/>
          <w:szCs w:val="20"/>
        </w:rPr>
      </w:pPr>
    </w:p>
    <w:p w14:paraId="7F4A66F0">
      <w:pPr>
        <w:framePr w:w="9639" w:h="6917" w:hRule="exact" w:wrap="auto" w:vAnchor="page" w:hAnchor="page" w:x="1486" w:y="4201" w:anchorLock="1"/>
        <w:spacing w:line="680" w:lineRule="exact"/>
        <w:jc w:val="center"/>
        <w:textAlignment w:val="center"/>
        <w:rPr>
          <w:rFonts w:hint="eastAsia" w:ascii="Times New Roman" w:hAnsi="Times New Roman" w:eastAsia="黑体"/>
          <w:kern w:val="0"/>
          <w:sz w:val="52"/>
          <w:szCs w:val="20"/>
        </w:rPr>
      </w:pPr>
    </w:p>
    <w:p w14:paraId="2D6DE242">
      <w:pPr>
        <w:framePr w:w="9639" w:h="6917" w:hRule="exact" w:wrap="auto" w:vAnchor="page" w:hAnchor="page" w:x="1486" w:y="4201" w:anchorLock="1"/>
        <w:spacing w:line="680" w:lineRule="exact"/>
        <w:jc w:val="center"/>
        <w:textAlignment w:val="center"/>
        <w:rPr>
          <w:rFonts w:hint="eastAsia" w:ascii="Times New Roman" w:hAnsi="Times New Roman" w:eastAsia="黑体"/>
          <w:kern w:val="0"/>
          <w:sz w:val="52"/>
          <w:szCs w:val="20"/>
        </w:rPr>
      </w:pPr>
    </w:p>
    <w:p w14:paraId="78DE1FAC">
      <w:pPr>
        <w:framePr w:w="9639" w:h="6917" w:hRule="exact" w:wrap="auto" w:vAnchor="page" w:hAnchor="page" w:x="1486" w:y="4201" w:anchorLock="1"/>
        <w:spacing w:line="680" w:lineRule="exact"/>
        <w:jc w:val="center"/>
        <w:textAlignment w:val="center"/>
        <w:rPr>
          <w:rFonts w:ascii="Times New Roman" w:hAnsi="Times New Roman" w:eastAsia="黑体"/>
          <w:kern w:val="0"/>
          <w:sz w:val="52"/>
          <w:szCs w:val="20"/>
        </w:rPr>
      </w:pPr>
      <w:r>
        <w:rPr>
          <w:rFonts w:hint="eastAsia" w:ascii="Times New Roman" w:hAnsi="Times New Roman" w:eastAsia="黑体"/>
          <w:kern w:val="0"/>
          <w:sz w:val="52"/>
          <w:szCs w:val="20"/>
        </w:rPr>
        <w:t>种植屋面用防排水系统技术规程</w:t>
      </w:r>
    </w:p>
    <w:p w14:paraId="1844B648">
      <w:pPr>
        <w:framePr w:w="9639" w:h="6917" w:hRule="exact" w:wrap="auto" w:vAnchor="page" w:hAnchor="page" w:x="1486" w:y="4201" w:anchorLock="1"/>
        <w:adjustRightInd w:val="0"/>
        <w:jc w:val="center"/>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Technical Specification for Waterproof and Drainage System for Green Roofs</w:t>
      </w:r>
    </w:p>
    <w:p w14:paraId="60F28C52">
      <w:pPr>
        <w:framePr w:w="9639" w:h="6917" w:hRule="exact" w:wrap="auto" w:vAnchor="page" w:hAnchor="page" w:x="1486" w:y="4201" w:anchorLock="1"/>
        <w:spacing w:before="370" w:line="400" w:lineRule="exact"/>
        <w:jc w:val="center"/>
        <w:textAlignment w:val="center"/>
        <w:rPr>
          <w:rFonts w:ascii="Times New Roman" w:hAnsi="Times New Roman" w:eastAsia="黑体"/>
          <w:kern w:val="0"/>
          <w:sz w:val="28"/>
          <w:szCs w:val="28"/>
        </w:rPr>
      </w:pPr>
    </w:p>
    <w:p w14:paraId="4B9DD51A">
      <w:pPr>
        <w:framePr w:w="9639" w:h="6917" w:hRule="exact" w:wrap="auto" w:vAnchor="page" w:hAnchor="page" w:x="1486" w:y="4201" w:anchorLock="1"/>
        <w:spacing w:before="370" w:line="400" w:lineRule="exact"/>
        <w:jc w:val="center"/>
        <w:textAlignment w:val="center"/>
        <w:rPr>
          <w:rFonts w:ascii="Times New Roman" w:hAnsi="Times New Roman" w:eastAsia="黑体"/>
          <w:b/>
          <w:kern w:val="0"/>
          <w:sz w:val="28"/>
          <w:szCs w:val="28"/>
        </w:rPr>
      </w:pPr>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14:paraId="720D0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14:paraId="178A90C0">
            <w:pPr>
              <w:framePr w:w="9639" w:h="6917" w:hRule="exact" w:wrap="auto" w:vAnchor="page" w:hAnchor="page" w:x="1486" w:y="4201" w:anchorLock="1"/>
              <w:spacing w:before="440" w:after="160"/>
              <w:jc w:val="center"/>
              <w:textAlignment w:val="center"/>
              <w:rPr>
                <w:rFonts w:ascii="Times New Roman" w:hAnsi="Times New Roman"/>
                <w:kern w:val="0"/>
                <w:sz w:val="24"/>
                <w:szCs w:val="28"/>
              </w:rPr>
            </w:pPr>
            <w:r>
              <w:rPr>
                <w:kern w:val="0"/>
                <w:sz w:val="24"/>
                <w:szCs w:val="28"/>
              </w:rPr>
              <w:t>（</w:t>
            </w:r>
            <w:r>
              <w:rPr>
                <w:rFonts w:hint="eastAsia"/>
                <w:kern w:val="0"/>
                <w:sz w:val="24"/>
                <w:szCs w:val="28"/>
                <w:lang w:val="en-US" w:eastAsia="zh-CN"/>
              </w:rPr>
              <w:t>征求意见</w:t>
            </w:r>
            <w:r>
              <w:rPr>
                <w:kern w:val="0"/>
                <w:sz w:val="24"/>
                <w:szCs w:val="28"/>
              </w:rPr>
              <w:t>稿）</w:t>
            </w:r>
            <w:r>
              <w:rPr>
                <w:rFonts w:ascii="Times New Roman" w:hAnsi="Times New Roman"/>
                <w:kern w:val="0"/>
                <w:sz w:val="24"/>
                <w:szCs w:val="28"/>
              </w:rPr>
              <mc:AlternateContent>
                <mc:Choice Requires="wps">
                  <w:drawing>
                    <wp:anchor distT="0" distB="0" distL="114300" distR="114300" simplePos="0" relativeHeight="251660288" behindDoc="1" locked="1" layoutInCell="1" allowOverlap="1">
                      <wp:simplePos x="0" y="0"/>
                      <wp:positionH relativeFrom="column">
                        <wp:posOffset>2200910</wp:posOffset>
                      </wp:positionH>
                      <wp:positionV relativeFrom="paragraph">
                        <wp:posOffset>4281805</wp:posOffset>
                      </wp:positionV>
                      <wp:extent cx="1905000" cy="254000"/>
                      <wp:effectExtent l="0" t="0" r="0" b="5080"/>
                      <wp:wrapNone/>
                      <wp:docPr id="1" name="矩形 1"/>
                      <wp:cNvGraphicFramePr/>
                      <a:graphic xmlns:a="http://schemas.openxmlformats.org/drawingml/2006/main">
                        <a:graphicData uri="http://schemas.microsoft.com/office/word/2010/wordprocessingShape">
                          <wps:wsp>
                            <wps:cNvSpPr/>
                            <wps:spPr>
                              <a:xfrm>
                                <a:off x="0" y="0"/>
                                <a:ext cx="1905000" cy="2540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73.3pt;margin-top:337.15pt;height:20pt;width:150pt;z-index:-251656192;mso-width-relative:page;mso-height-relative:page;" fillcolor="#FFFFFF" filled="t" stroked="f" coordsize="21600,21600" o:gfxdata="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9f34NcA&#10;AAALAQAADwAAAAAAAAABACAAAAAiAAAAZHJzL2Rvd25yZXYueG1sUEsBAhQAFAAAAAgAh07iQOzj&#10;v9WuAQAAXwMAAA4AAAAAAAAAAQAgAAAAJgEAAGRycy9lMm9Eb2MueG1sUEsFBgAAAAAGAAYAWQEA&#10;AEYFAAAAAA==&#10;">
                      <v:fill on="t" focussize="0,0"/>
                      <v:stroke on="f"/>
                      <v:imagedata o:title=""/>
                      <o:lock v:ext="edit" aspectratio="f"/>
                      <w10:anchorlock/>
                    </v:rect>
                  </w:pict>
                </mc:Fallback>
              </mc:AlternateContent>
            </w:r>
          </w:p>
        </w:tc>
      </w:tr>
      <w:tr w14:paraId="42157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14:paraId="4BC4C4C0">
            <w:pPr>
              <w:framePr w:w="9639" w:h="6917" w:hRule="exact" w:wrap="auto" w:vAnchor="page" w:hAnchor="page" w:x="1486" w:y="4201" w:anchorLock="1"/>
              <w:spacing w:before="180" w:after="160" w:line="180" w:lineRule="exact"/>
              <w:textAlignment w:val="center"/>
              <w:rPr>
                <w:rFonts w:ascii="Times New Roman" w:hAnsi="Times New Roman"/>
                <w:kern w:val="0"/>
                <w:szCs w:val="28"/>
              </w:rPr>
            </w:pPr>
          </w:p>
          <w:p w14:paraId="3093671A">
            <w:pPr>
              <w:framePr w:w="9639" w:h="6917" w:hRule="exact" w:wrap="auto" w:vAnchor="page" w:hAnchor="page" w:x="1486" w:y="4201" w:anchorLock="1"/>
              <w:spacing w:before="180" w:after="160" w:line="180" w:lineRule="exact"/>
              <w:textAlignment w:val="center"/>
              <w:rPr>
                <w:rFonts w:ascii="Times New Roman" w:hAnsi="Times New Roman"/>
                <w:kern w:val="0"/>
                <w:szCs w:val="28"/>
              </w:rPr>
            </w:pPr>
          </w:p>
        </w:tc>
      </w:tr>
    </w:tbl>
    <w:p w14:paraId="504315E8">
      <w:pPr>
        <w:framePr w:w="3997" w:h="471" w:hRule="exact" w:vSpace="181" w:wrap="auto" w:vAnchor="page" w:hAnchor="page" w:x="1208" w:y="14140" w:anchorLock="1"/>
        <w:widowControl/>
        <w:jc w:val="left"/>
        <w:rPr>
          <w:rFonts w:ascii="Times New Roman" w:hAnsi="Times New Roman" w:eastAsia="黑体"/>
          <w:kern w:val="0"/>
          <w:sz w:val="28"/>
          <w:szCs w:val="20"/>
        </w:rPr>
      </w:pPr>
      <w:bookmarkStart w:id="9" w:name="FY"/>
      <w:r>
        <w:rPr>
          <w:rFonts w:ascii="Times New Roman" w:hAnsi="Times New Roman" w:eastAsia="黑体"/>
          <w:kern w:val="0"/>
          <w:sz w:val="28"/>
          <w:szCs w:val="20"/>
        </w:rPr>
        <w:fldChar w:fldCharType="begin">
          <w:ffData>
            <w:name w:val="FY"/>
            <w:enabled/>
            <w:calcOnExit w:val="0"/>
            <w:textInput>
              <w:default w:val="XXXX"/>
              <w:maxLength w:val="4"/>
            </w:textInput>
          </w:ffData>
        </w:fldChar>
      </w:r>
      <w:r>
        <w:rPr>
          <w:rFonts w:ascii="Times New Roman" w:hAnsi="Times New Roman" w:eastAsia="黑体"/>
          <w:kern w:val="0"/>
          <w:sz w:val="28"/>
          <w:szCs w:val="20"/>
        </w:rPr>
        <w:instrText xml:space="preserve"> FORMTEXT </w:instrText>
      </w:r>
      <w:r>
        <w:rPr>
          <w:rFonts w:ascii="Times New Roman" w:hAnsi="Times New Roman" w:eastAsia="黑体"/>
          <w:kern w:val="0"/>
          <w:sz w:val="28"/>
          <w:szCs w:val="20"/>
        </w:rPr>
        <w:fldChar w:fldCharType="separate"/>
      </w:r>
      <w:r>
        <w:rPr>
          <w:rFonts w:ascii="Times New Roman" w:hAnsi="Times New Roman" w:eastAsia="黑体"/>
          <w:kern w:val="0"/>
          <w:sz w:val="28"/>
          <w:szCs w:val="20"/>
        </w:rPr>
        <w:t>201X</w:t>
      </w:r>
      <w:r>
        <w:rPr>
          <w:rFonts w:ascii="Times New Roman" w:hAnsi="Times New Roman" w:eastAsia="黑体"/>
          <w:kern w:val="0"/>
          <w:sz w:val="28"/>
          <w:szCs w:val="20"/>
        </w:rPr>
        <w:fldChar w:fldCharType="end"/>
      </w:r>
      <w:bookmarkEnd w:id="9"/>
      <w:r>
        <w:rPr>
          <w:rFonts w:ascii="Times New Roman" w:hAnsi="Times New Roman" w:eastAsia="黑体"/>
          <w:kern w:val="0"/>
          <w:sz w:val="28"/>
          <w:szCs w:val="20"/>
        </w:rPr>
        <w:t>-</w:t>
      </w:r>
      <w:r>
        <w:rPr>
          <w:rFonts w:ascii="Times New Roman" w:hAnsi="Times New Roman" w:eastAsia="黑体"/>
          <w:kern w:val="0"/>
          <w:sz w:val="28"/>
          <w:szCs w:val="20"/>
        </w:rPr>
        <w:fldChar w:fldCharType="begin">
          <w:ffData>
            <w:name w:val="FM"/>
            <w:enabled/>
            <w:calcOnExit w:val="0"/>
            <w:textInput>
              <w:default w:val="XX"/>
              <w:maxLength w:val="2"/>
            </w:textInput>
          </w:ffData>
        </w:fldChar>
      </w:r>
      <w:r>
        <w:rPr>
          <w:rFonts w:ascii="Times New Roman" w:hAnsi="Times New Roman" w:eastAsia="黑体"/>
          <w:kern w:val="0"/>
          <w:sz w:val="28"/>
          <w:szCs w:val="20"/>
        </w:rPr>
        <w:instrText xml:space="preserve"> FORMTEXT </w:instrText>
      </w:r>
      <w:r>
        <w:rPr>
          <w:rFonts w:ascii="Times New Roman" w:hAnsi="Times New Roman" w:eastAsia="黑体"/>
          <w:kern w:val="0"/>
          <w:sz w:val="28"/>
          <w:szCs w:val="20"/>
        </w:rPr>
        <w:fldChar w:fldCharType="separate"/>
      </w:r>
      <w:r>
        <w:rPr>
          <w:rFonts w:ascii="Times New Roman" w:hAnsi="Times New Roman" w:eastAsia="黑体"/>
          <w:kern w:val="0"/>
          <w:sz w:val="28"/>
          <w:szCs w:val="20"/>
        </w:rPr>
        <w:t>XX</w:t>
      </w:r>
      <w:r>
        <w:rPr>
          <w:rFonts w:ascii="Times New Roman" w:hAnsi="Times New Roman" w:eastAsia="黑体"/>
          <w:kern w:val="0"/>
          <w:sz w:val="28"/>
          <w:szCs w:val="20"/>
        </w:rPr>
        <w:fldChar w:fldCharType="end"/>
      </w:r>
      <w:r>
        <w:rPr>
          <w:rFonts w:ascii="Times New Roman" w:hAnsi="Times New Roman" w:eastAsia="黑体"/>
          <w:kern w:val="0"/>
          <w:sz w:val="28"/>
          <w:szCs w:val="20"/>
        </w:rPr>
        <w:t>-</w:t>
      </w:r>
      <w:bookmarkStart w:id="10" w:name="FD"/>
      <w:r>
        <w:rPr>
          <w:rFonts w:ascii="Times New Roman" w:hAnsi="Times New Roman" w:eastAsia="黑体"/>
          <w:kern w:val="0"/>
          <w:sz w:val="28"/>
          <w:szCs w:val="20"/>
        </w:rPr>
        <w:fldChar w:fldCharType="begin">
          <w:ffData>
            <w:name w:val="SM"/>
            <w:enabled/>
            <w:calcOnExit w:val="0"/>
            <w:textInput>
              <w:default w:val="XX"/>
              <w:maxLength w:val="2"/>
            </w:textInput>
          </w:ffData>
        </w:fldChar>
      </w:r>
      <w:r>
        <w:rPr>
          <w:rFonts w:ascii="Times New Roman" w:hAnsi="Times New Roman" w:eastAsia="黑体"/>
          <w:kern w:val="0"/>
          <w:sz w:val="28"/>
          <w:szCs w:val="20"/>
        </w:rPr>
        <w:instrText xml:space="preserve"> FORMTEXT </w:instrText>
      </w:r>
      <w:r>
        <w:rPr>
          <w:rFonts w:ascii="Times New Roman" w:hAnsi="Times New Roman" w:eastAsia="黑体"/>
          <w:kern w:val="0"/>
          <w:sz w:val="28"/>
          <w:szCs w:val="20"/>
        </w:rPr>
        <w:fldChar w:fldCharType="separate"/>
      </w:r>
      <w:r>
        <w:rPr>
          <w:rFonts w:ascii="Times New Roman" w:hAnsi="Times New Roman" w:eastAsia="黑体"/>
          <w:kern w:val="0"/>
          <w:sz w:val="28"/>
          <w:szCs w:val="20"/>
        </w:rPr>
        <w:t>XX</w:t>
      </w:r>
      <w:r>
        <w:rPr>
          <w:rFonts w:ascii="Times New Roman" w:hAnsi="Times New Roman" w:eastAsia="黑体"/>
          <w:kern w:val="0"/>
          <w:sz w:val="28"/>
          <w:szCs w:val="20"/>
        </w:rPr>
        <w:fldChar w:fldCharType="end"/>
      </w:r>
      <w:bookmarkEnd w:id="10"/>
      <w:r>
        <w:rPr>
          <w:rFonts w:ascii="Times New Roman" w:hAnsi="Times New Roman" w:eastAsia="黑体"/>
          <w:kern w:val="0"/>
          <w:sz w:val="28"/>
          <w:szCs w:val="20"/>
        </w:rPr>
        <w:t>发布</w:t>
      </w:r>
      <w:r>
        <w:rPr>
          <w:rFonts w:ascii="Times New Roman" w:hAnsi="Times New Roman" w:eastAsia="黑体"/>
          <w:kern w:val="0"/>
          <w:sz w:val="28"/>
          <w:szCs w:val="20"/>
        </w:rPr>
        <mc:AlternateContent>
          <mc:Choice Requires="wps">
            <w:drawing>
              <wp:anchor distT="0" distB="0" distL="114300" distR="114300" simplePos="0" relativeHeight="251662336" behindDoc="0" locked="1" layoutInCell="1" allowOverlap="1">
                <wp:simplePos x="0" y="0"/>
                <wp:positionH relativeFrom="column">
                  <wp:posOffset>-66675</wp:posOffset>
                </wp:positionH>
                <wp:positionV relativeFrom="page">
                  <wp:posOffset>9275445</wp:posOffset>
                </wp:positionV>
                <wp:extent cx="612013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25pt;margin-top:730.35pt;height:0pt;width:481.9pt;mso-position-vertical-relative:page;z-index:251662336;mso-width-relative:page;mso-height-relative:page;" filled="f" stroked="t" coordsize="21600,21600" o:gfxdata="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y&#10;cnz62AAAAA0BAAAPAAAAAAAAAAEAIAAAACIAAABkcnMvZG93bnJldi54bWxQSwECFAAUAAAACACH&#10;TuJA2FDTIesBAADYAwAADgAAAAAAAAABACAAAAAnAQAAZHJzL2Uyb0RvYy54bWxQSwUGAAAAAAYA&#10;BgBZAQAAhAUAAAAA&#10;">
                <v:fill on="f" focussize="0,0"/>
                <v:stroke color="#000000" joinstyle="round"/>
                <v:imagedata o:title=""/>
                <o:lock v:ext="edit" aspectratio="f"/>
                <w10:anchorlock/>
              </v:line>
            </w:pict>
          </mc:Fallback>
        </mc:AlternateContent>
      </w:r>
    </w:p>
    <w:p w14:paraId="2A693C6C">
      <w:pPr>
        <w:framePr w:w="3997" w:h="471" w:hRule="exact" w:vSpace="181" w:wrap="auto" w:vAnchor="page" w:hAnchor="page" w:x="6668" w:y="14140" w:anchorLock="1"/>
        <w:widowControl/>
        <w:jc w:val="right"/>
        <w:rPr>
          <w:rFonts w:ascii="Times New Roman" w:hAnsi="Times New Roman" w:eastAsia="黑体"/>
          <w:kern w:val="0"/>
          <w:sz w:val="28"/>
          <w:szCs w:val="20"/>
        </w:rPr>
      </w:pPr>
      <w:bookmarkStart w:id="11" w:name="SY"/>
      <w:r>
        <w:rPr>
          <w:rFonts w:ascii="Times New Roman" w:hAnsi="Times New Roman" w:eastAsia="黑体"/>
          <w:kern w:val="0"/>
          <w:sz w:val="28"/>
          <w:szCs w:val="20"/>
        </w:rPr>
        <w:fldChar w:fldCharType="begin">
          <w:ffData>
            <w:name w:val="SY"/>
            <w:enabled/>
            <w:calcOnExit w:val="0"/>
            <w:textInput>
              <w:default w:val="XXXX"/>
              <w:maxLength w:val="4"/>
            </w:textInput>
          </w:ffData>
        </w:fldChar>
      </w:r>
      <w:r>
        <w:rPr>
          <w:rFonts w:ascii="Times New Roman" w:hAnsi="Times New Roman" w:eastAsia="黑体"/>
          <w:kern w:val="0"/>
          <w:sz w:val="28"/>
          <w:szCs w:val="20"/>
        </w:rPr>
        <w:instrText xml:space="preserve"> FORMTEXT </w:instrText>
      </w:r>
      <w:r>
        <w:rPr>
          <w:rFonts w:ascii="Times New Roman" w:hAnsi="Times New Roman" w:eastAsia="黑体"/>
          <w:kern w:val="0"/>
          <w:sz w:val="28"/>
          <w:szCs w:val="20"/>
        </w:rPr>
        <w:fldChar w:fldCharType="separate"/>
      </w:r>
      <w:r>
        <w:rPr>
          <w:rFonts w:ascii="Times New Roman" w:hAnsi="Times New Roman" w:eastAsia="黑体"/>
          <w:kern w:val="0"/>
          <w:sz w:val="28"/>
          <w:szCs w:val="20"/>
        </w:rPr>
        <w:t>201X</w:t>
      </w:r>
      <w:r>
        <w:rPr>
          <w:rFonts w:ascii="Times New Roman" w:hAnsi="Times New Roman" w:eastAsia="黑体"/>
          <w:kern w:val="0"/>
          <w:sz w:val="28"/>
          <w:szCs w:val="20"/>
        </w:rPr>
        <w:fldChar w:fldCharType="end"/>
      </w:r>
      <w:bookmarkEnd w:id="11"/>
      <w:r>
        <w:rPr>
          <w:rFonts w:ascii="Times New Roman" w:hAnsi="Times New Roman" w:eastAsia="黑体"/>
          <w:kern w:val="0"/>
          <w:sz w:val="28"/>
          <w:szCs w:val="20"/>
        </w:rPr>
        <w:t>-</w:t>
      </w:r>
      <w:bookmarkStart w:id="12" w:name="SM"/>
      <w:r>
        <w:rPr>
          <w:rFonts w:ascii="Times New Roman" w:hAnsi="Times New Roman" w:eastAsia="黑体"/>
          <w:kern w:val="0"/>
          <w:sz w:val="28"/>
          <w:szCs w:val="20"/>
        </w:rPr>
        <w:fldChar w:fldCharType="begin">
          <w:ffData>
            <w:name w:val="SM"/>
            <w:enabled/>
            <w:calcOnExit w:val="0"/>
            <w:textInput>
              <w:default w:val="XX"/>
              <w:maxLength w:val="2"/>
            </w:textInput>
          </w:ffData>
        </w:fldChar>
      </w:r>
      <w:r>
        <w:rPr>
          <w:rFonts w:ascii="Times New Roman" w:hAnsi="Times New Roman" w:eastAsia="黑体"/>
          <w:kern w:val="0"/>
          <w:sz w:val="28"/>
          <w:szCs w:val="20"/>
        </w:rPr>
        <w:instrText xml:space="preserve"> FORMTEXT </w:instrText>
      </w:r>
      <w:r>
        <w:rPr>
          <w:rFonts w:ascii="Times New Roman" w:hAnsi="Times New Roman" w:eastAsia="黑体"/>
          <w:kern w:val="0"/>
          <w:sz w:val="28"/>
          <w:szCs w:val="20"/>
        </w:rPr>
        <w:fldChar w:fldCharType="separate"/>
      </w:r>
      <w:r>
        <w:rPr>
          <w:rFonts w:ascii="Times New Roman" w:hAnsi="Times New Roman" w:eastAsia="黑体"/>
          <w:kern w:val="0"/>
          <w:sz w:val="28"/>
          <w:szCs w:val="20"/>
        </w:rPr>
        <w:t>XX</w:t>
      </w:r>
      <w:r>
        <w:rPr>
          <w:rFonts w:ascii="Times New Roman" w:hAnsi="Times New Roman" w:eastAsia="黑体"/>
          <w:kern w:val="0"/>
          <w:sz w:val="28"/>
          <w:szCs w:val="20"/>
        </w:rPr>
        <w:fldChar w:fldCharType="end"/>
      </w:r>
      <w:bookmarkEnd w:id="12"/>
      <w:r>
        <w:rPr>
          <w:rFonts w:ascii="Times New Roman" w:hAnsi="Times New Roman" w:eastAsia="黑体"/>
          <w:kern w:val="0"/>
          <w:sz w:val="28"/>
          <w:szCs w:val="20"/>
        </w:rPr>
        <w:t>-</w:t>
      </w:r>
      <w:bookmarkStart w:id="13" w:name="SD"/>
      <w:r>
        <w:rPr>
          <w:rFonts w:ascii="Times New Roman" w:hAnsi="Times New Roman" w:eastAsia="黑体"/>
          <w:kern w:val="0"/>
          <w:sz w:val="28"/>
          <w:szCs w:val="20"/>
        </w:rPr>
        <w:fldChar w:fldCharType="begin">
          <w:ffData>
            <w:name w:val="SD"/>
            <w:enabled/>
            <w:calcOnExit w:val="0"/>
            <w:textInput>
              <w:default w:val="XX"/>
              <w:maxLength w:val="2"/>
            </w:textInput>
          </w:ffData>
        </w:fldChar>
      </w:r>
      <w:r>
        <w:rPr>
          <w:rFonts w:ascii="Times New Roman" w:hAnsi="Times New Roman" w:eastAsia="黑体"/>
          <w:kern w:val="0"/>
          <w:sz w:val="28"/>
          <w:szCs w:val="20"/>
        </w:rPr>
        <w:instrText xml:space="preserve"> FORMTEXT </w:instrText>
      </w:r>
      <w:r>
        <w:rPr>
          <w:rFonts w:ascii="Times New Roman" w:hAnsi="Times New Roman" w:eastAsia="黑体"/>
          <w:kern w:val="0"/>
          <w:sz w:val="28"/>
          <w:szCs w:val="20"/>
        </w:rPr>
        <w:fldChar w:fldCharType="separate"/>
      </w:r>
      <w:r>
        <w:rPr>
          <w:rFonts w:ascii="Times New Roman" w:hAnsi="Times New Roman" w:eastAsia="黑体"/>
          <w:kern w:val="0"/>
          <w:sz w:val="28"/>
          <w:szCs w:val="20"/>
        </w:rPr>
        <w:t>XX</w:t>
      </w:r>
      <w:r>
        <w:rPr>
          <w:rFonts w:ascii="Times New Roman" w:hAnsi="Times New Roman" w:eastAsia="黑体"/>
          <w:kern w:val="0"/>
          <w:sz w:val="28"/>
          <w:szCs w:val="20"/>
        </w:rPr>
        <w:fldChar w:fldCharType="end"/>
      </w:r>
      <w:bookmarkEnd w:id="13"/>
      <w:r>
        <w:rPr>
          <w:rFonts w:ascii="Times New Roman" w:hAnsi="Times New Roman" w:eastAsia="黑体"/>
          <w:kern w:val="0"/>
          <w:sz w:val="28"/>
          <w:szCs w:val="20"/>
        </w:rPr>
        <w:t>实施</w:t>
      </w:r>
    </w:p>
    <w:p w14:paraId="57BAC490">
      <w:pPr>
        <w:widowControl/>
        <w:tabs>
          <w:tab w:val="center" w:pos="4201"/>
          <w:tab w:val="right" w:leader="dot" w:pos="9298"/>
        </w:tabs>
        <w:ind w:firstLine="420" w:firstLineChars="200"/>
        <w:rPr>
          <w:rFonts w:ascii="Times New Roman" w:hAnsi="Times New Roman"/>
          <w:kern w:val="0"/>
          <w:szCs w:val="20"/>
        </w:rPr>
      </w:pPr>
    </w:p>
    <w:bookmarkEnd w:id="0"/>
    <w:p w14:paraId="4D37250D">
      <w:pPr>
        <w:pStyle w:val="20"/>
        <w:numPr>
          <w:ilvl w:val="0"/>
          <w:numId w:val="0"/>
        </w:numPr>
        <w:outlineLvl w:val="9"/>
        <w:rPr>
          <w:rFonts w:hAnsi="黑体" w:cs="黑体"/>
          <w:sz w:val="28"/>
          <w:szCs w:val="28"/>
        </w:rPr>
      </w:pPr>
    </w:p>
    <w:p w14:paraId="7FE6E652">
      <w:pPr>
        <w:pStyle w:val="21"/>
        <w:ind w:firstLine="420"/>
        <w:sectPr>
          <w:pgSz w:w="11907" w:h="16839"/>
          <w:pgMar w:top="567" w:right="1134" w:bottom="1134" w:left="1418" w:header="1418" w:footer="851" w:gutter="0"/>
          <w:pgNumType w:start="1"/>
          <w:cols w:space="720" w:num="1"/>
          <w:docGrid w:type="lines" w:linePitch="312" w:charSpace="0"/>
        </w:sectPr>
      </w:pPr>
    </w:p>
    <w:p w14:paraId="31762063">
      <w:pPr>
        <w:spacing w:line="480" w:lineRule="exact"/>
        <w:jc w:val="center"/>
        <w:outlineLvl w:val="0"/>
        <w:rPr>
          <w:rFonts w:hint="eastAsia" w:ascii="宋体" w:hAnsi="宋体" w:eastAsia="宋体" w:cs="宋体"/>
          <w:b w:val="0"/>
          <w:bCs/>
          <w:color w:val="000000"/>
          <w:spacing w:val="10"/>
          <w:sz w:val="36"/>
          <w:szCs w:val="36"/>
        </w:rPr>
      </w:pPr>
      <w:bookmarkStart w:id="14" w:name="_Toc30659"/>
      <w:r>
        <w:rPr>
          <w:rFonts w:hint="eastAsia" w:ascii="宋体" w:hAnsi="宋体" w:eastAsia="宋体" w:cs="宋体"/>
          <w:b w:val="0"/>
          <w:bCs/>
          <w:color w:val="000000"/>
          <w:spacing w:val="10"/>
          <w:sz w:val="36"/>
          <w:szCs w:val="36"/>
        </w:rPr>
        <w:t>前 言</w:t>
      </w:r>
      <w:bookmarkEnd w:id="14"/>
    </w:p>
    <w:p w14:paraId="216A1D26">
      <w:pPr>
        <w:pStyle w:val="21"/>
        <w:tabs>
          <w:tab w:val="center" w:pos="4201"/>
          <w:tab w:val="right" w:leader="dot" w:pos="9298"/>
        </w:tabs>
        <w:autoSpaceDE/>
        <w:autoSpaceDN/>
        <w:spacing w:after="0" w:line="360" w:lineRule="auto"/>
        <w:ind w:firstLine="480"/>
        <w:rPr>
          <w:rFonts w:ascii="Times New Roman" w:hAnsi="Times New Roman"/>
          <w:sz w:val="24"/>
          <w:szCs w:val="24"/>
        </w:rPr>
      </w:pPr>
    </w:p>
    <w:p w14:paraId="6AC381FB">
      <w:pPr>
        <w:pStyle w:val="21"/>
        <w:tabs>
          <w:tab w:val="center" w:pos="4201"/>
          <w:tab w:val="right" w:leader="dot" w:pos="9298"/>
        </w:tabs>
        <w:autoSpaceDE/>
        <w:autoSpaceDN/>
        <w:spacing w:after="0" w:line="360" w:lineRule="auto"/>
        <w:ind w:firstLine="480"/>
        <w:rPr>
          <w:rFonts w:ascii="Times New Roman" w:hAnsi="Times New Roman"/>
          <w:sz w:val="21"/>
          <w:szCs w:val="21"/>
        </w:rPr>
      </w:pPr>
      <w:r>
        <w:rPr>
          <w:rFonts w:ascii="Times New Roman" w:hAnsi="Times New Roman"/>
          <w:sz w:val="21"/>
          <w:szCs w:val="21"/>
        </w:rPr>
        <w:t>根据中国工程建设标准化协会《</w:t>
      </w:r>
      <w:r>
        <w:rPr>
          <w:rFonts w:ascii="Times New Roman" w:hAnsi="Times New Roman"/>
          <w:color w:val="000000"/>
          <w:sz w:val="21"/>
          <w:szCs w:val="21"/>
        </w:rPr>
        <w:t>关于印发2023年</w:t>
      </w:r>
      <w:r>
        <w:rPr>
          <w:rFonts w:hint="eastAsia" w:ascii="Times New Roman" w:hAnsi="Times New Roman"/>
          <w:color w:val="000000"/>
          <w:sz w:val="21"/>
          <w:szCs w:val="21"/>
        </w:rPr>
        <w:t>&lt;</w:t>
      </w:r>
      <w:r>
        <w:rPr>
          <w:rFonts w:ascii="Times New Roman" w:hAnsi="Times New Roman"/>
          <w:color w:val="000000"/>
          <w:sz w:val="21"/>
          <w:szCs w:val="21"/>
        </w:rPr>
        <w:t>第二批协会标准制订、修订计划&gt;的通知》</w:t>
      </w:r>
      <w:r>
        <w:rPr>
          <w:rFonts w:ascii="Times New Roman" w:hAnsi="Times New Roman"/>
          <w:sz w:val="21"/>
          <w:szCs w:val="21"/>
        </w:rPr>
        <w:t>（</w:t>
      </w:r>
      <w:r>
        <w:rPr>
          <w:rFonts w:ascii="Times New Roman" w:hAnsi="Times New Roman"/>
          <w:color w:val="000000"/>
          <w:sz w:val="21"/>
          <w:szCs w:val="21"/>
        </w:rPr>
        <w:t>建标协字〔</w:t>
      </w:r>
      <w:r>
        <w:rPr>
          <w:rFonts w:ascii="Times New Roman" w:hAnsi="Times New Roman"/>
          <w:sz w:val="21"/>
          <w:szCs w:val="21"/>
        </w:rPr>
        <w:t>2023</w:t>
      </w:r>
      <w:r>
        <w:rPr>
          <w:rFonts w:ascii="Times New Roman" w:hAnsi="Times New Roman"/>
          <w:color w:val="000000"/>
          <w:sz w:val="21"/>
          <w:szCs w:val="21"/>
        </w:rPr>
        <w:t>〕50号）</w:t>
      </w:r>
      <w:r>
        <w:rPr>
          <w:rFonts w:ascii="Times New Roman" w:hAnsi="Times New Roman"/>
          <w:sz w:val="21"/>
          <w:szCs w:val="21"/>
        </w:rPr>
        <w:t>的要求，规程编制组经广泛调查研究，认真总结实践经验，参考有关标准，并在广泛征求意见的基础上，制定本规程。</w:t>
      </w:r>
    </w:p>
    <w:p w14:paraId="41DD4978">
      <w:pPr>
        <w:pStyle w:val="21"/>
        <w:tabs>
          <w:tab w:val="center" w:pos="4201"/>
          <w:tab w:val="right" w:leader="dot" w:pos="9298"/>
        </w:tabs>
        <w:autoSpaceDE/>
        <w:autoSpaceDN/>
        <w:spacing w:after="0" w:line="360" w:lineRule="auto"/>
        <w:ind w:firstLine="480"/>
        <w:rPr>
          <w:rFonts w:ascii="Times New Roman" w:hAnsi="Times New Roman"/>
          <w:sz w:val="21"/>
          <w:szCs w:val="21"/>
        </w:rPr>
      </w:pPr>
      <w:r>
        <w:rPr>
          <w:rFonts w:ascii="Times New Roman" w:hAnsi="Times New Roman"/>
          <w:sz w:val="21"/>
          <w:szCs w:val="21"/>
        </w:rPr>
        <w:t>本规程共分为7章，主要技术内容包括：总则、术语、基本规定、材料、设计、施工、验收。</w:t>
      </w:r>
    </w:p>
    <w:p w14:paraId="06BE6F26">
      <w:pPr>
        <w:pStyle w:val="21"/>
        <w:tabs>
          <w:tab w:val="center" w:pos="4201"/>
          <w:tab w:val="right" w:leader="dot" w:pos="9298"/>
        </w:tabs>
        <w:autoSpaceDE/>
        <w:autoSpaceDN/>
        <w:spacing w:after="0" w:line="360" w:lineRule="auto"/>
        <w:ind w:firstLine="480"/>
        <w:rPr>
          <w:rFonts w:ascii="Times New Roman" w:hAnsi="Times New Roman"/>
          <w:sz w:val="24"/>
          <w:szCs w:val="24"/>
        </w:rPr>
      </w:pPr>
      <w:r>
        <w:rPr>
          <w:rFonts w:ascii="Times New Roman" w:hAnsi="Times New Roman"/>
          <w:sz w:val="24"/>
          <w:szCs w:val="24"/>
        </w:rPr>
        <w:t>本</w:t>
      </w:r>
      <w:r>
        <w:rPr>
          <w:rFonts w:hint="eastAsia" w:ascii="Times New Roman" w:hAnsi="Times New Roman"/>
          <w:sz w:val="24"/>
          <w:szCs w:val="24"/>
        </w:rPr>
        <w:t>规程</w:t>
      </w:r>
      <w:r>
        <w:rPr>
          <w:rFonts w:ascii="Times New Roman" w:hAnsi="Times New Roman"/>
          <w:sz w:val="24"/>
          <w:szCs w:val="24"/>
        </w:rPr>
        <w:t>的某些内容可</w:t>
      </w:r>
      <w:r>
        <w:rPr>
          <w:rFonts w:hint="eastAsia" w:ascii="Times New Roman" w:hAnsi="Times New Roman"/>
          <w:sz w:val="24"/>
          <w:szCs w:val="24"/>
        </w:rPr>
        <w:t>能</w:t>
      </w:r>
      <w:r>
        <w:rPr>
          <w:rFonts w:ascii="Times New Roman" w:hAnsi="Times New Roman"/>
          <w:sz w:val="24"/>
          <w:szCs w:val="24"/>
        </w:rPr>
        <w:t>直接</w:t>
      </w:r>
      <w:r>
        <w:rPr>
          <w:rFonts w:hint="eastAsia" w:ascii="Times New Roman" w:hAnsi="Times New Roman"/>
          <w:sz w:val="24"/>
          <w:szCs w:val="24"/>
        </w:rPr>
        <w:t>或间接涉及专利，</w:t>
      </w:r>
      <w:r>
        <w:rPr>
          <w:rFonts w:ascii="Times New Roman" w:hAnsi="Times New Roman"/>
          <w:sz w:val="24"/>
          <w:szCs w:val="24"/>
        </w:rPr>
        <w:t>本</w:t>
      </w:r>
      <w:r>
        <w:rPr>
          <w:rFonts w:hint="eastAsia" w:ascii="Times New Roman" w:hAnsi="Times New Roman"/>
          <w:sz w:val="24"/>
          <w:szCs w:val="24"/>
        </w:rPr>
        <w:t>规程</w:t>
      </w:r>
      <w:r>
        <w:rPr>
          <w:rFonts w:ascii="Times New Roman" w:hAnsi="Times New Roman"/>
          <w:sz w:val="24"/>
          <w:szCs w:val="24"/>
        </w:rPr>
        <w:t>的发布机构不承担识别这些专利的责任。</w:t>
      </w:r>
    </w:p>
    <w:p w14:paraId="005289E3">
      <w:pPr>
        <w:spacing w:line="360" w:lineRule="auto"/>
        <w:ind w:firstLine="480" w:firstLineChars="200"/>
        <w:rPr>
          <w:rFonts w:asciiTheme="minorEastAsia" w:hAnsiTheme="minorEastAsia" w:eastAsiaTheme="minorEastAsia" w:cstheme="minorEastAsia"/>
          <w:bCs/>
          <w:color w:val="000000"/>
          <w:spacing w:val="10"/>
          <w:szCs w:val="21"/>
        </w:rPr>
      </w:pPr>
      <w:r>
        <w:rPr>
          <w:rFonts w:ascii="Times New Roman" w:hAnsi="Times New Roman" w:cs="Times New Roman"/>
          <w:sz w:val="24"/>
          <w:szCs w:val="24"/>
        </w:rPr>
        <w:t>本规程由</w:t>
      </w:r>
      <w:r>
        <w:rPr>
          <w:rFonts w:ascii="Times New Roman" w:hAnsi="Times New Roman" w:cs="Times New Roman"/>
          <w:sz w:val="24"/>
        </w:rPr>
        <w:t>中国工程建设标准化协会防水防护与修复专委会</w:t>
      </w:r>
      <w:r>
        <w:rPr>
          <w:rFonts w:ascii="Times New Roman" w:hAnsi="Times New Roman" w:cs="Times New Roman"/>
          <w:sz w:val="24"/>
          <w:szCs w:val="24"/>
        </w:rPr>
        <w:t>归口管理，由</w:t>
      </w:r>
      <w:r>
        <w:rPr>
          <w:rFonts w:hint="eastAsia" w:ascii="Times New Roman" w:hAnsi="Times New Roman" w:cs="Times New Roman"/>
          <w:sz w:val="24"/>
          <w:szCs w:val="24"/>
        </w:rPr>
        <w:t>北京市建设工程物资协会</w:t>
      </w:r>
      <w:r>
        <w:rPr>
          <w:rFonts w:ascii="Times New Roman" w:hAnsi="Times New Roman" w:cs="Times New Roman"/>
          <w:sz w:val="24"/>
          <w:szCs w:val="24"/>
        </w:rPr>
        <w:t>负责具体技术内容的解释，执行过程中，如有意见或建议，请</w:t>
      </w:r>
      <w:r>
        <w:rPr>
          <w:rFonts w:ascii="Times New Roman" w:hAnsi="Times New Roman" w:cs="Times New Roman"/>
          <w:kern w:val="0"/>
          <w:sz w:val="24"/>
          <w:szCs w:val="24"/>
        </w:rPr>
        <w:t>反馈给</w:t>
      </w:r>
      <w:r>
        <w:rPr>
          <w:rFonts w:hint="eastAsia" w:ascii="Times New Roman" w:hAnsi="Times New Roman" w:cs="Times New Roman"/>
          <w:kern w:val="0"/>
          <w:sz w:val="24"/>
          <w:szCs w:val="24"/>
        </w:rPr>
        <w:t>北京市建设工程物资协会</w:t>
      </w:r>
      <w:r>
        <w:rPr>
          <w:rFonts w:ascii="Times New Roman" w:hAnsi="Times New Roman" w:cs="Times New Roman"/>
          <w:sz w:val="24"/>
          <w:szCs w:val="24"/>
        </w:rPr>
        <w:t>（地址：</w:t>
      </w:r>
      <w:r>
        <w:rPr>
          <w:rFonts w:hint="eastAsia" w:ascii="Times New Roman" w:hAnsi="Times New Roman" w:cs="Times New Roman"/>
          <w:sz w:val="24"/>
          <w:szCs w:val="24"/>
        </w:rPr>
        <w:t>北京市西城区六铺炕街1号11幢</w:t>
      </w:r>
      <w:r>
        <w:rPr>
          <w:rFonts w:ascii="Times New Roman" w:hAnsi="Times New Roman" w:cs="Times New Roman"/>
          <w:sz w:val="24"/>
          <w:szCs w:val="24"/>
        </w:rPr>
        <w:t>，邮编：</w:t>
      </w:r>
      <w:r>
        <w:rPr>
          <w:rFonts w:hint="eastAsia" w:ascii="Times New Roman" w:hAnsi="Times New Roman" w:cs="Times New Roman"/>
          <w:sz w:val="24"/>
          <w:szCs w:val="24"/>
          <w:lang w:val="en-US" w:eastAsia="zh-CN"/>
        </w:rPr>
        <w:t>100120</w:t>
      </w:r>
      <w:r>
        <w:rPr>
          <w:rFonts w:ascii="Times New Roman" w:hAnsi="Times New Roman" w:cs="Times New Roman"/>
          <w:sz w:val="24"/>
          <w:szCs w:val="24"/>
        </w:rPr>
        <w:t>，邮箱：</w:t>
      </w:r>
      <w:r>
        <w:rPr>
          <w:rFonts w:hint="eastAsia" w:ascii="Times New Roman" w:hAnsi="Times New Roman" w:cs="Times New Roman"/>
          <w:sz w:val="24"/>
          <w:szCs w:val="24"/>
        </w:rPr>
        <w:t>lizhuoqiang2021@163.com</w:t>
      </w:r>
      <w:r>
        <w:rPr>
          <w:rFonts w:ascii="Times New Roman" w:hAnsi="Times New Roman" w:cs="Times New Roman"/>
          <w:sz w:val="24"/>
          <w:szCs w:val="24"/>
        </w:rPr>
        <w:t>）</w:t>
      </w:r>
      <w:r>
        <w:rPr>
          <w:rFonts w:ascii="Times New Roman" w:hAnsi="Times New Roman" w:cs="Times New Roman"/>
          <w:sz w:val="24"/>
        </w:rPr>
        <w:t>。</w:t>
      </w:r>
    </w:p>
    <w:p w14:paraId="206BDECA">
      <w:pPr>
        <w:spacing w:line="480" w:lineRule="exact"/>
        <w:ind w:firstLine="460" w:firstLineChars="200"/>
        <w:jc w:val="left"/>
        <w:rPr>
          <w:rFonts w:hint="default" w:asciiTheme="minorEastAsia" w:hAnsiTheme="minorEastAsia" w:eastAsiaTheme="minorEastAsia" w:cstheme="minorEastAsia"/>
          <w:bCs/>
          <w:color w:val="000000"/>
          <w:spacing w:val="10"/>
          <w:szCs w:val="21"/>
          <w:lang w:val="en-US" w:eastAsia="zh-CN"/>
        </w:rPr>
      </w:pPr>
      <w:r>
        <w:rPr>
          <w:rFonts w:hint="eastAsia" w:asciiTheme="minorEastAsia" w:hAnsiTheme="minorEastAsia" w:eastAsiaTheme="minorEastAsia" w:cstheme="minorEastAsia"/>
          <w:bCs/>
          <w:color w:val="000000"/>
          <w:spacing w:val="10"/>
          <w:szCs w:val="21"/>
        </w:rPr>
        <w:t>本规程主编单位：北京市建设工程物资协会</w:t>
      </w:r>
      <w:r>
        <w:rPr>
          <w:rFonts w:hint="eastAsia" w:asciiTheme="minorEastAsia" w:hAnsiTheme="minorEastAsia" w:eastAsiaTheme="minorEastAsia" w:cstheme="minorEastAsia"/>
          <w:bCs/>
          <w:color w:val="000000"/>
          <w:spacing w:val="10"/>
          <w:szCs w:val="21"/>
          <w:lang w:val="en-US" w:eastAsia="zh-CN"/>
        </w:rPr>
        <w:t xml:space="preserve"> 北京建筑材料检验研究院有限公司</w:t>
      </w:r>
      <w:bookmarkStart w:id="146" w:name="_GoBack"/>
      <w:bookmarkEnd w:id="146"/>
    </w:p>
    <w:p w14:paraId="2ED1F7C1">
      <w:pPr>
        <w:spacing w:line="480" w:lineRule="exact"/>
        <w:ind w:firstLine="460" w:firstLineChars="200"/>
        <w:jc w:val="left"/>
        <w:rPr>
          <w:rFonts w:asciiTheme="minorEastAsia" w:hAnsiTheme="minorEastAsia" w:eastAsiaTheme="minorEastAsia" w:cstheme="minorEastAsia"/>
          <w:bCs/>
          <w:color w:val="000000"/>
          <w:spacing w:val="10"/>
          <w:szCs w:val="21"/>
        </w:rPr>
      </w:pPr>
      <w:r>
        <w:rPr>
          <w:rFonts w:hint="eastAsia" w:asciiTheme="minorEastAsia" w:hAnsiTheme="minorEastAsia" w:eastAsiaTheme="minorEastAsia" w:cstheme="minorEastAsia"/>
          <w:bCs/>
          <w:color w:val="000000"/>
          <w:spacing w:val="10"/>
          <w:szCs w:val="21"/>
        </w:rPr>
        <w:t>本规程参编单位：</w:t>
      </w:r>
    </w:p>
    <w:p w14:paraId="236F3F3B">
      <w:pPr>
        <w:spacing w:line="480" w:lineRule="exact"/>
        <w:ind w:firstLine="460" w:firstLineChars="200"/>
        <w:jc w:val="left"/>
        <w:rPr>
          <w:rFonts w:hint="eastAsia" w:asciiTheme="minorEastAsia" w:hAnsiTheme="minorEastAsia" w:eastAsiaTheme="minorEastAsia" w:cstheme="minorEastAsia"/>
          <w:bCs/>
          <w:color w:val="000000"/>
          <w:spacing w:val="10"/>
          <w:szCs w:val="21"/>
        </w:rPr>
      </w:pPr>
      <w:r>
        <w:rPr>
          <w:rFonts w:hint="eastAsia" w:asciiTheme="minorEastAsia" w:hAnsiTheme="minorEastAsia" w:eastAsiaTheme="minorEastAsia" w:cstheme="minorEastAsia"/>
          <w:bCs/>
          <w:color w:val="000000"/>
          <w:spacing w:val="10"/>
          <w:szCs w:val="21"/>
        </w:rPr>
        <w:t>主要起草人：</w:t>
      </w:r>
    </w:p>
    <w:p w14:paraId="2B0A39E7">
      <w:pPr>
        <w:spacing w:line="480" w:lineRule="exact"/>
        <w:ind w:firstLine="480" w:firstLineChars="200"/>
        <w:jc w:val="left"/>
        <w:sectPr>
          <w:pgSz w:w="11906" w:h="16838"/>
          <w:pgMar w:top="1440" w:right="1800" w:bottom="1440" w:left="1800" w:header="851" w:footer="992" w:gutter="0"/>
          <w:cols w:space="425" w:num="1"/>
          <w:docGrid w:type="lines" w:linePitch="312" w:charSpace="0"/>
        </w:sectPr>
      </w:pPr>
      <w:r>
        <w:rPr>
          <w:rFonts w:ascii="Times New Roman" w:hAnsi="Times New Roman" w:cs="Times New Roman"/>
          <w:kern w:val="24"/>
          <w:sz w:val="24"/>
          <w:szCs w:val="22"/>
        </w:rPr>
        <w:t>主要审查人：</w:t>
      </w:r>
    </w:p>
    <w:sdt>
      <w:sdtPr>
        <w:rPr>
          <w:rFonts w:hint="eastAsia" w:ascii="宋体" w:hAnsi="宋体" w:eastAsia="宋体" w:cs="宋体"/>
          <w:kern w:val="2"/>
          <w:sz w:val="28"/>
          <w:szCs w:val="28"/>
          <w:lang w:val="en-US" w:eastAsia="zh-CN" w:bidi="ar-SA"/>
        </w:rPr>
        <w:id w:val="147482016"/>
        <w15:color w:val="DBDBDB"/>
        <w:docPartObj>
          <w:docPartGallery w:val="Table of Contents"/>
          <w:docPartUnique/>
        </w:docPartObj>
      </w:sdtPr>
      <w:sdtEndPr>
        <w:rPr>
          <w:rFonts w:hint="eastAsia" w:ascii="Calibri" w:hAnsi="Calibri" w:eastAsia="宋体" w:cs="Times New Roman"/>
          <w:b/>
          <w:kern w:val="2"/>
          <w:sz w:val="21"/>
          <w:szCs w:val="24"/>
          <w:lang w:val="en-US" w:eastAsia="zh-CN" w:bidi="ar-SA"/>
        </w:rPr>
      </w:sdtEndPr>
      <w:sdtContent>
        <w:p w14:paraId="5715FF86">
          <w:pPr>
            <w:spacing w:before="0" w:beforeLines="0" w:after="0" w:afterLines="0" w:line="240" w:lineRule="auto"/>
            <w:ind w:left="0" w:leftChars="0" w:right="0" w:rightChars="0" w:firstLine="0" w:firstLineChars="0"/>
            <w:jc w:val="center"/>
            <w:rPr>
              <w:rFonts w:hint="eastAsia" w:ascii="宋体" w:hAnsi="宋体" w:eastAsia="宋体" w:cs="宋体"/>
              <w:b/>
              <w:bCs/>
              <w:sz w:val="28"/>
              <w:szCs w:val="28"/>
              <w:lang w:eastAsia="zh-CN"/>
            </w:rPr>
          </w:pPr>
          <w:r>
            <w:rPr>
              <w:rFonts w:hint="eastAsia" w:ascii="宋体" w:hAnsi="宋体" w:eastAsia="宋体" w:cs="宋体"/>
              <w:b/>
              <w:bCs/>
              <w:sz w:val="28"/>
              <w:szCs w:val="28"/>
            </w:rPr>
            <w:t>目</w:t>
          </w:r>
          <w:r>
            <w:rPr>
              <w:rFonts w:hint="eastAsia" w:ascii="宋体" w:hAnsi="宋体" w:eastAsia="宋体" w:cs="宋体"/>
              <w:b/>
              <w:bCs/>
              <w:sz w:val="28"/>
              <w:szCs w:val="28"/>
              <w:lang w:val="en-US" w:eastAsia="zh-CN"/>
            </w:rPr>
            <w:t xml:space="preserve">  次</w:t>
          </w:r>
        </w:p>
        <w:p w14:paraId="70310644">
          <w:pPr>
            <w:pStyle w:val="31"/>
            <w:tabs>
              <w:tab w:val="right" w:leader="dot" w:pos="8306"/>
            </w:tabs>
            <w:spacing w:line="360" w:lineRule="auto"/>
            <w:rPr>
              <w:rFonts w:hint="eastAsia" w:ascii="宋体" w:hAnsi="宋体" w:eastAsia="宋体" w:cs="宋体"/>
              <w:b w:val="0"/>
              <w:bCs/>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"1-2" \h \u </w:instrText>
          </w:r>
          <w:r>
            <w:rPr>
              <w:rFonts w:hint="eastAsia" w:ascii="宋体" w:hAnsi="宋体" w:eastAsia="宋体" w:cs="宋体"/>
              <w:sz w:val="21"/>
              <w:szCs w:val="21"/>
            </w:rPr>
            <w:fldChar w:fldCharType="separate"/>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_Toc18755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  总  则</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_Toc18755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1</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622AFEF4">
          <w:pPr>
            <w:pStyle w:val="31"/>
            <w:tabs>
              <w:tab w:val="right" w:leader="dot" w:pos="8306"/>
            </w:tabs>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_Toc30862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2  术  语</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_Toc30862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2</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7652D32E">
          <w:pPr>
            <w:pStyle w:val="31"/>
            <w:tabs>
              <w:tab w:val="right" w:leader="dot" w:pos="8306"/>
            </w:tabs>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_Toc20274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3  基 本 规 定</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_Toc20274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3</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4F102F83">
          <w:pPr>
            <w:pStyle w:val="31"/>
            <w:tabs>
              <w:tab w:val="right" w:leader="dot" w:pos="8306"/>
            </w:tabs>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_Toc14946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4  材  料</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_Toc14946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4</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06E745D3">
          <w:pPr>
            <w:pStyle w:val="31"/>
            <w:tabs>
              <w:tab w:val="right" w:leader="dot" w:pos="8306"/>
            </w:tabs>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_Toc29145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 xml:space="preserve">5 </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设  计</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_Toc29145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9</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1D16283B">
          <w:pPr>
            <w:pStyle w:val="31"/>
            <w:tabs>
              <w:tab w:val="right" w:leader="dot" w:pos="8306"/>
            </w:tabs>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_Toc7670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 xml:space="preserve">6 </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施  工</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_Toc7670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20</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09309862">
          <w:pPr>
            <w:pStyle w:val="31"/>
            <w:tabs>
              <w:tab w:val="right" w:leader="dot" w:pos="8306"/>
            </w:tabs>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_Toc30384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 xml:space="preserve">7 </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质 量 验 收</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_Toc30384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29</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29B943FF">
          <w:pPr>
            <w:pStyle w:val="31"/>
            <w:tabs>
              <w:tab w:val="right" w:leader="dot" w:pos="8306"/>
            </w:tabs>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_Toc13275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用</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词</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说</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明</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_Toc13275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34</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2F100EE8">
          <w:pPr>
            <w:pStyle w:val="31"/>
            <w:tabs>
              <w:tab w:val="right" w:leader="dot" w:pos="8306"/>
            </w:tabs>
            <w:spacing w:line="360" w:lineRule="auto"/>
            <w:rPr>
              <w:rFonts w:hint="eastAsia" w:ascii="宋体" w:hAnsi="宋体" w:eastAsia="宋体" w:cs="宋体"/>
              <w:b w:val="0"/>
              <w:bCs/>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_Toc17047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引用标准名录</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_Toc17047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35</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58F34C87">
          <w:pPr>
            <w:pStyle w:val="31"/>
            <w:tabs>
              <w:tab w:val="right" w:leader="dot" w:pos="8306"/>
            </w:tabs>
            <w:spacing w:line="360" w:lineRule="auto"/>
            <w:rPr>
              <w:rFonts w:hint="eastAsia" w:ascii="宋体" w:hAnsi="宋体" w:eastAsia="宋体" w:cs="宋体"/>
              <w:b/>
              <w:sz w:val="21"/>
              <w:szCs w:val="21"/>
            </w:rPr>
          </w:pP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HYPERLINK \l _Toc19064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lang w:val="en-US" w:eastAsia="zh-CN"/>
            </w:rPr>
            <w:t>附：条文说明</w:t>
          </w:r>
          <w:r>
            <w:rPr>
              <w:rFonts w:hint="eastAsia" w:ascii="宋体" w:hAnsi="宋体" w:eastAsia="宋体" w:cs="宋体"/>
              <w:b w:val="0"/>
              <w:bCs/>
              <w:sz w:val="21"/>
              <w:szCs w:val="21"/>
            </w:rPr>
            <w:tab/>
          </w:r>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 PAGEREF _Toc19064 \h </w:instrText>
          </w:r>
          <w:r>
            <w:rPr>
              <w:rFonts w:hint="eastAsia" w:ascii="宋体" w:hAnsi="宋体" w:eastAsia="宋体" w:cs="宋体"/>
              <w:b w:val="0"/>
              <w:bCs/>
              <w:sz w:val="21"/>
              <w:szCs w:val="21"/>
            </w:rPr>
            <w:fldChar w:fldCharType="separate"/>
          </w:r>
          <w:r>
            <w:rPr>
              <w:rFonts w:hint="eastAsia" w:ascii="宋体" w:hAnsi="宋体" w:eastAsia="宋体" w:cs="宋体"/>
              <w:b w:val="0"/>
              <w:bCs/>
              <w:sz w:val="21"/>
              <w:szCs w:val="21"/>
            </w:rPr>
            <w:t>36</w:t>
          </w:r>
          <w:r>
            <w:rPr>
              <w:rFonts w:hint="eastAsia" w:ascii="宋体" w:hAnsi="宋体" w:eastAsia="宋体" w:cs="宋体"/>
              <w:b w:val="0"/>
              <w:bCs/>
              <w:sz w:val="21"/>
              <w:szCs w:val="21"/>
            </w:rPr>
            <w:fldChar w:fldCharType="end"/>
          </w:r>
          <w:r>
            <w:rPr>
              <w:rFonts w:hint="eastAsia" w:ascii="宋体" w:hAnsi="宋体" w:eastAsia="宋体" w:cs="宋体"/>
              <w:b w:val="0"/>
              <w:bCs/>
              <w:sz w:val="21"/>
              <w:szCs w:val="21"/>
            </w:rPr>
            <w:fldChar w:fldCharType="end"/>
          </w:r>
        </w:p>
        <w:p w14:paraId="2EE7D48A">
          <w:pPr>
            <w:spacing w:line="360" w:lineRule="auto"/>
            <w:sectPr>
              <w:pgSz w:w="11906" w:h="16838"/>
              <w:pgMar w:top="1440" w:right="1800" w:bottom="1440" w:left="1800" w:header="851" w:footer="992" w:gutter="0"/>
              <w:cols w:space="425" w:num="1"/>
              <w:docGrid w:type="lines" w:linePitch="312" w:charSpace="0"/>
            </w:sectPr>
          </w:pPr>
          <w:r>
            <w:rPr>
              <w:rFonts w:hint="eastAsia" w:ascii="宋体" w:hAnsi="宋体" w:eastAsia="宋体" w:cs="宋体"/>
              <w:b/>
              <w:sz w:val="21"/>
              <w:szCs w:val="21"/>
            </w:rPr>
            <w:fldChar w:fldCharType="end"/>
          </w:r>
        </w:p>
      </w:sdtContent>
    </w:sdt>
    <w:p w14:paraId="5891C920">
      <w:pPr>
        <w:jc w:val="center"/>
        <w:rPr>
          <w:rFonts w:hint="eastAsia" w:ascii="Times New Roman" w:hAnsi="Times New Roman" w:cs="Times New Roman"/>
          <w:b w:val="0"/>
          <w:bCs/>
          <w:color w:val="000000"/>
          <w:spacing w:val="10"/>
          <w:sz w:val="30"/>
          <w:szCs w:val="30"/>
          <w:lang w:val="en-US" w:eastAsia="zh-CN"/>
        </w:rPr>
      </w:pPr>
      <w:bookmarkStart w:id="15" w:name="_Toc18755"/>
      <w:r>
        <w:rPr>
          <w:rFonts w:hint="eastAsia" w:ascii="Times New Roman" w:hAnsi="Times New Roman" w:cs="Times New Roman"/>
          <w:b w:val="0"/>
          <w:bCs/>
          <w:color w:val="000000"/>
          <w:spacing w:val="10"/>
          <w:sz w:val="30"/>
          <w:szCs w:val="30"/>
          <w:lang w:val="en-US" w:eastAsia="zh-CN"/>
        </w:rPr>
        <w:t>Contents</w:t>
      </w:r>
    </w:p>
    <w:p w14:paraId="3D7D9300">
      <w:pPr>
        <w:pStyle w:val="31"/>
        <w:tabs>
          <w:tab w:val="right" w:leader="dot" w:pos="8306"/>
        </w:tabs>
        <w:spacing w:line="360" w:lineRule="auto"/>
        <w:rPr>
          <w:sz w:val="21"/>
          <w:szCs w:val="21"/>
        </w:rPr>
      </w:pPr>
      <w:r>
        <w:rPr>
          <w:sz w:val="21"/>
          <w:szCs w:val="21"/>
        </w:rPr>
        <w:fldChar w:fldCharType="begin"/>
      </w:r>
      <w:r>
        <w:rPr>
          <w:sz w:val="21"/>
          <w:szCs w:val="21"/>
        </w:rPr>
        <w:instrText xml:space="preserve"> HYPERLINK \l _Toc22199 </w:instrText>
      </w:r>
      <w:r>
        <w:rPr>
          <w:sz w:val="21"/>
          <w:szCs w:val="21"/>
        </w:rPr>
        <w:fldChar w:fldCharType="separate"/>
      </w:r>
      <w:r>
        <w:rPr>
          <w:rFonts w:hint="default" w:ascii="Times New Roman" w:hAnsi="Times New Roman" w:cs="Times New Roman"/>
          <w:bCs w:val="0"/>
          <w:spacing w:val="10"/>
          <w:sz w:val="21"/>
          <w:szCs w:val="32"/>
          <w:lang w:val="en-US" w:eastAsia="zh-CN"/>
        </w:rPr>
        <w:t xml:space="preserve">1 </w:t>
      </w:r>
      <w:r>
        <w:rPr>
          <w:rFonts w:hint="eastAsia" w:ascii="宋体" w:hAnsi="宋体" w:cs="宋体"/>
          <w:bCs w:val="0"/>
          <w:spacing w:val="10"/>
          <w:sz w:val="21"/>
          <w:szCs w:val="32"/>
          <w:lang w:val="en-US" w:eastAsia="zh-CN"/>
        </w:rPr>
        <w:t xml:space="preserve"> </w:t>
      </w:r>
      <w:r>
        <w:rPr>
          <w:rFonts w:hint="default" w:ascii="Times New Roman" w:hAnsi="Times New Roman" w:cs="Times New Roman"/>
          <w:bCs w:val="0"/>
          <w:spacing w:val="10"/>
          <w:sz w:val="21"/>
          <w:szCs w:val="32"/>
          <w:lang w:val="en-US" w:eastAsia="zh-CN"/>
        </w:rPr>
        <w:t>General Provisions</w:t>
      </w:r>
      <w:r>
        <w:rPr>
          <w:sz w:val="21"/>
          <w:szCs w:val="21"/>
        </w:rPr>
        <w:tab/>
      </w:r>
      <w:r>
        <w:rPr>
          <w:sz w:val="21"/>
          <w:szCs w:val="21"/>
        </w:rPr>
        <w:fldChar w:fldCharType="begin"/>
      </w:r>
      <w:r>
        <w:rPr>
          <w:sz w:val="21"/>
          <w:szCs w:val="21"/>
        </w:rPr>
        <w:instrText xml:space="preserve"> PAGEREF _Toc22199 \h </w:instrText>
      </w:r>
      <w:r>
        <w:rPr>
          <w:sz w:val="21"/>
          <w:szCs w:val="21"/>
        </w:rPr>
        <w:fldChar w:fldCharType="separate"/>
      </w:r>
      <w:r>
        <w:rPr>
          <w:sz w:val="21"/>
          <w:szCs w:val="21"/>
        </w:rPr>
        <w:t>1</w:t>
      </w:r>
      <w:r>
        <w:rPr>
          <w:sz w:val="21"/>
          <w:szCs w:val="21"/>
        </w:rPr>
        <w:fldChar w:fldCharType="end"/>
      </w:r>
      <w:r>
        <w:rPr>
          <w:sz w:val="21"/>
          <w:szCs w:val="21"/>
        </w:rPr>
        <w:fldChar w:fldCharType="end"/>
      </w:r>
    </w:p>
    <w:p w14:paraId="67A7E696">
      <w:pPr>
        <w:pStyle w:val="31"/>
        <w:tabs>
          <w:tab w:val="right" w:leader="dot" w:pos="8306"/>
        </w:tabs>
        <w:spacing w:line="360" w:lineRule="auto"/>
        <w:rPr>
          <w:sz w:val="21"/>
          <w:szCs w:val="21"/>
        </w:rPr>
      </w:pPr>
      <w:r>
        <w:rPr>
          <w:sz w:val="21"/>
          <w:szCs w:val="21"/>
        </w:rPr>
        <w:fldChar w:fldCharType="begin"/>
      </w:r>
      <w:r>
        <w:rPr>
          <w:sz w:val="21"/>
          <w:szCs w:val="21"/>
        </w:rPr>
        <w:instrText xml:space="preserve"> HYPERLINK \l _Toc1784 </w:instrText>
      </w:r>
      <w:r>
        <w:rPr>
          <w:sz w:val="21"/>
          <w:szCs w:val="21"/>
        </w:rPr>
        <w:fldChar w:fldCharType="separate"/>
      </w:r>
      <w:r>
        <w:rPr>
          <w:rFonts w:hint="eastAsia" w:ascii="Times New Roman" w:hAnsi="Times New Roman" w:cs="Times New Roman"/>
          <w:bCs w:val="0"/>
          <w:spacing w:val="10"/>
          <w:sz w:val="21"/>
          <w:szCs w:val="32"/>
          <w:lang w:val="en-US" w:eastAsia="zh-CN"/>
        </w:rPr>
        <w:t>2</w:t>
      </w:r>
      <w:r>
        <w:rPr>
          <w:rFonts w:hint="eastAsia" w:cs="Times New Roman"/>
          <w:bCs w:val="0"/>
          <w:spacing w:val="10"/>
          <w:sz w:val="21"/>
          <w:szCs w:val="32"/>
          <w:lang w:val="en-US" w:eastAsia="zh-CN"/>
        </w:rPr>
        <w:t xml:space="preserve">  Terms</w:t>
      </w:r>
      <w:r>
        <w:rPr>
          <w:sz w:val="21"/>
          <w:szCs w:val="21"/>
        </w:rPr>
        <w:tab/>
      </w:r>
      <w:r>
        <w:rPr>
          <w:rFonts w:hint="eastAsia"/>
          <w:sz w:val="21"/>
          <w:szCs w:val="21"/>
          <w:lang w:val="en-US" w:eastAsia="zh-CN"/>
        </w:rPr>
        <w:t>2</w:t>
      </w:r>
      <w:r>
        <w:rPr>
          <w:sz w:val="21"/>
          <w:szCs w:val="21"/>
        </w:rPr>
        <w:fldChar w:fldCharType="end"/>
      </w:r>
    </w:p>
    <w:p w14:paraId="4BEB52B7">
      <w:pPr>
        <w:pStyle w:val="31"/>
        <w:tabs>
          <w:tab w:val="right" w:leader="dot" w:pos="8306"/>
        </w:tabs>
        <w:spacing w:line="360" w:lineRule="auto"/>
        <w:rPr>
          <w:sz w:val="21"/>
          <w:szCs w:val="21"/>
        </w:rPr>
      </w:pPr>
      <w:r>
        <w:rPr>
          <w:sz w:val="21"/>
          <w:szCs w:val="21"/>
        </w:rPr>
        <w:fldChar w:fldCharType="begin"/>
      </w:r>
      <w:r>
        <w:rPr>
          <w:sz w:val="21"/>
          <w:szCs w:val="21"/>
        </w:rPr>
        <w:instrText xml:space="preserve"> HYPERLINK \l _Toc13945 </w:instrText>
      </w:r>
      <w:r>
        <w:rPr>
          <w:sz w:val="21"/>
          <w:szCs w:val="21"/>
        </w:rPr>
        <w:fldChar w:fldCharType="separate"/>
      </w:r>
      <w:r>
        <w:rPr>
          <w:rFonts w:hint="eastAsia" w:ascii="Times New Roman" w:hAnsi="Times New Roman" w:cs="Times New Roman"/>
          <w:bCs w:val="0"/>
          <w:spacing w:val="10"/>
          <w:sz w:val="21"/>
          <w:szCs w:val="32"/>
          <w:lang w:val="en-US" w:eastAsia="zh-CN"/>
        </w:rPr>
        <w:t>3　</w:t>
      </w:r>
      <w:r>
        <w:rPr>
          <w:rFonts w:hint="eastAsia" w:cs="Times New Roman"/>
          <w:bCs w:val="0"/>
          <w:spacing w:val="10"/>
          <w:sz w:val="21"/>
          <w:szCs w:val="32"/>
          <w:lang w:val="en-US" w:eastAsia="zh-CN"/>
        </w:rPr>
        <w:t>Basic Requirements</w:t>
      </w:r>
      <w:r>
        <w:rPr>
          <w:sz w:val="21"/>
          <w:szCs w:val="21"/>
        </w:rPr>
        <w:tab/>
      </w:r>
      <w:r>
        <w:rPr>
          <w:rFonts w:hint="eastAsia"/>
          <w:sz w:val="21"/>
          <w:szCs w:val="21"/>
          <w:lang w:val="en-US" w:eastAsia="zh-CN"/>
        </w:rPr>
        <w:t>3</w:t>
      </w:r>
      <w:r>
        <w:rPr>
          <w:sz w:val="21"/>
          <w:szCs w:val="21"/>
        </w:rPr>
        <w:fldChar w:fldCharType="end"/>
      </w:r>
    </w:p>
    <w:p w14:paraId="0D4452E8">
      <w:pPr>
        <w:pStyle w:val="31"/>
        <w:tabs>
          <w:tab w:val="right" w:leader="dot" w:pos="8306"/>
        </w:tabs>
        <w:spacing w:line="360" w:lineRule="auto"/>
        <w:rPr>
          <w:sz w:val="21"/>
          <w:szCs w:val="21"/>
        </w:rPr>
      </w:pPr>
      <w:r>
        <w:rPr>
          <w:sz w:val="21"/>
          <w:szCs w:val="21"/>
        </w:rPr>
        <w:fldChar w:fldCharType="begin"/>
      </w:r>
      <w:r>
        <w:rPr>
          <w:sz w:val="21"/>
          <w:szCs w:val="21"/>
        </w:rPr>
        <w:instrText xml:space="preserve"> HYPERLINK \l _Toc23188 </w:instrText>
      </w:r>
      <w:r>
        <w:rPr>
          <w:sz w:val="21"/>
          <w:szCs w:val="21"/>
        </w:rPr>
        <w:fldChar w:fldCharType="separate"/>
      </w:r>
      <w:r>
        <w:rPr>
          <w:rFonts w:hint="eastAsia" w:ascii="Times New Roman" w:hAnsi="Times New Roman" w:cs="Times New Roman"/>
          <w:bCs w:val="0"/>
          <w:spacing w:val="10"/>
          <w:sz w:val="21"/>
          <w:szCs w:val="32"/>
          <w:lang w:val="en-US" w:eastAsia="zh-CN"/>
        </w:rPr>
        <w:t xml:space="preserve">4  </w:t>
      </w:r>
      <w:r>
        <w:rPr>
          <w:rFonts w:hint="eastAsia" w:cs="Times New Roman"/>
          <w:bCs w:val="0"/>
          <w:spacing w:val="10"/>
          <w:sz w:val="21"/>
          <w:szCs w:val="32"/>
          <w:lang w:val="en-US" w:eastAsia="zh-CN"/>
        </w:rPr>
        <w:t>Materials</w:t>
      </w:r>
      <w:r>
        <w:rPr>
          <w:sz w:val="21"/>
          <w:szCs w:val="21"/>
        </w:rPr>
        <w:tab/>
      </w:r>
      <w:r>
        <w:rPr>
          <w:rFonts w:hint="eastAsia"/>
          <w:sz w:val="21"/>
          <w:szCs w:val="21"/>
          <w:lang w:val="en-US" w:eastAsia="zh-CN"/>
        </w:rPr>
        <w:t>4</w:t>
      </w:r>
      <w:r>
        <w:rPr>
          <w:sz w:val="21"/>
          <w:szCs w:val="21"/>
        </w:rPr>
        <w:fldChar w:fldCharType="end"/>
      </w:r>
    </w:p>
    <w:p w14:paraId="4DBFD1B9">
      <w:pPr>
        <w:pStyle w:val="31"/>
        <w:tabs>
          <w:tab w:val="right" w:leader="dot" w:pos="8306"/>
        </w:tabs>
        <w:spacing w:line="360" w:lineRule="auto"/>
        <w:rPr>
          <w:sz w:val="21"/>
          <w:szCs w:val="21"/>
        </w:rPr>
      </w:pPr>
      <w:r>
        <w:rPr>
          <w:sz w:val="21"/>
          <w:szCs w:val="21"/>
        </w:rPr>
        <w:fldChar w:fldCharType="begin"/>
      </w:r>
      <w:r>
        <w:rPr>
          <w:sz w:val="21"/>
          <w:szCs w:val="21"/>
        </w:rPr>
        <w:instrText xml:space="preserve"> HYPERLINK \l _Toc15386 </w:instrText>
      </w:r>
      <w:r>
        <w:rPr>
          <w:sz w:val="21"/>
          <w:szCs w:val="21"/>
        </w:rPr>
        <w:fldChar w:fldCharType="separate"/>
      </w:r>
      <w:r>
        <w:rPr>
          <w:rFonts w:hint="eastAsia" w:ascii="Times New Roman" w:hAnsi="Times New Roman" w:cs="Times New Roman"/>
          <w:bCs w:val="0"/>
          <w:spacing w:val="10"/>
          <w:sz w:val="21"/>
          <w:szCs w:val="32"/>
          <w:lang w:val="en-US" w:eastAsia="zh-CN"/>
        </w:rPr>
        <w:t xml:space="preserve">5  </w:t>
      </w:r>
      <w:r>
        <w:rPr>
          <w:rFonts w:hint="eastAsia" w:cs="Times New Roman"/>
          <w:bCs w:val="0"/>
          <w:spacing w:val="10"/>
          <w:sz w:val="21"/>
          <w:szCs w:val="32"/>
          <w:lang w:val="en-US" w:eastAsia="zh-CN"/>
        </w:rPr>
        <w:t>Design</w:t>
      </w:r>
      <w:r>
        <w:rPr>
          <w:sz w:val="21"/>
          <w:szCs w:val="21"/>
        </w:rPr>
        <w:tab/>
      </w:r>
      <w:r>
        <w:rPr>
          <w:rFonts w:hint="eastAsia"/>
          <w:sz w:val="21"/>
          <w:szCs w:val="21"/>
          <w:lang w:val="en-US" w:eastAsia="zh-CN"/>
        </w:rPr>
        <w:t>9</w:t>
      </w:r>
      <w:r>
        <w:rPr>
          <w:sz w:val="21"/>
          <w:szCs w:val="21"/>
        </w:rPr>
        <w:fldChar w:fldCharType="end"/>
      </w:r>
    </w:p>
    <w:p w14:paraId="0340D1C4">
      <w:pPr>
        <w:pStyle w:val="31"/>
        <w:tabs>
          <w:tab w:val="right" w:leader="dot" w:pos="8306"/>
        </w:tabs>
        <w:spacing w:line="360" w:lineRule="auto"/>
        <w:rPr>
          <w:rFonts w:hint="eastAsia" w:eastAsiaTheme="minorEastAsia"/>
          <w:sz w:val="21"/>
          <w:szCs w:val="21"/>
          <w:lang w:val="en-US" w:eastAsia="zh-CN"/>
        </w:rPr>
      </w:pPr>
      <w:r>
        <w:rPr>
          <w:sz w:val="21"/>
          <w:szCs w:val="21"/>
        </w:rPr>
        <w:fldChar w:fldCharType="begin"/>
      </w:r>
      <w:r>
        <w:rPr>
          <w:sz w:val="21"/>
          <w:szCs w:val="21"/>
        </w:rPr>
        <w:instrText xml:space="preserve"> HYPERLINK \l _Toc15605 </w:instrText>
      </w:r>
      <w:r>
        <w:rPr>
          <w:sz w:val="21"/>
          <w:szCs w:val="21"/>
        </w:rPr>
        <w:fldChar w:fldCharType="separate"/>
      </w:r>
      <w:r>
        <w:rPr>
          <w:rFonts w:hint="eastAsia" w:ascii="Times New Roman" w:hAnsi="Times New Roman" w:cs="Times New Roman"/>
          <w:bCs w:val="0"/>
          <w:spacing w:val="10"/>
          <w:sz w:val="21"/>
          <w:szCs w:val="32"/>
          <w:lang w:val="en-US" w:eastAsia="zh-CN"/>
        </w:rPr>
        <w:t xml:space="preserve">6  </w:t>
      </w:r>
      <w:r>
        <w:rPr>
          <w:rFonts w:hint="eastAsia" w:cs="Times New Roman"/>
          <w:bCs w:val="0"/>
          <w:spacing w:val="10"/>
          <w:sz w:val="21"/>
          <w:szCs w:val="32"/>
          <w:lang w:val="en-US" w:eastAsia="zh-CN"/>
        </w:rPr>
        <w:t>Construction</w:t>
      </w:r>
      <w:r>
        <w:rPr>
          <w:sz w:val="21"/>
          <w:szCs w:val="21"/>
        </w:rPr>
        <w:tab/>
      </w:r>
      <w:r>
        <w:rPr>
          <w:rFonts w:hint="eastAsia"/>
          <w:sz w:val="21"/>
          <w:szCs w:val="21"/>
          <w:lang w:val="en-US" w:eastAsia="zh-CN"/>
        </w:rPr>
        <w:t>2</w:t>
      </w:r>
      <w:r>
        <w:rPr>
          <w:sz w:val="21"/>
          <w:szCs w:val="21"/>
        </w:rPr>
        <w:fldChar w:fldCharType="end"/>
      </w:r>
      <w:r>
        <w:rPr>
          <w:rFonts w:hint="eastAsia"/>
          <w:sz w:val="21"/>
          <w:szCs w:val="21"/>
          <w:lang w:val="en-US" w:eastAsia="zh-CN"/>
        </w:rPr>
        <w:t>0</w:t>
      </w:r>
    </w:p>
    <w:p w14:paraId="32CF8270">
      <w:pPr>
        <w:pStyle w:val="31"/>
        <w:tabs>
          <w:tab w:val="right" w:leader="dot" w:pos="8306"/>
        </w:tabs>
        <w:spacing w:line="360" w:lineRule="auto"/>
        <w:rPr>
          <w:rFonts w:hint="eastAsia" w:eastAsiaTheme="minorEastAsia"/>
          <w:sz w:val="21"/>
          <w:szCs w:val="21"/>
          <w:lang w:val="en-US" w:eastAsia="zh-CN"/>
        </w:rPr>
      </w:pPr>
      <w:r>
        <w:rPr>
          <w:sz w:val="21"/>
          <w:szCs w:val="21"/>
        </w:rPr>
        <w:fldChar w:fldCharType="begin"/>
      </w:r>
      <w:r>
        <w:rPr>
          <w:sz w:val="21"/>
          <w:szCs w:val="21"/>
        </w:rPr>
        <w:instrText xml:space="preserve"> HYPERLINK \l _Toc17962 </w:instrText>
      </w:r>
      <w:r>
        <w:rPr>
          <w:sz w:val="21"/>
          <w:szCs w:val="21"/>
        </w:rPr>
        <w:fldChar w:fldCharType="separate"/>
      </w:r>
      <w:r>
        <w:rPr>
          <w:rFonts w:hint="eastAsia" w:ascii="Times New Roman" w:hAnsi="Times New Roman" w:cs="Times New Roman"/>
          <w:bCs w:val="0"/>
          <w:spacing w:val="10"/>
          <w:sz w:val="21"/>
          <w:szCs w:val="32"/>
          <w:lang w:val="en-US" w:eastAsia="zh-CN"/>
        </w:rPr>
        <w:t xml:space="preserve">7  </w:t>
      </w:r>
      <w:r>
        <w:rPr>
          <w:rFonts w:hint="eastAsia" w:cs="Times New Roman"/>
          <w:bCs w:val="0"/>
          <w:spacing w:val="10"/>
          <w:sz w:val="21"/>
          <w:szCs w:val="32"/>
          <w:lang w:val="en-US" w:eastAsia="zh-CN"/>
        </w:rPr>
        <w:t>Quality Acceptance</w:t>
      </w:r>
      <w:r>
        <w:rPr>
          <w:sz w:val="21"/>
          <w:szCs w:val="21"/>
        </w:rPr>
        <w:tab/>
      </w:r>
      <w:r>
        <w:rPr>
          <w:rFonts w:hint="eastAsia"/>
          <w:sz w:val="21"/>
          <w:szCs w:val="21"/>
          <w:lang w:val="en-US" w:eastAsia="zh-CN"/>
        </w:rPr>
        <w:t>2</w:t>
      </w:r>
      <w:r>
        <w:rPr>
          <w:sz w:val="21"/>
          <w:szCs w:val="21"/>
        </w:rPr>
        <w:fldChar w:fldCharType="end"/>
      </w:r>
      <w:r>
        <w:rPr>
          <w:rFonts w:hint="eastAsia"/>
          <w:sz w:val="21"/>
          <w:szCs w:val="21"/>
          <w:lang w:val="en-US" w:eastAsia="zh-CN"/>
        </w:rPr>
        <w:t>9</w:t>
      </w:r>
    </w:p>
    <w:p w14:paraId="76ADCA20">
      <w:pPr>
        <w:pStyle w:val="31"/>
        <w:tabs>
          <w:tab w:val="right" w:leader="dot" w:pos="8306"/>
        </w:tabs>
        <w:spacing w:line="360" w:lineRule="auto"/>
        <w:rPr>
          <w:rFonts w:hint="eastAsia" w:eastAsia="宋体"/>
          <w:sz w:val="21"/>
          <w:szCs w:val="21"/>
          <w:lang w:val="en-US" w:eastAsia="zh-CN"/>
        </w:rPr>
      </w:pPr>
      <w:r>
        <w:rPr>
          <w:sz w:val="21"/>
          <w:szCs w:val="21"/>
        </w:rPr>
        <w:fldChar w:fldCharType="begin"/>
      </w:r>
      <w:r>
        <w:rPr>
          <w:sz w:val="21"/>
          <w:szCs w:val="21"/>
        </w:rPr>
        <w:instrText xml:space="preserve"> HYPERLINK \l _Toc20100 </w:instrText>
      </w:r>
      <w:r>
        <w:rPr>
          <w:sz w:val="21"/>
          <w:szCs w:val="21"/>
        </w:rPr>
        <w:fldChar w:fldCharType="separate"/>
      </w:r>
      <w:r>
        <w:rPr>
          <w:rFonts w:hint="eastAsia" w:cs="Times New Roman"/>
          <w:bCs w:val="0"/>
          <w:spacing w:val="10"/>
          <w:sz w:val="21"/>
          <w:szCs w:val="32"/>
          <w:lang w:val="en-US" w:eastAsia="zh-CN"/>
        </w:rPr>
        <w:t>Explanation of Wording in This Specification</w:t>
      </w:r>
      <w:r>
        <w:rPr>
          <w:sz w:val="21"/>
          <w:szCs w:val="21"/>
        </w:rPr>
        <w:tab/>
      </w:r>
      <w:r>
        <w:rPr>
          <w:rFonts w:hint="eastAsia"/>
          <w:sz w:val="21"/>
          <w:szCs w:val="21"/>
          <w:lang w:val="en-US" w:eastAsia="zh-CN"/>
        </w:rPr>
        <w:t>3</w:t>
      </w:r>
      <w:r>
        <w:rPr>
          <w:sz w:val="21"/>
          <w:szCs w:val="21"/>
        </w:rPr>
        <w:fldChar w:fldCharType="end"/>
      </w:r>
      <w:r>
        <w:rPr>
          <w:rFonts w:hint="eastAsia"/>
          <w:sz w:val="21"/>
          <w:szCs w:val="21"/>
          <w:lang w:val="en-US" w:eastAsia="zh-CN"/>
        </w:rPr>
        <w:t>4</w:t>
      </w:r>
    </w:p>
    <w:p w14:paraId="72C4A344">
      <w:pPr>
        <w:pStyle w:val="31"/>
        <w:tabs>
          <w:tab w:val="right" w:leader="dot" w:pos="8306"/>
        </w:tabs>
        <w:spacing w:line="360" w:lineRule="auto"/>
        <w:rPr>
          <w:rFonts w:hint="default" w:eastAsiaTheme="minorEastAsia"/>
          <w:sz w:val="21"/>
          <w:szCs w:val="21"/>
          <w:lang w:val="en-US" w:eastAsia="zh-CN"/>
        </w:rPr>
      </w:pPr>
      <w:r>
        <w:rPr>
          <w:sz w:val="21"/>
          <w:szCs w:val="21"/>
        </w:rPr>
        <w:fldChar w:fldCharType="begin"/>
      </w:r>
      <w:r>
        <w:rPr>
          <w:sz w:val="21"/>
          <w:szCs w:val="21"/>
        </w:rPr>
        <w:instrText xml:space="preserve"> HYPERLINK \l _Toc17861 </w:instrText>
      </w:r>
      <w:r>
        <w:rPr>
          <w:sz w:val="21"/>
          <w:szCs w:val="21"/>
        </w:rPr>
        <w:fldChar w:fldCharType="separate"/>
      </w:r>
      <w:r>
        <w:rPr>
          <w:rFonts w:hint="eastAsia" w:cs="Times New Roman"/>
          <w:bCs w:val="0"/>
          <w:spacing w:val="10"/>
          <w:sz w:val="21"/>
          <w:szCs w:val="32"/>
          <w:lang w:val="en-US" w:eastAsia="zh-CN"/>
        </w:rPr>
        <w:t>List of Quoted Standards</w:t>
      </w:r>
      <w:r>
        <w:rPr>
          <w:sz w:val="21"/>
          <w:szCs w:val="21"/>
        </w:rPr>
        <w:tab/>
      </w:r>
      <w:r>
        <w:rPr>
          <w:rFonts w:hint="eastAsia"/>
          <w:sz w:val="21"/>
          <w:szCs w:val="21"/>
          <w:lang w:val="en-US" w:eastAsia="zh-CN"/>
        </w:rPr>
        <w:t>3</w:t>
      </w:r>
      <w:r>
        <w:rPr>
          <w:sz w:val="21"/>
          <w:szCs w:val="21"/>
        </w:rPr>
        <w:fldChar w:fldCharType="end"/>
      </w:r>
      <w:r>
        <w:rPr>
          <w:rFonts w:hint="eastAsia"/>
          <w:sz w:val="21"/>
          <w:szCs w:val="21"/>
          <w:lang w:val="en-US" w:eastAsia="zh-CN"/>
        </w:rPr>
        <w:t>5</w:t>
      </w:r>
    </w:p>
    <w:p w14:paraId="4282D131">
      <w:pPr>
        <w:pStyle w:val="31"/>
        <w:tabs>
          <w:tab w:val="right" w:leader="dot" w:pos="8306"/>
        </w:tabs>
        <w:spacing w:line="360" w:lineRule="auto"/>
        <w:rPr>
          <w:rFonts w:hint="default" w:ascii="Times New Roman" w:hAnsi="Times New Roman" w:cs="Times New Roman"/>
          <w:b/>
          <w:bCs w:val="0"/>
          <w:color w:val="000000"/>
          <w:spacing w:val="10"/>
          <w:sz w:val="30"/>
          <w:szCs w:val="30"/>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sz w:val="21"/>
          <w:szCs w:val="21"/>
        </w:rPr>
        <w:fldChar w:fldCharType="begin"/>
      </w:r>
      <w:r>
        <w:rPr>
          <w:sz w:val="21"/>
          <w:szCs w:val="21"/>
        </w:rPr>
        <w:instrText xml:space="preserve"> HYPERLINK \l _Toc17861 </w:instrText>
      </w:r>
      <w:r>
        <w:rPr>
          <w:sz w:val="21"/>
          <w:szCs w:val="21"/>
        </w:rPr>
        <w:fldChar w:fldCharType="separate"/>
      </w:r>
      <w:r>
        <w:rPr>
          <w:rFonts w:hint="eastAsia" w:cs="Times New Roman"/>
          <w:bCs w:val="0"/>
          <w:spacing w:val="10"/>
          <w:sz w:val="21"/>
          <w:szCs w:val="32"/>
          <w:lang w:val="en-US" w:eastAsia="zh-CN"/>
        </w:rPr>
        <w:t>Addition:Explanation of Provisions</w:t>
      </w:r>
      <w:r>
        <w:rPr>
          <w:sz w:val="21"/>
          <w:szCs w:val="21"/>
        </w:rPr>
        <w:tab/>
      </w:r>
      <w:r>
        <w:rPr>
          <w:rFonts w:hint="eastAsia"/>
          <w:sz w:val="21"/>
          <w:szCs w:val="21"/>
          <w:lang w:val="en-US" w:eastAsia="zh-CN"/>
        </w:rPr>
        <w:t>3</w:t>
      </w:r>
      <w:r>
        <w:rPr>
          <w:sz w:val="21"/>
          <w:szCs w:val="21"/>
        </w:rPr>
        <w:fldChar w:fldCharType="end"/>
      </w:r>
      <w:r>
        <w:rPr>
          <w:rFonts w:hint="eastAsia"/>
          <w:sz w:val="21"/>
          <w:szCs w:val="21"/>
          <w:lang w:val="en-US" w:eastAsia="zh-CN"/>
        </w:rPr>
        <w:t>6</w:t>
      </w:r>
    </w:p>
    <w:p w14:paraId="2CBE095D">
      <w:pPr>
        <w:pStyle w:val="6"/>
        <w:jc w:val="center"/>
        <w:outlineLvl w:val="0"/>
        <w:rPr>
          <w:rFonts w:ascii="黑体" w:hAnsi="黑体" w:eastAsia="黑体" w:cs="黑体"/>
          <w:sz w:val="32"/>
          <w:szCs w:val="40"/>
        </w:rPr>
      </w:pPr>
      <w:r>
        <w:rPr>
          <w:rFonts w:hint="eastAsia" w:ascii="黑体" w:hAnsi="黑体" w:eastAsia="黑体" w:cs="黑体"/>
          <w:sz w:val="32"/>
          <w:szCs w:val="40"/>
        </w:rPr>
        <w:t xml:space="preserve">1 </w:t>
      </w:r>
      <w:r>
        <w:rPr>
          <w:rFonts w:ascii="黑体" w:hAnsi="黑体" w:eastAsia="黑体" w:cs="黑体"/>
          <w:sz w:val="32"/>
          <w:szCs w:val="40"/>
        </w:rPr>
        <w:t xml:space="preserve"> </w:t>
      </w:r>
      <w:r>
        <w:rPr>
          <w:rFonts w:hint="eastAsia" w:ascii="黑体" w:hAnsi="黑体" w:eastAsia="黑体" w:cs="黑体"/>
          <w:sz w:val="32"/>
          <w:szCs w:val="40"/>
        </w:rPr>
        <w:t>总  则</w:t>
      </w:r>
      <w:bookmarkEnd w:id="15"/>
    </w:p>
    <w:p w14:paraId="50424E75">
      <w:pPr>
        <w:pStyle w:val="6"/>
        <w:rPr>
          <w:rFonts w:ascii="Times New Roman" w:hAnsi="Times New Roman"/>
        </w:rPr>
      </w:pPr>
    </w:p>
    <w:p w14:paraId="6A1F1813">
      <w:pPr>
        <w:pStyle w:val="6"/>
        <w:spacing w:line="480" w:lineRule="exact"/>
        <w:rPr>
          <w:rFonts w:asciiTheme="minorEastAsia" w:hAnsiTheme="minorEastAsia" w:eastAsiaTheme="minorEastAsia" w:cstheme="minorEastAsia"/>
        </w:rPr>
      </w:pPr>
      <w:r>
        <w:rPr>
          <w:rFonts w:hint="eastAsia" w:asciiTheme="minorEastAsia" w:hAnsiTheme="minorEastAsia" w:eastAsiaTheme="minorEastAsia" w:cstheme="minorEastAsia"/>
        </w:rPr>
        <w:t xml:space="preserve">1.0.1  </w:t>
      </w:r>
      <w:r>
        <w:rPr>
          <w:rFonts w:hint="eastAsia" w:ascii="Times New Roman" w:hAnsi="Times New Roman"/>
        </w:rPr>
        <w:t>为贯彻国家保护环境及节约能源资源的政策</w:t>
      </w:r>
      <w:r>
        <w:rPr>
          <w:rFonts w:ascii="Times New Roman" w:hAnsi="Times New Roman"/>
        </w:rPr>
        <w:t>，规范</w:t>
      </w:r>
      <w:r>
        <w:rPr>
          <w:rFonts w:hint="eastAsia" w:asciiTheme="minorEastAsia" w:hAnsiTheme="minorEastAsia" w:eastAsiaTheme="minorEastAsia" w:cstheme="minorEastAsia"/>
        </w:rPr>
        <w:t>种植屋面、</w:t>
      </w:r>
      <w:r>
        <w:rPr>
          <w:rFonts w:asciiTheme="minorEastAsia" w:hAnsiTheme="minorEastAsia" w:eastAsiaTheme="minorEastAsia" w:cstheme="minorEastAsia"/>
        </w:rPr>
        <w:t>种植</w:t>
      </w:r>
      <w:r>
        <w:rPr>
          <w:rFonts w:hint="eastAsia" w:asciiTheme="minorEastAsia" w:hAnsiTheme="minorEastAsia" w:eastAsiaTheme="minorEastAsia" w:cstheme="minorEastAsia"/>
        </w:rPr>
        <w:t>顶板工程防水的设计、施工技术、提高工程质量管理水平，做到确保质量、技术先进、系统优化、经济合理、安全适用的要求，制定本规程。</w:t>
      </w:r>
    </w:p>
    <w:p w14:paraId="7C07F1A5">
      <w:pPr>
        <w:pStyle w:val="6"/>
        <w:spacing w:line="480" w:lineRule="exact"/>
        <w:rPr>
          <w:rFonts w:asciiTheme="minorEastAsia" w:hAnsiTheme="minorEastAsia" w:eastAsiaTheme="minorEastAsia" w:cstheme="minorEastAsia"/>
        </w:rPr>
      </w:pPr>
      <w:r>
        <w:rPr>
          <w:rFonts w:hint="eastAsia" w:asciiTheme="minorEastAsia" w:hAnsiTheme="minorEastAsia" w:eastAsiaTheme="minorEastAsia" w:cstheme="minorEastAsia"/>
        </w:rPr>
        <w:t>1.0.2  本规程适用于新建、既有建筑屋面和地下建筑顶板种植工程的设计、施工、质量验收和维护管理。</w:t>
      </w:r>
    </w:p>
    <w:p w14:paraId="68D175D2">
      <w:pPr>
        <w:pStyle w:val="6"/>
        <w:spacing w:line="480" w:lineRule="exact"/>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1.0.3  种植屋面</w:t>
      </w:r>
      <w:r>
        <w:rPr>
          <w:rFonts w:asciiTheme="minorEastAsia" w:hAnsiTheme="minorEastAsia" w:eastAsiaTheme="minorEastAsia" w:cstheme="minorEastAsia"/>
          <w:highlight w:val="none"/>
        </w:rPr>
        <w:t>、种植顶板</w:t>
      </w:r>
      <w:r>
        <w:rPr>
          <w:rFonts w:hint="eastAsia" w:asciiTheme="minorEastAsia" w:hAnsiTheme="minorEastAsia" w:eastAsiaTheme="minorEastAsia" w:cstheme="minorEastAsia"/>
          <w:highlight w:val="none"/>
        </w:rPr>
        <w:t>工程的设计、施工、质量验收和维护管理除应符合本规程外，尚应符合国家现行有关标准的规定。</w:t>
      </w:r>
    </w:p>
    <w:p w14:paraId="68FF941C">
      <w:pPr>
        <w:pStyle w:val="6"/>
        <w:spacing w:line="480" w:lineRule="exact"/>
        <w:ind w:firstLine="420" w:firstLineChars="200"/>
        <w:rPr>
          <w:rFonts w:asciiTheme="minorEastAsia" w:hAnsiTheme="minorEastAsia" w:eastAsiaTheme="minorEastAsia" w:cstheme="minorEastAsia"/>
          <w:highlight w:val="none"/>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78C17EFB">
      <w:pPr>
        <w:pStyle w:val="6"/>
        <w:jc w:val="center"/>
        <w:outlineLvl w:val="0"/>
        <w:rPr>
          <w:rFonts w:ascii="黑体" w:hAnsi="黑体" w:eastAsia="黑体" w:cs="黑体"/>
          <w:sz w:val="32"/>
          <w:szCs w:val="40"/>
        </w:rPr>
      </w:pPr>
      <w:bookmarkStart w:id="16" w:name="_Toc30862"/>
      <w:r>
        <w:rPr>
          <w:rFonts w:hint="eastAsia" w:ascii="黑体" w:hAnsi="黑体" w:eastAsia="黑体" w:cs="黑体"/>
          <w:sz w:val="32"/>
          <w:szCs w:val="40"/>
        </w:rPr>
        <w:t>2</w:t>
      </w:r>
      <w:r>
        <w:rPr>
          <w:rFonts w:ascii="黑体" w:hAnsi="黑体" w:eastAsia="黑体" w:cs="黑体"/>
          <w:sz w:val="32"/>
          <w:szCs w:val="40"/>
        </w:rPr>
        <w:t xml:space="preserve"> </w:t>
      </w:r>
      <w:r>
        <w:rPr>
          <w:rFonts w:hint="eastAsia" w:ascii="黑体" w:hAnsi="黑体" w:eastAsia="黑体" w:cs="黑体"/>
          <w:sz w:val="32"/>
          <w:szCs w:val="40"/>
        </w:rPr>
        <w:t xml:space="preserve"> 术  语</w:t>
      </w:r>
      <w:bookmarkEnd w:id="16"/>
    </w:p>
    <w:p w14:paraId="32046DDF">
      <w:pPr>
        <w:pStyle w:val="6"/>
        <w:rPr>
          <w:rFonts w:ascii="Times New Roman" w:hAnsi="Times New Roman"/>
        </w:rPr>
      </w:pPr>
    </w:p>
    <w:p w14:paraId="029A9CC6">
      <w:pPr>
        <w:pStyle w:val="6"/>
        <w:spacing w:line="480" w:lineRule="exact"/>
        <w:outlineLvl w:val="1"/>
        <w:rPr>
          <w:rFonts w:asciiTheme="minorEastAsia" w:hAnsiTheme="minorEastAsia" w:eastAsiaTheme="minorEastAsia" w:cstheme="minorEastAsia"/>
        </w:rPr>
      </w:pPr>
      <w:bookmarkStart w:id="17" w:name="_Toc13439"/>
      <w:r>
        <w:rPr>
          <w:rFonts w:asciiTheme="minorEastAsia" w:hAnsiTheme="minorEastAsia" w:eastAsiaTheme="minorEastAsia" w:cstheme="minorEastAsia"/>
        </w:rPr>
        <w:t xml:space="preserve">2.0.1 </w:t>
      </w:r>
      <w:r>
        <w:rPr>
          <w:rFonts w:hint="eastAsia" w:asciiTheme="minorEastAsia" w:hAnsiTheme="minorEastAsia" w:eastAsiaTheme="minorEastAsia" w:cstheme="minorEastAsia"/>
        </w:rPr>
        <w:t xml:space="preserve"> </w:t>
      </w:r>
      <w:r>
        <w:rPr>
          <w:rFonts w:asciiTheme="minorEastAsia" w:hAnsiTheme="minorEastAsia" w:eastAsiaTheme="minorEastAsia" w:cstheme="minorEastAsia"/>
        </w:rPr>
        <w:t>种植屋面</w:t>
      </w:r>
      <w:r>
        <w:rPr>
          <w:rFonts w:hint="eastAsia" w:asciiTheme="minorEastAsia" w:hAnsiTheme="minorEastAsia" w:eastAsiaTheme="minorEastAsia" w:cstheme="minorEastAsia"/>
        </w:rPr>
        <w:t xml:space="preserve">  </w:t>
      </w:r>
      <w:r>
        <w:rPr>
          <w:rFonts w:asciiTheme="minorEastAsia" w:hAnsiTheme="minorEastAsia" w:eastAsiaTheme="minorEastAsia" w:cstheme="minorEastAsia"/>
        </w:rPr>
        <w:t>green roof</w:t>
      </w:r>
      <w:bookmarkEnd w:id="17"/>
    </w:p>
    <w:p w14:paraId="16546182">
      <w:pPr>
        <w:pStyle w:val="6"/>
        <w:spacing w:line="480" w:lineRule="exact"/>
        <w:ind w:firstLine="420" w:firstLineChars="200"/>
        <w:rPr>
          <w:rFonts w:asciiTheme="minorEastAsia" w:hAnsiTheme="minorEastAsia" w:eastAsiaTheme="minorEastAsia" w:cstheme="minorEastAsia"/>
        </w:rPr>
      </w:pPr>
      <w:r>
        <w:rPr>
          <w:rFonts w:asciiTheme="minorEastAsia" w:hAnsiTheme="minorEastAsia" w:eastAsiaTheme="minorEastAsia" w:cstheme="minorEastAsia"/>
        </w:rPr>
        <w:t>铺以种植土或设置容器种植植物的建筑屋面或地下建筑顶板。</w:t>
      </w:r>
    </w:p>
    <w:p w14:paraId="1704F116">
      <w:pPr>
        <w:pStyle w:val="6"/>
        <w:spacing w:line="480" w:lineRule="exact"/>
        <w:rPr>
          <w:rFonts w:asciiTheme="minorEastAsia" w:hAnsiTheme="minorEastAsia" w:eastAsiaTheme="minorEastAsia" w:cstheme="minorEastAsia"/>
        </w:rPr>
      </w:pPr>
      <w:r>
        <w:rPr>
          <w:rFonts w:asciiTheme="minorEastAsia" w:hAnsiTheme="minorEastAsia" w:eastAsiaTheme="minorEastAsia" w:cstheme="minorEastAsia"/>
        </w:rPr>
        <w:t xml:space="preserve">2.0.2 </w:t>
      </w:r>
      <w:r>
        <w:rPr>
          <w:rFonts w:hint="eastAsia" w:asciiTheme="minorEastAsia" w:hAnsiTheme="minorEastAsia" w:eastAsiaTheme="minorEastAsia" w:cstheme="minorEastAsia"/>
        </w:rPr>
        <w:t xml:space="preserve"> </w:t>
      </w:r>
      <w:r>
        <w:rPr>
          <w:rFonts w:asciiTheme="minorEastAsia" w:hAnsiTheme="minorEastAsia" w:eastAsiaTheme="minorEastAsia" w:cstheme="minorEastAsia"/>
        </w:rPr>
        <w:t>地下建筑顶板</w:t>
      </w:r>
      <w:r>
        <w:rPr>
          <w:rFonts w:hint="eastAsia" w:asciiTheme="minorEastAsia" w:hAnsiTheme="minorEastAsia" w:eastAsiaTheme="minorEastAsia" w:cstheme="minorEastAsia"/>
        </w:rPr>
        <w:t xml:space="preserve">  </w:t>
      </w:r>
      <w:r>
        <w:rPr>
          <w:rFonts w:asciiTheme="minorEastAsia" w:hAnsiTheme="minorEastAsia" w:eastAsiaTheme="minorEastAsia" w:cstheme="minorEastAsia"/>
        </w:rPr>
        <w:t>underground structure plaza</w:t>
      </w:r>
    </w:p>
    <w:p w14:paraId="76644728">
      <w:pPr>
        <w:pStyle w:val="6"/>
        <w:spacing w:line="480" w:lineRule="exact"/>
        <w:ind w:firstLine="420" w:firstLineChars="200"/>
        <w:rPr>
          <w:rFonts w:asciiTheme="minorEastAsia" w:hAnsiTheme="minorEastAsia" w:eastAsiaTheme="minorEastAsia" w:cstheme="minorEastAsia"/>
        </w:rPr>
      </w:pPr>
      <w:r>
        <w:rPr>
          <w:rFonts w:asciiTheme="minorEastAsia" w:hAnsiTheme="minorEastAsia" w:eastAsiaTheme="minorEastAsia" w:cstheme="minorEastAsia"/>
        </w:rPr>
        <w:t>地下建筑物、构筑物的顶部承重板。</w:t>
      </w:r>
    </w:p>
    <w:p w14:paraId="1AEE474B">
      <w:pPr>
        <w:pStyle w:val="6"/>
        <w:spacing w:line="480" w:lineRule="exact"/>
        <w:outlineLvl w:val="1"/>
        <w:rPr>
          <w:rFonts w:asciiTheme="minorEastAsia" w:hAnsiTheme="minorEastAsia" w:eastAsiaTheme="minorEastAsia" w:cstheme="minorEastAsia"/>
        </w:rPr>
      </w:pPr>
      <w:bookmarkStart w:id="18" w:name="_Toc7395"/>
      <w:r>
        <w:rPr>
          <w:rFonts w:hint="eastAsia" w:asciiTheme="minorEastAsia" w:hAnsiTheme="minorEastAsia" w:eastAsiaTheme="minorEastAsia" w:cstheme="minorEastAsia"/>
        </w:rPr>
        <w:t>2.0.3  种植荷载  planting load</w:t>
      </w:r>
      <w:bookmarkEnd w:id="18"/>
    </w:p>
    <w:p w14:paraId="002A3D58">
      <w:pPr>
        <w:pStyle w:val="6"/>
        <w:spacing w:line="4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种植区排水层、过滤层、水饱和种植基质层和植被层等总体产生的重力荷载。</w:t>
      </w:r>
    </w:p>
    <w:p w14:paraId="3F2BE9BD">
      <w:pPr>
        <w:pStyle w:val="6"/>
        <w:spacing w:line="480" w:lineRule="exact"/>
        <w:rPr>
          <w:rFonts w:asciiTheme="minorEastAsia" w:hAnsiTheme="minorEastAsia" w:eastAsiaTheme="minorEastAsia" w:cstheme="minorEastAsia"/>
        </w:rPr>
      </w:pPr>
      <w:r>
        <w:rPr>
          <w:rFonts w:asciiTheme="minorEastAsia" w:hAnsiTheme="minorEastAsia" w:eastAsiaTheme="minorEastAsia" w:cstheme="minorEastAsia"/>
        </w:rPr>
        <w:t>2.0.</w:t>
      </w:r>
      <w:r>
        <w:rPr>
          <w:rFonts w:hint="eastAsia" w:asciiTheme="minorEastAsia" w:hAnsiTheme="minorEastAsia" w:eastAsiaTheme="minorEastAsia" w:cstheme="minorEastAsia"/>
        </w:rPr>
        <w:t>4</w:t>
      </w:r>
      <w:r>
        <w:rPr>
          <w:rFonts w:asciiTheme="minorEastAsia" w:hAnsiTheme="minorEastAsia" w:eastAsiaTheme="minorEastAsia" w:cstheme="minorEastAsia"/>
        </w:rPr>
        <w:t xml:space="preserve"> </w:t>
      </w:r>
      <w:r>
        <w:rPr>
          <w:rFonts w:hint="eastAsia" w:asciiTheme="minorEastAsia" w:hAnsiTheme="minorEastAsia" w:eastAsiaTheme="minorEastAsia" w:cstheme="minorEastAsia"/>
        </w:rPr>
        <w:t xml:space="preserve"> 水饱和容重  water saturation density</w:t>
      </w:r>
    </w:p>
    <w:p w14:paraId="7B1CD10E">
      <w:pPr>
        <w:pStyle w:val="6"/>
        <w:spacing w:line="4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种植基质吸持最大水量时单位体积的重力荷载。</w:t>
      </w:r>
    </w:p>
    <w:p w14:paraId="097E4AA6">
      <w:pPr>
        <w:pStyle w:val="6"/>
        <w:spacing w:line="480" w:lineRule="exact"/>
        <w:rPr>
          <w:rFonts w:asciiTheme="minorEastAsia" w:hAnsiTheme="minorEastAsia" w:eastAsiaTheme="minorEastAsia" w:cstheme="minorEastAsia"/>
        </w:rPr>
      </w:pPr>
      <w:r>
        <w:rPr>
          <w:rFonts w:asciiTheme="minorEastAsia" w:hAnsiTheme="minorEastAsia" w:eastAsiaTheme="minorEastAsia" w:cstheme="minorEastAsia"/>
        </w:rPr>
        <w:t>2.0.5</w:t>
      </w:r>
      <w:r>
        <w:rPr>
          <w:rFonts w:hint="eastAsia" w:asciiTheme="minorEastAsia" w:hAnsiTheme="minorEastAsia" w:eastAsiaTheme="minorEastAsia" w:cstheme="minorEastAsia"/>
        </w:rPr>
        <w:t xml:space="preserve">  </w:t>
      </w:r>
      <w:r>
        <w:rPr>
          <w:rFonts w:asciiTheme="minorEastAsia" w:hAnsiTheme="minorEastAsia" w:eastAsiaTheme="minorEastAsia" w:cstheme="minorEastAsia"/>
        </w:rPr>
        <w:t xml:space="preserve">耐根穿刺防水层 </w:t>
      </w:r>
      <w:r>
        <w:rPr>
          <w:rFonts w:hint="eastAsia" w:asciiTheme="minorEastAsia" w:hAnsiTheme="minorEastAsia" w:eastAsiaTheme="minorEastAsia" w:cstheme="minorEastAsia"/>
        </w:rPr>
        <w:t xml:space="preserve">  </w:t>
      </w:r>
      <w:r>
        <w:rPr>
          <w:rFonts w:asciiTheme="minorEastAsia" w:hAnsiTheme="minorEastAsia" w:eastAsiaTheme="minorEastAsia" w:cstheme="minorEastAsia"/>
        </w:rPr>
        <w:t>root penetration resistant waterprof layer</w:t>
      </w:r>
    </w:p>
    <w:p w14:paraId="75FEEA21">
      <w:pPr>
        <w:pStyle w:val="6"/>
        <w:spacing w:line="480" w:lineRule="exact"/>
        <w:ind w:firstLine="420" w:firstLineChars="200"/>
        <w:rPr>
          <w:rFonts w:asciiTheme="minorEastAsia" w:hAnsiTheme="minorEastAsia" w:eastAsiaTheme="minorEastAsia" w:cstheme="minorEastAsia"/>
        </w:rPr>
      </w:pPr>
      <w:r>
        <w:rPr>
          <w:rFonts w:asciiTheme="minorEastAsia" w:hAnsiTheme="minorEastAsia" w:eastAsiaTheme="minorEastAsia" w:cstheme="minorEastAsia"/>
        </w:rPr>
        <w:t>具有防水和阻止植物根系穿刺功能的构造层。</w:t>
      </w:r>
    </w:p>
    <w:p w14:paraId="511852B3">
      <w:pPr>
        <w:pStyle w:val="6"/>
        <w:spacing w:line="480" w:lineRule="exact"/>
        <w:outlineLvl w:val="1"/>
        <w:rPr>
          <w:rFonts w:asciiTheme="minorEastAsia" w:hAnsiTheme="minorEastAsia" w:eastAsiaTheme="minorEastAsia" w:cstheme="minorEastAsia"/>
        </w:rPr>
      </w:pPr>
      <w:bookmarkStart w:id="19" w:name="_Toc25087"/>
      <w:r>
        <w:rPr>
          <w:rFonts w:asciiTheme="minorEastAsia" w:hAnsiTheme="minorEastAsia" w:eastAsiaTheme="minorEastAsia" w:cstheme="minorEastAsia"/>
        </w:rPr>
        <w:t>2.0.6</w:t>
      </w:r>
      <w:r>
        <w:rPr>
          <w:rFonts w:hint="eastAsia" w:asciiTheme="minorEastAsia" w:hAnsiTheme="minorEastAsia" w:eastAsiaTheme="minorEastAsia" w:cstheme="minorEastAsia"/>
        </w:rPr>
        <w:t xml:space="preserve"> </w:t>
      </w:r>
      <w:r>
        <w:rPr>
          <w:rFonts w:asciiTheme="minorEastAsia" w:hAnsiTheme="minorEastAsia" w:eastAsiaTheme="minorEastAsia" w:cstheme="minorEastAsia"/>
        </w:rPr>
        <w:t xml:space="preserve"> 排水层</w:t>
      </w:r>
      <w:r>
        <w:rPr>
          <w:rFonts w:hint="eastAsia" w:asciiTheme="minorEastAsia" w:hAnsiTheme="minorEastAsia" w:eastAsiaTheme="minorEastAsia" w:cstheme="minorEastAsia"/>
        </w:rPr>
        <w:t xml:space="preserve">  </w:t>
      </w:r>
      <w:r>
        <w:rPr>
          <w:rFonts w:asciiTheme="minorEastAsia" w:hAnsiTheme="minorEastAsia" w:eastAsiaTheme="minorEastAsia" w:cstheme="minorEastAsia"/>
        </w:rPr>
        <w:t>water drainage</w:t>
      </w:r>
      <w:bookmarkEnd w:id="19"/>
    </w:p>
    <w:p w14:paraId="6833EBFB">
      <w:pPr>
        <w:pStyle w:val="6"/>
        <w:spacing w:line="480" w:lineRule="exact"/>
        <w:ind w:firstLine="420" w:firstLineChars="200"/>
        <w:rPr>
          <w:rFonts w:asciiTheme="minorEastAsia" w:hAnsiTheme="minorEastAsia" w:eastAsiaTheme="minorEastAsia" w:cstheme="minorEastAsia"/>
        </w:rPr>
      </w:pPr>
      <w:r>
        <w:rPr>
          <w:rFonts w:asciiTheme="minorEastAsia" w:hAnsiTheme="minorEastAsia" w:eastAsiaTheme="minorEastAsia" w:cstheme="minorEastAsia"/>
        </w:rPr>
        <w:t>能排出种植土中多余水分的构造层。</w:t>
      </w:r>
    </w:p>
    <w:p w14:paraId="2F5F60B0">
      <w:pPr>
        <w:pStyle w:val="6"/>
        <w:spacing w:line="480" w:lineRule="exact"/>
        <w:outlineLvl w:val="1"/>
        <w:rPr>
          <w:rFonts w:asciiTheme="minorEastAsia" w:hAnsiTheme="minorEastAsia" w:eastAsiaTheme="minorEastAsia" w:cstheme="minorEastAsia"/>
        </w:rPr>
      </w:pPr>
      <w:bookmarkStart w:id="20" w:name="_Toc24323"/>
      <w:r>
        <w:rPr>
          <w:rFonts w:hint="eastAsia" w:asciiTheme="minorEastAsia" w:hAnsiTheme="minorEastAsia" w:eastAsiaTheme="minorEastAsia" w:cstheme="minorEastAsia"/>
        </w:rPr>
        <w:t>2.0.</w:t>
      </w:r>
      <w:r>
        <w:rPr>
          <w:rFonts w:asciiTheme="minorEastAsia" w:hAnsiTheme="minorEastAsia" w:eastAsiaTheme="minorEastAsia" w:cstheme="minorEastAsia"/>
        </w:rPr>
        <w:t>7</w:t>
      </w:r>
      <w:r>
        <w:rPr>
          <w:rFonts w:hint="eastAsia" w:asciiTheme="minorEastAsia" w:hAnsiTheme="minorEastAsia" w:eastAsiaTheme="minorEastAsia" w:cstheme="minorEastAsia"/>
        </w:rPr>
        <w:t xml:space="preserve">  过滤层  filter layer</w:t>
      </w:r>
      <w:bookmarkEnd w:id="20"/>
    </w:p>
    <w:p w14:paraId="2F22B288">
      <w:pPr>
        <w:pStyle w:val="6"/>
        <w:spacing w:line="4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防止种植土流失，且便于水渗透的构造层。</w:t>
      </w:r>
    </w:p>
    <w:p w14:paraId="5026BD92">
      <w:pPr>
        <w:pStyle w:val="6"/>
        <w:spacing w:line="480" w:lineRule="exact"/>
        <w:outlineLvl w:val="1"/>
        <w:rPr>
          <w:rFonts w:asciiTheme="minorEastAsia" w:hAnsiTheme="minorEastAsia" w:eastAsiaTheme="minorEastAsia" w:cstheme="minorEastAsia"/>
        </w:rPr>
      </w:pPr>
      <w:bookmarkStart w:id="21" w:name="_Toc28000"/>
      <w:r>
        <w:rPr>
          <w:rFonts w:hint="eastAsia" w:asciiTheme="minorEastAsia" w:hAnsiTheme="minorEastAsia" w:eastAsiaTheme="minorEastAsia" w:cstheme="minorEastAsia"/>
        </w:rPr>
        <w:t>2.0.</w:t>
      </w:r>
      <w:r>
        <w:rPr>
          <w:rFonts w:asciiTheme="minorEastAsia" w:hAnsiTheme="minorEastAsia" w:eastAsiaTheme="minorEastAsia" w:cstheme="minorEastAsia"/>
        </w:rPr>
        <w:t>8</w:t>
      </w:r>
      <w:r>
        <w:rPr>
          <w:rFonts w:hint="eastAsia" w:asciiTheme="minorEastAsia" w:hAnsiTheme="minorEastAsia" w:eastAsiaTheme="minorEastAsia" w:cstheme="minorEastAsia"/>
        </w:rPr>
        <w:t xml:space="preserve">  种植土  growing soil</w:t>
      </w:r>
      <w:bookmarkEnd w:id="21"/>
    </w:p>
    <w:p w14:paraId="2C39C2B3">
      <w:pPr>
        <w:pStyle w:val="6"/>
        <w:spacing w:line="480" w:lineRule="exact"/>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具有一定渗透性、蓄水能力和空间稳定性，可提供屋面植物生长所需养分的田园土、改良土和无机种植土的总称。</w:t>
      </w:r>
    </w:p>
    <w:p w14:paraId="35365D28">
      <w:pPr>
        <w:pStyle w:val="6"/>
        <w:spacing w:line="480" w:lineRule="exact"/>
        <w:outlineLvl w:val="1"/>
        <w:rPr>
          <w:rFonts w:asciiTheme="minorEastAsia" w:hAnsiTheme="minorEastAsia" w:eastAsiaTheme="minorEastAsia" w:cstheme="minorEastAsia"/>
        </w:rPr>
      </w:pPr>
      <w:bookmarkStart w:id="22" w:name="_Toc12990"/>
      <w:r>
        <w:rPr>
          <w:rFonts w:asciiTheme="minorEastAsia" w:hAnsiTheme="minorEastAsia" w:eastAsiaTheme="minorEastAsia" w:cstheme="minorEastAsia"/>
        </w:rPr>
        <w:t>2.0.</w:t>
      </w:r>
      <w:r>
        <w:rPr>
          <w:rFonts w:hint="eastAsia" w:asciiTheme="minorEastAsia" w:hAnsiTheme="minorEastAsia" w:eastAsiaTheme="minorEastAsia" w:cstheme="minorEastAsia"/>
        </w:rPr>
        <w:t xml:space="preserve">9 </w:t>
      </w:r>
      <w:r>
        <w:rPr>
          <w:rFonts w:asciiTheme="minorEastAsia" w:hAnsiTheme="minorEastAsia" w:eastAsiaTheme="minorEastAsia" w:cstheme="minorEastAsia"/>
        </w:rPr>
        <w:t xml:space="preserve"> 缓冲带</w:t>
      </w:r>
      <w:r>
        <w:rPr>
          <w:rFonts w:hint="eastAsia" w:asciiTheme="minorEastAsia" w:hAnsiTheme="minorEastAsia" w:eastAsiaTheme="minorEastAsia" w:cstheme="minorEastAsia"/>
        </w:rPr>
        <w:t xml:space="preserve">  </w:t>
      </w:r>
      <w:r>
        <w:rPr>
          <w:rFonts w:asciiTheme="minorEastAsia" w:hAnsiTheme="minorEastAsia" w:eastAsiaTheme="minorEastAsia" w:cstheme="minorEastAsia"/>
        </w:rPr>
        <w:t>buffering stripes</w:t>
      </w:r>
      <w:bookmarkEnd w:id="22"/>
    </w:p>
    <w:p w14:paraId="3FD9B9CD">
      <w:pPr>
        <w:pStyle w:val="6"/>
        <w:spacing w:line="480" w:lineRule="exact"/>
        <w:ind w:firstLine="420" w:firstLineChars="200"/>
        <w:rPr>
          <w:rFonts w:asciiTheme="minorEastAsia" w:hAnsiTheme="minorEastAsia" w:eastAsiaTheme="minorEastAsia" w:cstheme="minorEastAsia"/>
        </w:rPr>
      </w:pPr>
      <w:r>
        <w:rPr>
          <w:rFonts w:asciiTheme="minorEastAsia" w:hAnsiTheme="minorEastAsia" w:eastAsiaTheme="minorEastAsia" w:cstheme="minorEastAsia"/>
        </w:rPr>
        <w:t>种植土与女儿墙、屋面凸起结构、周边泛水及檐口、排水口等部位之间，起缓冲、隔离、滤水、排水等作用的地带（沟），一般由卵石构成。</w:t>
      </w:r>
    </w:p>
    <w:p w14:paraId="4CFCBA29">
      <w:pPr>
        <w:pStyle w:val="6"/>
        <w:spacing w:line="480" w:lineRule="exact"/>
        <w:rPr>
          <w:rFonts w:asciiTheme="minorEastAsia" w:hAnsiTheme="minorEastAsia" w:eastAsiaTheme="minorEastAsia" w:cstheme="minorEastAsia"/>
        </w:rPr>
        <w:sectPr>
          <w:pgSz w:w="11906" w:h="16838"/>
          <w:pgMar w:top="1440" w:right="1800" w:bottom="1440" w:left="1800" w:header="851" w:footer="992" w:gutter="0"/>
          <w:pgNumType w:fmt="decimal"/>
          <w:cols w:space="425" w:num="1"/>
          <w:docGrid w:type="lines" w:linePitch="312" w:charSpace="0"/>
        </w:sectPr>
      </w:pPr>
    </w:p>
    <w:p w14:paraId="4F12411B">
      <w:pPr>
        <w:pStyle w:val="6"/>
        <w:jc w:val="center"/>
        <w:outlineLvl w:val="0"/>
        <w:rPr>
          <w:rFonts w:asciiTheme="minorEastAsia" w:hAnsiTheme="minorEastAsia" w:eastAsiaTheme="minorEastAsia" w:cstheme="minorEastAsia"/>
        </w:rPr>
      </w:pPr>
      <w:bookmarkStart w:id="23" w:name="_Toc20274"/>
      <w:r>
        <w:rPr>
          <w:rFonts w:hint="eastAsia" w:ascii="黑体" w:hAnsi="黑体" w:eastAsia="黑体" w:cs="黑体"/>
          <w:sz w:val="32"/>
          <w:szCs w:val="40"/>
        </w:rPr>
        <w:t xml:space="preserve">3 </w:t>
      </w:r>
      <w:r>
        <w:rPr>
          <w:rFonts w:ascii="黑体" w:hAnsi="黑体" w:eastAsia="黑体" w:cs="黑体"/>
          <w:sz w:val="32"/>
          <w:szCs w:val="40"/>
        </w:rPr>
        <w:t xml:space="preserve"> </w:t>
      </w:r>
      <w:r>
        <w:rPr>
          <w:rFonts w:hint="eastAsia" w:ascii="黑体" w:hAnsi="黑体" w:eastAsia="黑体" w:cs="黑体"/>
          <w:sz w:val="32"/>
          <w:szCs w:val="40"/>
        </w:rPr>
        <w:t>基 本 规 定</w:t>
      </w:r>
      <w:bookmarkEnd w:id="23"/>
    </w:p>
    <w:p w14:paraId="7DDAA024">
      <w:pPr>
        <w:pStyle w:val="6"/>
        <w:spacing w:line="480" w:lineRule="exact"/>
        <w:rPr>
          <w:rFonts w:asciiTheme="minorEastAsia" w:hAnsiTheme="minorEastAsia" w:eastAsiaTheme="minorEastAsia" w:cstheme="minorEastAsia"/>
        </w:rPr>
      </w:pPr>
      <w:r>
        <w:rPr>
          <w:rFonts w:hint="eastAsia" w:asciiTheme="minorEastAsia" w:hAnsiTheme="minorEastAsia" w:eastAsiaTheme="minorEastAsia" w:cstheme="minorEastAsia"/>
        </w:rPr>
        <w:t>3</w:t>
      </w:r>
      <w:r>
        <w:rPr>
          <w:rFonts w:asciiTheme="minorEastAsia" w:hAnsiTheme="minorEastAsia" w:eastAsiaTheme="minorEastAsia" w:cstheme="minorEastAsia"/>
        </w:rPr>
        <w:t>.</w:t>
      </w:r>
      <w:r>
        <w:rPr>
          <w:rFonts w:hint="eastAsia" w:asciiTheme="minorEastAsia" w:hAnsiTheme="minorEastAsia" w:eastAsiaTheme="minorEastAsia" w:cstheme="minorEastAsia"/>
        </w:rPr>
        <w:t>0.1  种植屋面、种植顶板设计应根据工程所在区域自然地理条件、降雨量、内涝防治要求等因素，以防水为主、排水为辅的设计理念，并遵循“安全、环保、节能、经济，因地制宜”的原则。</w:t>
      </w:r>
    </w:p>
    <w:p w14:paraId="31F198C0">
      <w:pPr>
        <w:pStyle w:val="6"/>
        <w:spacing w:line="480" w:lineRule="exact"/>
        <w:rPr>
          <w:rFonts w:asciiTheme="minorEastAsia" w:hAnsiTheme="minorEastAsia" w:eastAsiaTheme="minorEastAsia" w:cstheme="minorEastAsia"/>
        </w:rPr>
      </w:pPr>
      <w:r>
        <w:rPr>
          <w:rFonts w:hint="eastAsia" w:asciiTheme="minorEastAsia" w:hAnsiTheme="minorEastAsia" w:eastAsiaTheme="minorEastAsia" w:cstheme="minorEastAsia"/>
        </w:rPr>
        <w:t>3.0.2  种植屋面、种植顶板工程结构设计时应计算种植荷载。既有建筑屋面改造为种植屋面前，应对原结构进行鉴定，</w:t>
      </w:r>
      <w:r>
        <w:t>并确保改造后的种植屋面结构设计荷载取值</w:t>
      </w:r>
      <w:r>
        <w:rPr>
          <w:rFonts w:hint="eastAsia" w:asciiTheme="minorEastAsia" w:hAnsiTheme="minorEastAsia" w:eastAsiaTheme="minorEastAsia" w:cstheme="minorEastAsia"/>
        </w:rPr>
        <w:t>应符合现行国家标准《建筑结构荷载规范》GB 50009的规定。</w:t>
      </w:r>
    </w:p>
    <w:p w14:paraId="4DBA605F">
      <w:pPr>
        <w:pStyle w:val="6"/>
        <w:spacing w:line="480" w:lineRule="exact"/>
        <w:rPr>
          <w:rFonts w:ascii="Times New Roman" w:hAnsi="Times New Roman"/>
        </w:rPr>
      </w:pPr>
      <w:r>
        <w:rPr>
          <w:rFonts w:hint="eastAsia" w:asciiTheme="minorEastAsia" w:hAnsiTheme="minorEastAsia" w:eastAsiaTheme="minorEastAsia" w:cstheme="minorEastAsia"/>
        </w:rPr>
        <w:t>3.0.3  种植屋面、种植顶板应按构造层次、</w:t>
      </w:r>
      <w:r>
        <w:rPr>
          <w:rFonts w:hint="eastAsia" w:ascii="Times New Roman" w:hAnsi="Times New Roman"/>
        </w:rPr>
        <w:t>种植要求选择材料。材料应配置合理、安全可靠。</w:t>
      </w:r>
    </w:p>
    <w:p w14:paraId="3CFA9B62">
      <w:pPr>
        <w:pStyle w:val="6"/>
        <w:spacing w:line="480" w:lineRule="exact"/>
        <w:rPr>
          <w:rFonts w:asciiTheme="minorEastAsia" w:hAnsiTheme="minorEastAsia" w:eastAsiaTheme="minorEastAsia" w:cstheme="minorEastAsia"/>
        </w:rPr>
      </w:pPr>
      <w:r>
        <w:rPr>
          <w:rFonts w:hint="eastAsia" w:asciiTheme="minorEastAsia" w:hAnsiTheme="minorEastAsia" w:eastAsiaTheme="minorEastAsia" w:cstheme="minorEastAsia"/>
        </w:rPr>
        <w:t>3.0.4  种植屋面选用材料的品种、规格、性能等应符合国家现行有关标准和设计要求，并应提供产品合格证书和检验报告。</w:t>
      </w:r>
    </w:p>
    <w:p w14:paraId="582E1D61">
      <w:pPr>
        <w:pStyle w:val="6"/>
        <w:spacing w:line="480" w:lineRule="exact"/>
        <w:rPr>
          <w:rFonts w:asciiTheme="minorEastAsia" w:hAnsiTheme="minorEastAsia" w:eastAsiaTheme="minorEastAsia" w:cstheme="minorEastAsia"/>
        </w:rPr>
      </w:pPr>
      <w:r>
        <w:rPr>
          <w:rFonts w:hint="eastAsia" w:asciiTheme="minorEastAsia" w:hAnsiTheme="minorEastAsia" w:eastAsiaTheme="minorEastAsia" w:cstheme="minorEastAsia"/>
        </w:rPr>
        <w:t>3.0.</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 xml:space="preserve">  耐根穿刺防水材料的选用应通过耐根穿刺性能试验，试验方法应符合现行国家标准《种植屋面用耐根穿刺防水卷材》GB/T 35468的规定，并由具有资质的检测机构出具合格检验报告。</w:t>
      </w:r>
    </w:p>
    <w:p w14:paraId="460A958E">
      <w:pPr>
        <w:pStyle w:val="6"/>
        <w:spacing w:line="480" w:lineRule="exact"/>
        <w:rPr>
          <w:rFonts w:asciiTheme="minorEastAsia" w:hAnsiTheme="minorEastAsia" w:eastAsiaTheme="minorEastAsia" w:cstheme="minorEastAsia"/>
          <w:highlight w:val="yellow"/>
        </w:rPr>
        <w:sectPr>
          <w:pgSz w:w="11906" w:h="16838"/>
          <w:pgMar w:top="1440" w:right="1800" w:bottom="1440" w:left="1800" w:header="851" w:footer="992" w:gutter="0"/>
          <w:pgNumType w:fmt="decimal"/>
          <w:cols w:space="425" w:num="1"/>
          <w:docGrid w:type="lines" w:linePitch="312" w:charSpace="0"/>
        </w:sectPr>
      </w:pPr>
    </w:p>
    <w:p w14:paraId="58FF9AF6">
      <w:pPr>
        <w:pStyle w:val="6"/>
        <w:jc w:val="center"/>
        <w:outlineLvl w:val="0"/>
        <w:rPr>
          <w:rFonts w:asciiTheme="minorEastAsia" w:hAnsiTheme="minorEastAsia" w:eastAsiaTheme="minorEastAsia" w:cstheme="minorEastAsia"/>
          <w:highlight w:val="yellow"/>
        </w:rPr>
      </w:pPr>
      <w:bookmarkStart w:id="24" w:name="_Toc14946"/>
      <w:r>
        <w:rPr>
          <w:rFonts w:hint="eastAsia" w:ascii="黑体" w:hAnsi="黑体" w:eastAsia="黑体" w:cs="黑体"/>
          <w:sz w:val="32"/>
          <w:szCs w:val="40"/>
        </w:rPr>
        <w:t xml:space="preserve">4 </w:t>
      </w:r>
      <w:r>
        <w:rPr>
          <w:rFonts w:ascii="黑体" w:hAnsi="黑体" w:eastAsia="黑体" w:cs="黑体"/>
          <w:sz w:val="32"/>
          <w:szCs w:val="40"/>
        </w:rPr>
        <w:t xml:space="preserve"> </w:t>
      </w:r>
      <w:r>
        <w:rPr>
          <w:rFonts w:hint="eastAsia" w:ascii="黑体" w:hAnsi="黑体" w:eastAsia="黑体" w:cs="黑体"/>
          <w:sz w:val="32"/>
          <w:szCs w:val="40"/>
        </w:rPr>
        <w:t>材  料</w:t>
      </w:r>
      <w:bookmarkEnd w:id="24"/>
    </w:p>
    <w:p w14:paraId="5575D50D">
      <w:pPr>
        <w:spacing w:line="480" w:lineRule="exact"/>
        <w:jc w:val="center"/>
        <w:outlineLvl w:val="1"/>
        <w:rPr>
          <w:rFonts w:ascii="黑体" w:hAnsi="黑体" w:eastAsia="黑体" w:cs="黑体"/>
        </w:rPr>
      </w:pPr>
      <w:bookmarkStart w:id="25" w:name="_Toc25756"/>
      <w:r>
        <w:rPr>
          <w:rFonts w:hint="eastAsia" w:ascii="黑体" w:hAnsi="黑体" w:eastAsia="黑体" w:cs="黑体"/>
        </w:rPr>
        <w:t>4.1  一般规定</w:t>
      </w:r>
      <w:bookmarkEnd w:id="25"/>
    </w:p>
    <w:p w14:paraId="117AD8E6">
      <w:pPr>
        <w:spacing w:line="480" w:lineRule="exact"/>
        <w:rPr>
          <w:rFonts w:ascii="宋体" w:hAnsi="宋体" w:cs="宋体"/>
        </w:rPr>
      </w:pPr>
      <w:r>
        <w:rPr>
          <w:rFonts w:hint="eastAsia" w:ascii="宋体" w:hAnsi="宋体" w:cs="宋体"/>
        </w:rPr>
        <w:t>4.1.1  防水材料的选用应符合现行国家标准《地下工程防水技术规范》GB 50108、《种植屋面工程技术规程》JGJ 155、《屋面工程技术规范》GB 50345的有关规定。</w:t>
      </w:r>
    </w:p>
    <w:p w14:paraId="53887BC9">
      <w:pPr>
        <w:spacing w:line="480" w:lineRule="exact"/>
        <w:rPr>
          <w:rFonts w:ascii="宋体" w:hAnsi="宋体" w:cs="宋体"/>
        </w:rPr>
      </w:pPr>
      <w:r>
        <w:rPr>
          <w:rFonts w:hint="eastAsia" w:ascii="宋体" w:hAnsi="宋体" w:cs="宋体"/>
        </w:rPr>
        <w:t>4.1.</w:t>
      </w:r>
      <w:r>
        <w:rPr>
          <w:rFonts w:ascii="宋体" w:hAnsi="宋体" w:cs="宋体"/>
        </w:rPr>
        <w:t>2</w:t>
      </w:r>
      <w:r>
        <w:rPr>
          <w:rFonts w:hint="eastAsia" w:ascii="宋体" w:hAnsi="宋体" w:cs="宋体"/>
        </w:rPr>
        <w:t xml:space="preserve">  种植屋面排水层应选用抗压强度大、耐久性好的轻质材料。</w:t>
      </w:r>
    </w:p>
    <w:p w14:paraId="3DE03CAE">
      <w:pPr>
        <w:spacing w:line="360" w:lineRule="auto"/>
        <w:rPr>
          <w:rFonts w:ascii="宋体" w:hAnsi="宋体" w:cs="宋体"/>
        </w:rPr>
      </w:pPr>
      <w:r>
        <w:rPr>
          <w:rFonts w:hint="eastAsia" w:ascii="宋体" w:hAnsi="宋体" w:cs="宋体"/>
        </w:rPr>
        <w:t>4.1.</w:t>
      </w:r>
      <w:r>
        <w:rPr>
          <w:rFonts w:ascii="宋体" w:hAnsi="宋体" w:cs="宋体"/>
        </w:rPr>
        <w:t>3</w:t>
      </w:r>
      <w:r>
        <w:rPr>
          <w:rFonts w:hint="eastAsia" w:ascii="宋体" w:hAnsi="宋体" w:cs="宋体"/>
        </w:rPr>
        <w:t xml:space="preserve">  种植屋面防水层应符合一级防水设防要求，最上道防水层必须采用耐根穿刺防水材料，相邻的防水材料应具有相容性。</w:t>
      </w:r>
    </w:p>
    <w:p w14:paraId="336634E9">
      <w:pPr>
        <w:pStyle w:val="11"/>
        <w:spacing w:line="360" w:lineRule="auto"/>
      </w:pPr>
      <w:r>
        <w:rPr>
          <w:rFonts w:hint="eastAsia" w:ascii="宋体" w:hAnsi="宋体" w:cs="宋体"/>
        </w:rPr>
        <w:t>4.1.</w:t>
      </w:r>
      <w:r>
        <w:rPr>
          <w:rFonts w:ascii="宋体" w:hAnsi="宋体" w:cs="宋体"/>
        </w:rPr>
        <w:t>4</w:t>
      </w:r>
      <w:r>
        <w:rPr>
          <w:rFonts w:hint="eastAsia" w:ascii="宋体" w:hAnsi="宋体" w:cs="宋体"/>
        </w:rPr>
        <w:t xml:space="preserve">  </w:t>
      </w:r>
      <w:r>
        <w:rPr>
          <w:rFonts w:ascii="宋体" w:hAnsi="宋体" w:cs="宋体"/>
        </w:rPr>
        <w:t>坡屋面</w:t>
      </w:r>
      <w:r>
        <w:rPr>
          <w:rFonts w:hint="eastAsia" w:ascii="宋体" w:hAnsi="宋体" w:cs="宋体"/>
        </w:rPr>
        <w:t>不应</w:t>
      </w:r>
      <w:r>
        <w:rPr>
          <w:rFonts w:ascii="宋体" w:hAnsi="宋体" w:cs="宋体"/>
        </w:rPr>
        <w:t>采用非固化橡胶沥青防水涂料做普通防水层</w:t>
      </w:r>
      <w:r>
        <w:rPr>
          <w:rFonts w:hint="eastAsia" w:ascii="宋体" w:hAnsi="宋体" w:cs="宋体"/>
        </w:rPr>
        <w:t>。</w:t>
      </w:r>
    </w:p>
    <w:p w14:paraId="15F0E89F">
      <w:pPr>
        <w:spacing w:line="360" w:lineRule="auto"/>
        <w:rPr>
          <w:rFonts w:ascii="宋体" w:hAnsi="宋体" w:cs="宋体"/>
        </w:rPr>
      </w:pPr>
      <w:r>
        <w:rPr>
          <w:rFonts w:hint="eastAsia" w:ascii="宋体" w:hAnsi="宋体" w:cs="宋体"/>
        </w:rPr>
        <w:t>4.1.</w:t>
      </w:r>
      <w:r>
        <w:rPr>
          <w:rFonts w:ascii="宋体" w:hAnsi="宋体" w:cs="宋体"/>
        </w:rPr>
        <w:t>5</w:t>
      </w:r>
      <w:r>
        <w:rPr>
          <w:rFonts w:hint="eastAsia" w:ascii="宋体" w:hAnsi="宋体" w:cs="宋体"/>
        </w:rPr>
        <w:t xml:space="preserve">  种植屋面选用材料的品种、规格及主要技术指标应在设计图纸中注明。</w:t>
      </w:r>
    </w:p>
    <w:p w14:paraId="4F922518">
      <w:pPr>
        <w:spacing w:line="480" w:lineRule="exact"/>
        <w:rPr>
          <w:rFonts w:ascii="宋体" w:hAnsi="宋体" w:cs="宋体"/>
        </w:rPr>
      </w:pPr>
      <w:r>
        <w:rPr>
          <w:rFonts w:hint="eastAsia" w:ascii="宋体" w:hAnsi="宋体" w:cs="宋体"/>
        </w:rPr>
        <w:t>4.1.</w:t>
      </w:r>
      <w:r>
        <w:rPr>
          <w:rFonts w:ascii="宋体" w:hAnsi="宋体" w:cs="宋体"/>
        </w:rPr>
        <w:t>6</w:t>
      </w:r>
      <w:r>
        <w:rPr>
          <w:rFonts w:hint="eastAsia" w:ascii="宋体" w:hAnsi="宋体" w:cs="宋体"/>
        </w:rPr>
        <w:t xml:space="preserve">  种植屋面绝热层应选用密度小、压缩强度大、导热系数小、吸水率低的材料。</w:t>
      </w:r>
    </w:p>
    <w:p w14:paraId="51CFBA76">
      <w:pPr>
        <w:spacing w:line="480" w:lineRule="exact"/>
        <w:jc w:val="center"/>
        <w:outlineLvl w:val="1"/>
      </w:pPr>
      <w:bookmarkStart w:id="26" w:name="_Toc23104"/>
      <w:r>
        <w:rPr>
          <w:rFonts w:hint="eastAsia" w:ascii="黑体" w:hAnsi="黑体" w:eastAsia="黑体" w:cs="黑体"/>
        </w:rPr>
        <w:t>4.2  耐根穿刺防水材料</w:t>
      </w:r>
      <w:bookmarkEnd w:id="26"/>
    </w:p>
    <w:p w14:paraId="3CCCA20E">
      <w:pPr>
        <w:spacing w:line="360" w:lineRule="auto"/>
        <w:rPr>
          <w:rFonts w:ascii="宋体" w:hAnsi="宋体" w:cs="宋体"/>
        </w:rPr>
      </w:pPr>
      <w:r>
        <w:rPr>
          <w:rFonts w:hint="eastAsia" w:ascii="宋体" w:hAnsi="宋体" w:cs="宋体"/>
        </w:rPr>
        <w:t>4.2.1  弹性体改性沥青防水卷材的厚度不应小于4.0 mm，产品宜采用聚酯胎基的卷材，应含有化学阻根剂，其主要物理性能应符合《种植屋面用耐根穿刺防水卷材》GB/T 35468及表4.</w:t>
      </w:r>
      <w:r>
        <w:rPr>
          <w:rFonts w:ascii="宋体" w:hAnsi="宋体" w:cs="宋体"/>
        </w:rPr>
        <w:t>2</w:t>
      </w:r>
      <w:r>
        <w:rPr>
          <w:rFonts w:hint="eastAsia" w:ascii="宋体" w:hAnsi="宋体" w:cs="宋体"/>
        </w:rPr>
        <w:t>.1的要求。</w:t>
      </w:r>
    </w:p>
    <w:p w14:paraId="35CC2A63">
      <w:pPr>
        <w:spacing w:line="480" w:lineRule="exact"/>
        <w:jc w:val="center"/>
        <w:rPr>
          <w:rFonts w:ascii="宋体" w:hAnsi="宋体" w:cs="宋体"/>
        </w:rPr>
      </w:pPr>
      <w:r>
        <w:rPr>
          <w:rFonts w:hint="eastAsia" w:ascii="宋体" w:hAnsi="宋体" w:cs="宋体"/>
        </w:rPr>
        <w:t>表4.2.1  弹性体改性沥青防水卷材主要性能</w:t>
      </w:r>
    </w:p>
    <w:tbl>
      <w:tblPr>
        <w:tblStyle w:val="16"/>
        <w:tblW w:w="0" w:type="auto"/>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903"/>
        <w:gridCol w:w="835"/>
        <w:gridCol w:w="800"/>
        <w:gridCol w:w="767"/>
        <w:gridCol w:w="709"/>
        <w:gridCol w:w="920"/>
        <w:gridCol w:w="954"/>
        <w:gridCol w:w="1015"/>
        <w:gridCol w:w="785"/>
      </w:tblGrid>
      <w:tr w14:paraId="49DF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0" w:type="dxa"/>
            <w:vMerge w:val="restart"/>
            <w:vAlign w:val="center"/>
          </w:tcPr>
          <w:p w14:paraId="3D76CBEC">
            <w:pPr>
              <w:jc w:val="center"/>
              <w:rPr>
                <w:rFonts w:ascii="宋体" w:hAnsi="宋体" w:cs="宋体"/>
                <w:sz w:val="18"/>
                <w:szCs w:val="21"/>
              </w:rPr>
            </w:pPr>
            <w:r>
              <w:rPr>
                <w:rFonts w:hint="eastAsia" w:ascii="宋体" w:hAnsi="宋体" w:cs="宋体"/>
                <w:sz w:val="18"/>
                <w:szCs w:val="21"/>
              </w:rPr>
              <w:t>项目</w:t>
            </w:r>
          </w:p>
        </w:tc>
        <w:tc>
          <w:tcPr>
            <w:tcW w:w="4014" w:type="dxa"/>
            <w:gridSpan w:val="5"/>
            <w:vAlign w:val="center"/>
          </w:tcPr>
          <w:p w14:paraId="742AC971">
            <w:pPr>
              <w:jc w:val="center"/>
              <w:rPr>
                <w:rFonts w:ascii="宋体" w:hAnsi="宋体" w:cs="宋体"/>
                <w:sz w:val="18"/>
                <w:szCs w:val="21"/>
              </w:rPr>
            </w:pPr>
            <w:r>
              <w:rPr>
                <w:rFonts w:hint="eastAsia" w:ascii="宋体" w:hAnsi="宋体" w:cs="宋体"/>
                <w:sz w:val="18"/>
                <w:szCs w:val="21"/>
              </w:rPr>
              <w:t>基本性能</w:t>
            </w:r>
          </w:p>
        </w:tc>
        <w:tc>
          <w:tcPr>
            <w:tcW w:w="2889" w:type="dxa"/>
            <w:gridSpan w:val="3"/>
            <w:vAlign w:val="center"/>
          </w:tcPr>
          <w:p w14:paraId="5F7BFE9A">
            <w:pPr>
              <w:jc w:val="center"/>
              <w:rPr>
                <w:rFonts w:ascii="宋体" w:hAnsi="宋体" w:cs="宋体"/>
                <w:sz w:val="18"/>
                <w:szCs w:val="21"/>
              </w:rPr>
            </w:pPr>
            <w:r>
              <w:rPr>
                <w:rFonts w:hint="eastAsia" w:ascii="宋体" w:hAnsi="宋体" w:cs="宋体"/>
                <w:sz w:val="18"/>
                <w:szCs w:val="21"/>
              </w:rPr>
              <w:t>应用性能</w:t>
            </w:r>
          </w:p>
        </w:tc>
        <w:tc>
          <w:tcPr>
            <w:tcW w:w="785" w:type="dxa"/>
            <w:vMerge w:val="restart"/>
            <w:vAlign w:val="center"/>
          </w:tcPr>
          <w:p w14:paraId="62B59DC2">
            <w:pPr>
              <w:jc w:val="center"/>
              <w:rPr>
                <w:rFonts w:ascii="宋体" w:hAnsi="宋体" w:cs="宋体"/>
                <w:sz w:val="18"/>
                <w:szCs w:val="21"/>
              </w:rPr>
            </w:pPr>
            <w:r>
              <w:rPr>
                <w:rFonts w:hint="eastAsia" w:ascii="宋体" w:hAnsi="宋体" w:cs="宋体"/>
                <w:sz w:val="18"/>
                <w:szCs w:val="21"/>
              </w:rPr>
              <w:t>耐根穿刺性能测试</w:t>
            </w:r>
          </w:p>
        </w:tc>
      </w:tr>
      <w:tr w14:paraId="7245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Merge w:val="continue"/>
            <w:vAlign w:val="center"/>
          </w:tcPr>
          <w:p w14:paraId="23A4BDB8">
            <w:pPr>
              <w:jc w:val="center"/>
              <w:rPr>
                <w:rFonts w:ascii="宋体" w:hAnsi="宋体" w:cs="宋体"/>
                <w:sz w:val="18"/>
                <w:szCs w:val="21"/>
              </w:rPr>
            </w:pPr>
          </w:p>
        </w:tc>
        <w:tc>
          <w:tcPr>
            <w:tcW w:w="903" w:type="dxa"/>
            <w:vMerge w:val="restart"/>
            <w:vAlign w:val="center"/>
          </w:tcPr>
          <w:p w14:paraId="65B0AA17">
            <w:pPr>
              <w:jc w:val="center"/>
            </w:pPr>
            <w:r>
              <w:rPr>
                <w:rFonts w:hint="eastAsia" w:ascii="宋体" w:hAnsi="宋体" w:cs="宋体"/>
                <w:sz w:val="18"/>
                <w:szCs w:val="21"/>
              </w:rPr>
              <w:t>可容物含量</w:t>
            </w:r>
          </w:p>
          <w:p w14:paraId="25D3E334">
            <w:pPr>
              <w:jc w:val="center"/>
              <w:rPr>
                <w:rFonts w:ascii="宋体" w:hAnsi="宋体" w:cs="宋体"/>
                <w:sz w:val="18"/>
                <w:szCs w:val="21"/>
              </w:rPr>
            </w:pPr>
            <w:r>
              <w:rPr>
                <w:rFonts w:hint="eastAsia" w:ascii="宋体" w:hAnsi="宋体" w:cs="宋体"/>
                <w:sz w:val="18"/>
                <w:szCs w:val="21"/>
              </w:rPr>
              <w:t>（g/㎡）</w:t>
            </w:r>
          </w:p>
        </w:tc>
        <w:tc>
          <w:tcPr>
            <w:tcW w:w="835" w:type="dxa"/>
            <w:vMerge w:val="restart"/>
            <w:vAlign w:val="center"/>
          </w:tcPr>
          <w:p w14:paraId="5E36E8EE">
            <w:pPr>
              <w:jc w:val="center"/>
              <w:rPr>
                <w:rFonts w:ascii="宋体" w:hAnsi="宋体" w:cs="宋体"/>
                <w:sz w:val="18"/>
                <w:szCs w:val="21"/>
              </w:rPr>
            </w:pPr>
            <w:r>
              <w:rPr>
                <w:rFonts w:hint="eastAsia" w:ascii="宋体" w:hAnsi="宋体" w:cs="宋体"/>
                <w:sz w:val="18"/>
                <w:szCs w:val="21"/>
              </w:rPr>
              <w:t>拉力（N/50mm）</w:t>
            </w:r>
          </w:p>
        </w:tc>
        <w:tc>
          <w:tcPr>
            <w:tcW w:w="800" w:type="dxa"/>
            <w:vMerge w:val="restart"/>
            <w:vAlign w:val="center"/>
          </w:tcPr>
          <w:p w14:paraId="3FFA1363">
            <w:pPr>
              <w:jc w:val="center"/>
              <w:rPr>
                <w:rFonts w:ascii="宋体" w:hAnsi="宋体" w:cs="宋体"/>
                <w:sz w:val="18"/>
                <w:szCs w:val="21"/>
              </w:rPr>
            </w:pPr>
            <w:r>
              <w:rPr>
                <w:rFonts w:hint="eastAsia" w:ascii="宋体" w:hAnsi="宋体" w:cs="宋体"/>
                <w:sz w:val="18"/>
                <w:szCs w:val="21"/>
              </w:rPr>
              <w:t>延伸率</w:t>
            </w:r>
          </w:p>
          <w:p w14:paraId="2CD5399E">
            <w:pPr>
              <w:jc w:val="center"/>
              <w:rPr>
                <w:rFonts w:ascii="宋体" w:hAnsi="宋体" w:cs="宋体"/>
                <w:sz w:val="18"/>
                <w:szCs w:val="21"/>
              </w:rPr>
            </w:pPr>
            <w:r>
              <w:rPr>
                <w:rFonts w:hint="eastAsia" w:ascii="宋体" w:hAnsi="宋体" w:cs="宋体"/>
                <w:sz w:val="18"/>
                <w:szCs w:val="21"/>
              </w:rPr>
              <w:t>（%）</w:t>
            </w:r>
          </w:p>
        </w:tc>
        <w:tc>
          <w:tcPr>
            <w:tcW w:w="767" w:type="dxa"/>
            <w:vMerge w:val="restart"/>
            <w:vAlign w:val="center"/>
          </w:tcPr>
          <w:p w14:paraId="53115951">
            <w:pPr>
              <w:jc w:val="center"/>
              <w:rPr>
                <w:rFonts w:ascii="宋体" w:hAnsi="宋体" w:cs="宋体"/>
                <w:sz w:val="18"/>
                <w:szCs w:val="21"/>
              </w:rPr>
            </w:pPr>
            <w:r>
              <w:rPr>
                <w:rFonts w:hint="eastAsia" w:ascii="宋体" w:hAnsi="宋体" w:cs="宋体"/>
                <w:sz w:val="18"/>
                <w:szCs w:val="21"/>
              </w:rPr>
              <w:t>耐热性</w:t>
            </w:r>
          </w:p>
          <w:p w14:paraId="60532923">
            <w:pPr>
              <w:jc w:val="center"/>
              <w:rPr>
                <w:rFonts w:ascii="宋体" w:hAnsi="宋体" w:cs="宋体"/>
                <w:sz w:val="18"/>
                <w:szCs w:val="21"/>
              </w:rPr>
            </w:pPr>
            <w:r>
              <w:rPr>
                <w:rFonts w:hint="eastAsia" w:ascii="宋体" w:hAnsi="宋体" w:cs="宋体"/>
                <w:sz w:val="18"/>
                <w:szCs w:val="21"/>
              </w:rPr>
              <w:t>（℃）</w:t>
            </w:r>
          </w:p>
        </w:tc>
        <w:tc>
          <w:tcPr>
            <w:tcW w:w="709" w:type="dxa"/>
            <w:vMerge w:val="restart"/>
            <w:vAlign w:val="center"/>
          </w:tcPr>
          <w:p w14:paraId="34D1A4E6">
            <w:pPr>
              <w:jc w:val="center"/>
              <w:rPr>
                <w:rFonts w:ascii="宋体" w:hAnsi="宋体" w:cs="宋体"/>
                <w:sz w:val="18"/>
                <w:szCs w:val="21"/>
              </w:rPr>
            </w:pPr>
            <w:r>
              <w:rPr>
                <w:rFonts w:hint="eastAsia" w:ascii="宋体" w:hAnsi="宋体" w:cs="宋体"/>
                <w:sz w:val="18"/>
                <w:szCs w:val="21"/>
              </w:rPr>
              <w:t>低温柔性</w:t>
            </w:r>
          </w:p>
          <w:p w14:paraId="38810EE0">
            <w:pPr>
              <w:jc w:val="center"/>
              <w:rPr>
                <w:rFonts w:ascii="宋体" w:hAnsi="宋体" w:cs="宋体"/>
                <w:sz w:val="18"/>
                <w:szCs w:val="21"/>
              </w:rPr>
            </w:pPr>
            <w:r>
              <w:rPr>
                <w:rFonts w:hint="eastAsia" w:ascii="宋体" w:hAnsi="宋体" w:cs="宋体"/>
                <w:sz w:val="18"/>
                <w:szCs w:val="21"/>
              </w:rPr>
              <w:t>（℃）</w:t>
            </w:r>
          </w:p>
        </w:tc>
        <w:tc>
          <w:tcPr>
            <w:tcW w:w="920" w:type="dxa"/>
            <w:vMerge w:val="restart"/>
            <w:vAlign w:val="center"/>
          </w:tcPr>
          <w:p w14:paraId="70B3C843">
            <w:pPr>
              <w:jc w:val="center"/>
              <w:rPr>
                <w:rFonts w:ascii="宋体" w:hAnsi="宋体" w:cs="宋体"/>
                <w:sz w:val="18"/>
                <w:szCs w:val="21"/>
              </w:rPr>
            </w:pPr>
            <w:r>
              <w:rPr>
                <w:rFonts w:hint="eastAsia" w:ascii="宋体" w:hAnsi="宋体" w:cs="宋体"/>
                <w:sz w:val="18"/>
                <w:szCs w:val="21"/>
              </w:rPr>
              <w:t>耐霉菌腐蚀性</w:t>
            </w:r>
          </w:p>
          <w:p w14:paraId="7F80BE0B">
            <w:pPr>
              <w:jc w:val="center"/>
              <w:rPr>
                <w:rFonts w:ascii="宋体" w:hAnsi="宋体" w:cs="宋体"/>
                <w:sz w:val="18"/>
                <w:szCs w:val="21"/>
              </w:rPr>
            </w:pPr>
            <w:r>
              <w:rPr>
                <w:rFonts w:hint="eastAsia" w:ascii="宋体" w:hAnsi="宋体" w:cs="宋体"/>
                <w:sz w:val="18"/>
                <w:szCs w:val="21"/>
              </w:rPr>
              <w:t>（防霉等级）</w:t>
            </w:r>
          </w:p>
        </w:tc>
        <w:tc>
          <w:tcPr>
            <w:tcW w:w="1969" w:type="dxa"/>
            <w:gridSpan w:val="2"/>
            <w:vAlign w:val="center"/>
          </w:tcPr>
          <w:p w14:paraId="5DFCF83E">
            <w:pPr>
              <w:jc w:val="center"/>
              <w:rPr>
                <w:rFonts w:ascii="宋体" w:hAnsi="宋体" w:cs="宋体"/>
                <w:sz w:val="18"/>
                <w:szCs w:val="21"/>
              </w:rPr>
            </w:pPr>
            <w:r>
              <w:rPr>
                <w:rFonts w:hint="eastAsia" w:ascii="宋体" w:hAnsi="宋体" w:cs="宋体"/>
                <w:sz w:val="18"/>
                <w:szCs w:val="21"/>
              </w:rPr>
              <w:t>接缝剥离强度</w:t>
            </w:r>
          </w:p>
        </w:tc>
        <w:tc>
          <w:tcPr>
            <w:tcW w:w="785" w:type="dxa"/>
            <w:vMerge w:val="continue"/>
            <w:vAlign w:val="center"/>
          </w:tcPr>
          <w:p w14:paraId="48E6C597">
            <w:pPr>
              <w:jc w:val="center"/>
              <w:rPr>
                <w:rFonts w:ascii="宋体" w:hAnsi="宋体" w:cs="宋体"/>
                <w:sz w:val="18"/>
                <w:szCs w:val="21"/>
              </w:rPr>
            </w:pPr>
          </w:p>
        </w:tc>
      </w:tr>
      <w:tr w14:paraId="3C65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630" w:type="dxa"/>
            <w:vMerge w:val="continue"/>
            <w:vAlign w:val="center"/>
          </w:tcPr>
          <w:p w14:paraId="201FEC40">
            <w:pPr>
              <w:jc w:val="center"/>
              <w:rPr>
                <w:rFonts w:ascii="宋体" w:hAnsi="宋体" w:cs="宋体"/>
                <w:sz w:val="18"/>
                <w:szCs w:val="21"/>
              </w:rPr>
            </w:pPr>
          </w:p>
        </w:tc>
        <w:tc>
          <w:tcPr>
            <w:tcW w:w="903" w:type="dxa"/>
            <w:vMerge w:val="continue"/>
            <w:vAlign w:val="center"/>
          </w:tcPr>
          <w:p w14:paraId="0D9E52F7">
            <w:pPr>
              <w:jc w:val="center"/>
              <w:rPr>
                <w:rFonts w:ascii="宋体" w:hAnsi="宋体" w:cs="宋体"/>
                <w:sz w:val="18"/>
                <w:szCs w:val="21"/>
              </w:rPr>
            </w:pPr>
          </w:p>
        </w:tc>
        <w:tc>
          <w:tcPr>
            <w:tcW w:w="835" w:type="dxa"/>
            <w:vMerge w:val="continue"/>
            <w:vAlign w:val="center"/>
          </w:tcPr>
          <w:p w14:paraId="27A7050B">
            <w:pPr>
              <w:jc w:val="center"/>
              <w:rPr>
                <w:rFonts w:ascii="宋体" w:hAnsi="宋体" w:cs="宋体"/>
                <w:sz w:val="18"/>
                <w:szCs w:val="21"/>
              </w:rPr>
            </w:pPr>
          </w:p>
        </w:tc>
        <w:tc>
          <w:tcPr>
            <w:tcW w:w="800" w:type="dxa"/>
            <w:vMerge w:val="continue"/>
            <w:vAlign w:val="center"/>
          </w:tcPr>
          <w:p w14:paraId="2F1E2649">
            <w:pPr>
              <w:jc w:val="center"/>
              <w:rPr>
                <w:rFonts w:ascii="宋体" w:hAnsi="宋体" w:cs="宋体"/>
                <w:sz w:val="18"/>
                <w:szCs w:val="21"/>
              </w:rPr>
            </w:pPr>
          </w:p>
        </w:tc>
        <w:tc>
          <w:tcPr>
            <w:tcW w:w="767" w:type="dxa"/>
            <w:vMerge w:val="continue"/>
            <w:vAlign w:val="center"/>
          </w:tcPr>
          <w:p w14:paraId="10616318">
            <w:pPr>
              <w:jc w:val="center"/>
              <w:rPr>
                <w:rFonts w:ascii="宋体" w:hAnsi="宋体" w:cs="宋体"/>
                <w:sz w:val="18"/>
                <w:szCs w:val="21"/>
              </w:rPr>
            </w:pPr>
          </w:p>
        </w:tc>
        <w:tc>
          <w:tcPr>
            <w:tcW w:w="709" w:type="dxa"/>
            <w:vMerge w:val="continue"/>
            <w:vAlign w:val="center"/>
          </w:tcPr>
          <w:p w14:paraId="6D62844C">
            <w:pPr>
              <w:jc w:val="center"/>
              <w:rPr>
                <w:rFonts w:ascii="宋体" w:hAnsi="宋体" w:cs="宋体"/>
                <w:sz w:val="18"/>
                <w:szCs w:val="21"/>
              </w:rPr>
            </w:pPr>
          </w:p>
        </w:tc>
        <w:tc>
          <w:tcPr>
            <w:tcW w:w="920" w:type="dxa"/>
            <w:vMerge w:val="continue"/>
            <w:vAlign w:val="center"/>
          </w:tcPr>
          <w:p w14:paraId="58E382CF">
            <w:pPr>
              <w:jc w:val="center"/>
              <w:rPr>
                <w:rFonts w:ascii="宋体" w:hAnsi="宋体" w:cs="宋体"/>
                <w:sz w:val="18"/>
                <w:szCs w:val="21"/>
              </w:rPr>
            </w:pPr>
          </w:p>
        </w:tc>
        <w:tc>
          <w:tcPr>
            <w:tcW w:w="954" w:type="dxa"/>
            <w:vAlign w:val="center"/>
          </w:tcPr>
          <w:p w14:paraId="6B9D57B7">
            <w:pPr>
              <w:jc w:val="center"/>
              <w:rPr>
                <w:rFonts w:ascii="宋体" w:hAnsi="宋体" w:cs="宋体"/>
                <w:sz w:val="18"/>
                <w:szCs w:val="21"/>
              </w:rPr>
            </w:pPr>
            <w:r>
              <w:rPr>
                <w:rFonts w:hint="eastAsia" w:ascii="宋体" w:hAnsi="宋体" w:cs="宋体"/>
                <w:sz w:val="18"/>
                <w:szCs w:val="21"/>
              </w:rPr>
              <w:t>无处理（N/mm）</w:t>
            </w:r>
          </w:p>
        </w:tc>
        <w:tc>
          <w:tcPr>
            <w:tcW w:w="1015" w:type="dxa"/>
            <w:vAlign w:val="center"/>
          </w:tcPr>
          <w:p w14:paraId="0163276A">
            <w:pPr>
              <w:jc w:val="center"/>
              <w:rPr>
                <w:rFonts w:ascii="宋体" w:hAnsi="宋体" w:cs="宋体"/>
                <w:sz w:val="18"/>
                <w:szCs w:val="21"/>
              </w:rPr>
            </w:pPr>
            <w:r>
              <w:rPr>
                <w:rFonts w:hint="eastAsia" w:ascii="宋体" w:hAnsi="宋体" w:cs="宋体"/>
                <w:sz w:val="18"/>
                <w:szCs w:val="21"/>
              </w:rPr>
              <w:t>热老化处理后保持率（%）</w:t>
            </w:r>
          </w:p>
        </w:tc>
        <w:tc>
          <w:tcPr>
            <w:tcW w:w="785" w:type="dxa"/>
            <w:vMerge w:val="continue"/>
            <w:vAlign w:val="center"/>
          </w:tcPr>
          <w:p w14:paraId="4DB090C2">
            <w:pPr>
              <w:jc w:val="center"/>
              <w:rPr>
                <w:rFonts w:ascii="宋体" w:hAnsi="宋体" w:cs="宋体"/>
                <w:sz w:val="18"/>
                <w:szCs w:val="21"/>
              </w:rPr>
            </w:pPr>
          </w:p>
        </w:tc>
      </w:tr>
      <w:tr w14:paraId="13DE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14:paraId="0F4C7873">
            <w:pPr>
              <w:jc w:val="center"/>
              <w:rPr>
                <w:rFonts w:ascii="宋体" w:hAnsi="宋体" w:cs="宋体"/>
                <w:sz w:val="18"/>
                <w:szCs w:val="21"/>
              </w:rPr>
            </w:pPr>
            <w:r>
              <w:rPr>
                <w:rFonts w:hint="eastAsia" w:ascii="宋体" w:hAnsi="宋体" w:cs="宋体"/>
                <w:sz w:val="18"/>
                <w:szCs w:val="21"/>
              </w:rPr>
              <w:t>性能要求</w:t>
            </w:r>
          </w:p>
        </w:tc>
        <w:tc>
          <w:tcPr>
            <w:tcW w:w="903" w:type="dxa"/>
            <w:vAlign w:val="center"/>
          </w:tcPr>
          <w:p w14:paraId="748050DD">
            <w:pPr>
              <w:jc w:val="center"/>
              <w:rPr>
                <w:rFonts w:ascii="宋体" w:hAnsi="宋体" w:cs="宋体"/>
                <w:sz w:val="18"/>
                <w:szCs w:val="21"/>
              </w:rPr>
            </w:pPr>
            <w:r>
              <w:rPr>
                <w:rFonts w:hint="eastAsia" w:ascii="宋体" w:hAnsi="宋体" w:cs="宋体"/>
                <w:sz w:val="18"/>
                <w:szCs w:val="21"/>
              </w:rPr>
              <w:t>≥2900</w:t>
            </w:r>
          </w:p>
        </w:tc>
        <w:tc>
          <w:tcPr>
            <w:tcW w:w="835" w:type="dxa"/>
            <w:vAlign w:val="center"/>
          </w:tcPr>
          <w:p w14:paraId="71CDF025">
            <w:pPr>
              <w:jc w:val="center"/>
              <w:rPr>
                <w:rFonts w:ascii="宋体" w:hAnsi="宋体" w:cs="宋体"/>
                <w:sz w:val="18"/>
                <w:szCs w:val="21"/>
              </w:rPr>
            </w:pPr>
            <w:r>
              <w:rPr>
                <w:rFonts w:hint="eastAsia" w:ascii="宋体" w:hAnsi="宋体" w:cs="宋体"/>
                <w:sz w:val="18"/>
                <w:szCs w:val="21"/>
              </w:rPr>
              <w:t>≥800</w:t>
            </w:r>
          </w:p>
        </w:tc>
        <w:tc>
          <w:tcPr>
            <w:tcW w:w="800" w:type="dxa"/>
            <w:vAlign w:val="center"/>
          </w:tcPr>
          <w:p w14:paraId="14A18155">
            <w:pPr>
              <w:jc w:val="center"/>
              <w:rPr>
                <w:rFonts w:ascii="宋体" w:hAnsi="宋体" w:cs="宋体"/>
                <w:sz w:val="18"/>
                <w:szCs w:val="21"/>
              </w:rPr>
            </w:pPr>
            <w:r>
              <w:rPr>
                <w:rFonts w:hint="eastAsia" w:ascii="宋体" w:hAnsi="宋体" w:cs="宋体"/>
                <w:sz w:val="18"/>
                <w:szCs w:val="21"/>
              </w:rPr>
              <w:t>≥40</w:t>
            </w:r>
          </w:p>
        </w:tc>
        <w:tc>
          <w:tcPr>
            <w:tcW w:w="767" w:type="dxa"/>
            <w:vAlign w:val="center"/>
          </w:tcPr>
          <w:p w14:paraId="501ECE15">
            <w:pPr>
              <w:jc w:val="center"/>
              <w:rPr>
                <w:rFonts w:ascii="宋体" w:hAnsi="宋体" w:cs="宋体"/>
                <w:sz w:val="18"/>
                <w:szCs w:val="21"/>
              </w:rPr>
            </w:pPr>
            <w:r>
              <w:rPr>
                <w:rFonts w:hint="eastAsia" w:ascii="宋体" w:hAnsi="宋体" w:cs="宋体"/>
                <w:sz w:val="18"/>
                <w:szCs w:val="21"/>
              </w:rPr>
              <w:t>105，无流淌</w:t>
            </w:r>
          </w:p>
        </w:tc>
        <w:tc>
          <w:tcPr>
            <w:tcW w:w="709" w:type="dxa"/>
            <w:vAlign w:val="center"/>
          </w:tcPr>
          <w:p w14:paraId="67371561">
            <w:pPr>
              <w:jc w:val="center"/>
              <w:rPr>
                <w:rFonts w:ascii="宋体" w:hAnsi="宋体" w:cs="宋体"/>
                <w:sz w:val="18"/>
                <w:szCs w:val="21"/>
              </w:rPr>
            </w:pPr>
            <w:r>
              <w:rPr>
                <w:rFonts w:hint="eastAsia" w:ascii="宋体" w:hAnsi="宋体" w:cs="宋体"/>
                <w:sz w:val="18"/>
                <w:szCs w:val="21"/>
              </w:rPr>
              <w:t>-25，无裂纹</w:t>
            </w:r>
          </w:p>
        </w:tc>
        <w:tc>
          <w:tcPr>
            <w:tcW w:w="920" w:type="dxa"/>
            <w:vAlign w:val="center"/>
          </w:tcPr>
          <w:p w14:paraId="684B7BAE">
            <w:pPr>
              <w:jc w:val="center"/>
              <w:rPr>
                <w:rFonts w:ascii="宋体" w:hAnsi="宋体" w:cs="宋体"/>
                <w:sz w:val="18"/>
                <w:szCs w:val="21"/>
              </w:rPr>
            </w:pPr>
            <w:r>
              <w:rPr>
                <w:rFonts w:hint="eastAsia" w:ascii="宋体" w:hAnsi="宋体" w:cs="宋体"/>
                <w:sz w:val="18"/>
                <w:szCs w:val="21"/>
              </w:rPr>
              <w:t>0级或</w:t>
            </w:r>
          </w:p>
          <w:p w14:paraId="4E16D53E">
            <w:pPr>
              <w:jc w:val="center"/>
              <w:rPr>
                <w:rFonts w:ascii="宋体" w:hAnsi="宋体" w:cs="宋体"/>
                <w:sz w:val="18"/>
                <w:szCs w:val="21"/>
              </w:rPr>
            </w:pPr>
            <w:r>
              <w:rPr>
                <w:rFonts w:hint="eastAsia" w:ascii="宋体" w:hAnsi="宋体" w:cs="宋体"/>
                <w:sz w:val="18"/>
                <w:szCs w:val="21"/>
              </w:rPr>
              <w:t>Ⅰ级</w:t>
            </w:r>
          </w:p>
        </w:tc>
        <w:tc>
          <w:tcPr>
            <w:tcW w:w="954" w:type="dxa"/>
            <w:vAlign w:val="center"/>
          </w:tcPr>
          <w:p w14:paraId="12E5F7AD">
            <w:pPr>
              <w:jc w:val="center"/>
              <w:rPr>
                <w:rFonts w:ascii="宋体" w:hAnsi="宋体" w:cs="宋体"/>
                <w:sz w:val="18"/>
                <w:szCs w:val="21"/>
              </w:rPr>
            </w:pPr>
            <w:r>
              <w:rPr>
                <w:rFonts w:hint="eastAsia" w:ascii="宋体" w:hAnsi="宋体" w:cs="宋体"/>
                <w:sz w:val="18"/>
                <w:szCs w:val="21"/>
              </w:rPr>
              <w:t>≥1.5</w:t>
            </w:r>
          </w:p>
        </w:tc>
        <w:tc>
          <w:tcPr>
            <w:tcW w:w="1015" w:type="dxa"/>
            <w:vAlign w:val="center"/>
          </w:tcPr>
          <w:p w14:paraId="29A9C51D">
            <w:pPr>
              <w:jc w:val="center"/>
              <w:rPr>
                <w:rFonts w:ascii="宋体" w:hAnsi="宋体" w:cs="宋体"/>
                <w:sz w:val="18"/>
                <w:szCs w:val="21"/>
              </w:rPr>
            </w:pPr>
            <w:r>
              <w:rPr>
                <w:rFonts w:hint="eastAsia" w:ascii="宋体" w:hAnsi="宋体" w:cs="宋体"/>
                <w:sz w:val="18"/>
                <w:szCs w:val="21"/>
              </w:rPr>
              <w:t>≥80或卷材破坏</w:t>
            </w:r>
          </w:p>
        </w:tc>
        <w:tc>
          <w:tcPr>
            <w:tcW w:w="785" w:type="dxa"/>
            <w:vAlign w:val="center"/>
          </w:tcPr>
          <w:p w14:paraId="027B3ED3">
            <w:pPr>
              <w:jc w:val="center"/>
              <w:rPr>
                <w:rFonts w:ascii="宋体" w:hAnsi="宋体" w:cs="宋体"/>
                <w:sz w:val="18"/>
                <w:szCs w:val="21"/>
              </w:rPr>
            </w:pPr>
            <w:r>
              <w:rPr>
                <w:rFonts w:hint="eastAsia" w:ascii="宋体" w:hAnsi="宋体" w:cs="宋体"/>
                <w:sz w:val="18"/>
                <w:szCs w:val="21"/>
              </w:rPr>
              <w:t>通过</w:t>
            </w:r>
          </w:p>
        </w:tc>
      </w:tr>
    </w:tbl>
    <w:p w14:paraId="3941244F">
      <w:pPr>
        <w:spacing w:line="480" w:lineRule="exact"/>
        <w:jc w:val="center"/>
        <w:rPr>
          <w:rFonts w:ascii="宋体" w:hAnsi="宋体" w:cs="宋体"/>
        </w:rPr>
      </w:pPr>
    </w:p>
    <w:p w14:paraId="6BB2F28B">
      <w:pPr>
        <w:pStyle w:val="11"/>
        <w:sectPr>
          <w:pgSz w:w="11906" w:h="16838"/>
          <w:pgMar w:top="1440" w:right="1800" w:bottom="1440" w:left="1800" w:header="851" w:footer="992" w:gutter="0"/>
          <w:pgNumType w:fmt="decimal"/>
          <w:cols w:space="425" w:num="1"/>
          <w:docGrid w:type="lines" w:linePitch="312" w:charSpace="0"/>
        </w:sectPr>
      </w:pPr>
    </w:p>
    <w:p w14:paraId="3E02F9AD">
      <w:pPr>
        <w:spacing w:line="480" w:lineRule="exact"/>
        <w:rPr>
          <w:rFonts w:ascii="宋体" w:hAnsi="宋体" w:cs="宋体"/>
        </w:rPr>
      </w:pPr>
      <w:r>
        <w:rPr>
          <w:rFonts w:hint="eastAsia" w:ascii="宋体" w:hAnsi="宋体" w:cs="宋体"/>
        </w:rPr>
        <w:t>4.2.2  塑性体改性沥青防水卷材的厚度不应小于4.0 mm，产品宜采用聚酯胎基的卷材，其主要物理性能应符合《种植屋面用耐根穿刺防水卷材》GB/T 35468及表4.</w:t>
      </w:r>
      <w:r>
        <w:rPr>
          <w:rFonts w:ascii="宋体" w:hAnsi="宋体" w:cs="宋体"/>
        </w:rPr>
        <w:t>2</w:t>
      </w:r>
      <w:r>
        <w:rPr>
          <w:rFonts w:hint="eastAsia" w:ascii="宋体" w:hAnsi="宋体" w:cs="宋体"/>
        </w:rPr>
        <w:t>.2的要求。</w:t>
      </w:r>
    </w:p>
    <w:p w14:paraId="505DAF02">
      <w:pPr>
        <w:spacing w:line="480" w:lineRule="exact"/>
        <w:jc w:val="center"/>
        <w:rPr>
          <w:rFonts w:ascii="宋体" w:hAnsi="宋体" w:cs="宋体"/>
        </w:rPr>
      </w:pPr>
      <w:r>
        <w:rPr>
          <w:rFonts w:hint="eastAsia" w:ascii="宋体" w:hAnsi="宋体" w:cs="宋体"/>
        </w:rPr>
        <w:t>表4.2.2  塑性体改性沥青防水卷材主要性能指标</w:t>
      </w:r>
    </w:p>
    <w:tbl>
      <w:tblPr>
        <w:tblStyle w:val="16"/>
        <w:tblW w:w="8357"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893"/>
        <w:gridCol w:w="825"/>
        <w:gridCol w:w="790"/>
        <w:gridCol w:w="758"/>
        <w:gridCol w:w="700"/>
        <w:gridCol w:w="909"/>
        <w:gridCol w:w="943"/>
        <w:gridCol w:w="1003"/>
        <w:gridCol w:w="914"/>
      </w:tblGrid>
      <w:tr w14:paraId="198A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22" w:type="dxa"/>
            <w:vMerge w:val="restart"/>
            <w:vAlign w:val="center"/>
          </w:tcPr>
          <w:p w14:paraId="30093F2E">
            <w:pPr>
              <w:jc w:val="center"/>
              <w:rPr>
                <w:rFonts w:ascii="宋体" w:hAnsi="宋体" w:cs="宋体"/>
                <w:sz w:val="18"/>
                <w:szCs w:val="21"/>
              </w:rPr>
            </w:pPr>
            <w:r>
              <w:rPr>
                <w:rFonts w:hint="eastAsia" w:ascii="宋体" w:hAnsi="宋体" w:cs="宋体"/>
                <w:sz w:val="18"/>
                <w:szCs w:val="21"/>
              </w:rPr>
              <w:t>项目</w:t>
            </w:r>
          </w:p>
        </w:tc>
        <w:tc>
          <w:tcPr>
            <w:tcW w:w="3966" w:type="dxa"/>
            <w:gridSpan w:val="5"/>
            <w:vAlign w:val="center"/>
          </w:tcPr>
          <w:p w14:paraId="6FB27825">
            <w:pPr>
              <w:jc w:val="center"/>
              <w:rPr>
                <w:rFonts w:ascii="宋体" w:hAnsi="宋体" w:cs="宋体"/>
                <w:sz w:val="18"/>
                <w:szCs w:val="21"/>
              </w:rPr>
            </w:pPr>
            <w:r>
              <w:rPr>
                <w:rFonts w:hint="eastAsia" w:ascii="宋体" w:hAnsi="宋体" w:cs="宋体"/>
                <w:sz w:val="18"/>
                <w:szCs w:val="21"/>
              </w:rPr>
              <w:t>基本性能</w:t>
            </w:r>
          </w:p>
        </w:tc>
        <w:tc>
          <w:tcPr>
            <w:tcW w:w="2855" w:type="dxa"/>
            <w:gridSpan w:val="3"/>
            <w:vAlign w:val="center"/>
          </w:tcPr>
          <w:p w14:paraId="1224FE6A">
            <w:pPr>
              <w:jc w:val="center"/>
              <w:rPr>
                <w:rFonts w:ascii="宋体" w:hAnsi="宋体" w:cs="宋体"/>
                <w:sz w:val="18"/>
                <w:szCs w:val="21"/>
              </w:rPr>
            </w:pPr>
            <w:r>
              <w:rPr>
                <w:rFonts w:hint="eastAsia" w:ascii="宋体" w:hAnsi="宋体" w:cs="宋体"/>
                <w:sz w:val="18"/>
                <w:szCs w:val="21"/>
              </w:rPr>
              <w:t>应用性能</w:t>
            </w:r>
          </w:p>
        </w:tc>
        <w:tc>
          <w:tcPr>
            <w:tcW w:w="914" w:type="dxa"/>
            <w:vMerge w:val="restart"/>
            <w:vAlign w:val="center"/>
          </w:tcPr>
          <w:p w14:paraId="0770A19C">
            <w:pPr>
              <w:jc w:val="center"/>
              <w:rPr>
                <w:rFonts w:ascii="宋体" w:hAnsi="宋体" w:cs="宋体"/>
                <w:sz w:val="18"/>
                <w:szCs w:val="21"/>
              </w:rPr>
            </w:pPr>
            <w:r>
              <w:rPr>
                <w:rFonts w:hint="eastAsia" w:ascii="宋体" w:hAnsi="宋体" w:cs="宋体"/>
                <w:sz w:val="18"/>
                <w:szCs w:val="21"/>
              </w:rPr>
              <w:t>耐根穿刺性能测试</w:t>
            </w:r>
          </w:p>
        </w:tc>
      </w:tr>
      <w:tr w14:paraId="785C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22" w:type="dxa"/>
            <w:vMerge w:val="continue"/>
            <w:vAlign w:val="center"/>
          </w:tcPr>
          <w:p w14:paraId="3280615A">
            <w:pPr>
              <w:jc w:val="center"/>
              <w:rPr>
                <w:rFonts w:ascii="宋体" w:hAnsi="宋体" w:cs="宋体"/>
                <w:sz w:val="18"/>
                <w:szCs w:val="21"/>
              </w:rPr>
            </w:pPr>
          </w:p>
        </w:tc>
        <w:tc>
          <w:tcPr>
            <w:tcW w:w="893" w:type="dxa"/>
            <w:vMerge w:val="restart"/>
            <w:vAlign w:val="center"/>
          </w:tcPr>
          <w:p w14:paraId="719FFF1F">
            <w:pPr>
              <w:jc w:val="center"/>
            </w:pPr>
            <w:r>
              <w:rPr>
                <w:rFonts w:hint="eastAsia" w:ascii="宋体" w:hAnsi="宋体" w:cs="宋体"/>
                <w:sz w:val="18"/>
                <w:szCs w:val="21"/>
              </w:rPr>
              <w:t>可容物含量</w:t>
            </w:r>
          </w:p>
          <w:p w14:paraId="46A32328">
            <w:pPr>
              <w:jc w:val="center"/>
              <w:rPr>
                <w:rFonts w:ascii="宋体" w:hAnsi="宋体" w:cs="宋体"/>
                <w:sz w:val="18"/>
                <w:szCs w:val="21"/>
              </w:rPr>
            </w:pPr>
            <w:r>
              <w:rPr>
                <w:rFonts w:hint="eastAsia" w:ascii="宋体" w:hAnsi="宋体" w:cs="宋体"/>
                <w:sz w:val="18"/>
                <w:szCs w:val="21"/>
              </w:rPr>
              <w:t>（g/㎡）</w:t>
            </w:r>
          </w:p>
        </w:tc>
        <w:tc>
          <w:tcPr>
            <w:tcW w:w="825" w:type="dxa"/>
            <w:vMerge w:val="restart"/>
            <w:vAlign w:val="center"/>
          </w:tcPr>
          <w:p w14:paraId="7A27D568">
            <w:pPr>
              <w:jc w:val="center"/>
              <w:rPr>
                <w:rFonts w:ascii="宋体" w:hAnsi="宋体" w:cs="宋体"/>
                <w:sz w:val="18"/>
                <w:szCs w:val="21"/>
              </w:rPr>
            </w:pPr>
            <w:r>
              <w:rPr>
                <w:rFonts w:hint="eastAsia" w:ascii="宋体" w:hAnsi="宋体" w:cs="宋体"/>
                <w:sz w:val="18"/>
                <w:szCs w:val="21"/>
              </w:rPr>
              <w:t>拉力（N/50mm）</w:t>
            </w:r>
          </w:p>
        </w:tc>
        <w:tc>
          <w:tcPr>
            <w:tcW w:w="790" w:type="dxa"/>
            <w:vMerge w:val="restart"/>
            <w:vAlign w:val="center"/>
          </w:tcPr>
          <w:p w14:paraId="699BB001">
            <w:pPr>
              <w:jc w:val="center"/>
              <w:rPr>
                <w:rFonts w:ascii="宋体" w:hAnsi="宋体" w:cs="宋体"/>
                <w:sz w:val="18"/>
                <w:szCs w:val="21"/>
              </w:rPr>
            </w:pPr>
            <w:r>
              <w:rPr>
                <w:rFonts w:hint="eastAsia" w:ascii="宋体" w:hAnsi="宋体" w:cs="宋体"/>
                <w:sz w:val="18"/>
                <w:szCs w:val="21"/>
              </w:rPr>
              <w:t>延伸率</w:t>
            </w:r>
          </w:p>
          <w:p w14:paraId="123D0588">
            <w:pPr>
              <w:jc w:val="center"/>
              <w:rPr>
                <w:rFonts w:ascii="宋体" w:hAnsi="宋体" w:cs="宋体"/>
                <w:sz w:val="18"/>
                <w:szCs w:val="21"/>
              </w:rPr>
            </w:pPr>
            <w:r>
              <w:rPr>
                <w:rFonts w:hint="eastAsia" w:ascii="宋体" w:hAnsi="宋体" w:cs="宋体"/>
                <w:sz w:val="18"/>
                <w:szCs w:val="21"/>
              </w:rPr>
              <w:t>（%）</w:t>
            </w:r>
          </w:p>
        </w:tc>
        <w:tc>
          <w:tcPr>
            <w:tcW w:w="758" w:type="dxa"/>
            <w:vMerge w:val="restart"/>
            <w:vAlign w:val="center"/>
          </w:tcPr>
          <w:p w14:paraId="336932DD">
            <w:pPr>
              <w:jc w:val="center"/>
              <w:rPr>
                <w:rFonts w:ascii="宋体" w:hAnsi="宋体" w:cs="宋体"/>
                <w:sz w:val="18"/>
                <w:szCs w:val="21"/>
              </w:rPr>
            </w:pPr>
            <w:r>
              <w:rPr>
                <w:rFonts w:hint="eastAsia" w:ascii="宋体" w:hAnsi="宋体" w:cs="宋体"/>
                <w:sz w:val="18"/>
                <w:szCs w:val="21"/>
              </w:rPr>
              <w:t>耐热性</w:t>
            </w:r>
          </w:p>
          <w:p w14:paraId="1B7E5B8A">
            <w:pPr>
              <w:jc w:val="center"/>
              <w:rPr>
                <w:rFonts w:ascii="宋体" w:hAnsi="宋体" w:cs="宋体"/>
                <w:sz w:val="18"/>
                <w:szCs w:val="21"/>
              </w:rPr>
            </w:pPr>
            <w:r>
              <w:rPr>
                <w:rFonts w:hint="eastAsia" w:ascii="宋体" w:hAnsi="宋体" w:cs="宋体"/>
                <w:sz w:val="18"/>
                <w:szCs w:val="21"/>
              </w:rPr>
              <w:t>（℃）</w:t>
            </w:r>
          </w:p>
        </w:tc>
        <w:tc>
          <w:tcPr>
            <w:tcW w:w="700" w:type="dxa"/>
            <w:vMerge w:val="restart"/>
            <w:vAlign w:val="center"/>
          </w:tcPr>
          <w:p w14:paraId="60EB3796">
            <w:pPr>
              <w:jc w:val="center"/>
              <w:rPr>
                <w:rFonts w:ascii="宋体" w:hAnsi="宋体" w:cs="宋体"/>
                <w:sz w:val="18"/>
                <w:szCs w:val="21"/>
              </w:rPr>
            </w:pPr>
            <w:r>
              <w:rPr>
                <w:rFonts w:hint="eastAsia" w:ascii="宋体" w:hAnsi="宋体" w:cs="宋体"/>
                <w:sz w:val="18"/>
                <w:szCs w:val="21"/>
              </w:rPr>
              <w:t>低温柔性</w:t>
            </w:r>
          </w:p>
          <w:p w14:paraId="05CFEFBD">
            <w:pPr>
              <w:jc w:val="center"/>
              <w:rPr>
                <w:rFonts w:ascii="宋体" w:hAnsi="宋体" w:cs="宋体"/>
                <w:sz w:val="18"/>
                <w:szCs w:val="21"/>
              </w:rPr>
            </w:pPr>
            <w:r>
              <w:rPr>
                <w:rFonts w:hint="eastAsia" w:ascii="宋体" w:hAnsi="宋体" w:cs="宋体"/>
                <w:sz w:val="18"/>
                <w:szCs w:val="21"/>
              </w:rPr>
              <w:t>（℃）</w:t>
            </w:r>
          </w:p>
        </w:tc>
        <w:tc>
          <w:tcPr>
            <w:tcW w:w="909" w:type="dxa"/>
            <w:vMerge w:val="restart"/>
            <w:vAlign w:val="center"/>
          </w:tcPr>
          <w:p w14:paraId="085212E3">
            <w:pPr>
              <w:jc w:val="center"/>
              <w:rPr>
                <w:rFonts w:ascii="宋体" w:hAnsi="宋体" w:cs="宋体"/>
                <w:sz w:val="18"/>
                <w:szCs w:val="21"/>
              </w:rPr>
            </w:pPr>
            <w:r>
              <w:rPr>
                <w:rFonts w:hint="eastAsia" w:ascii="宋体" w:hAnsi="宋体" w:cs="宋体"/>
                <w:sz w:val="18"/>
                <w:szCs w:val="21"/>
              </w:rPr>
              <w:t>耐霉菌腐蚀性</w:t>
            </w:r>
          </w:p>
          <w:p w14:paraId="5A5D3497">
            <w:pPr>
              <w:jc w:val="center"/>
              <w:rPr>
                <w:rFonts w:ascii="宋体" w:hAnsi="宋体" w:cs="宋体"/>
                <w:sz w:val="18"/>
                <w:szCs w:val="21"/>
              </w:rPr>
            </w:pPr>
            <w:r>
              <w:rPr>
                <w:rFonts w:hint="eastAsia" w:ascii="宋体" w:hAnsi="宋体" w:cs="宋体"/>
                <w:sz w:val="18"/>
                <w:szCs w:val="21"/>
              </w:rPr>
              <w:t>（防霉等级）</w:t>
            </w:r>
          </w:p>
        </w:tc>
        <w:tc>
          <w:tcPr>
            <w:tcW w:w="1946" w:type="dxa"/>
            <w:gridSpan w:val="2"/>
            <w:vAlign w:val="center"/>
          </w:tcPr>
          <w:p w14:paraId="49FD87D9">
            <w:pPr>
              <w:jc w:val="center"/>
              <w:rPr>
                <w:rFonts w:ascii="宋体" w:hAnsi="宋体" w:cs="宋体"/>
                <w:sz w:val="18"/>
                <w:szCs w:val="21"/>
              </w:rPr>
            </w:pPr>
            <w:r>
              <w:rPr>
                <w:rFonts w:hint="eastAsia" w:ascii="宋体" w:hAnsi="宋体" w:cs="宋体"/>
                <w:sz w:val="18"/>
                <w:szCs w:val="21"/>
              </w:rPr>
              <w:t>接缝剥离强度</w:t>
            </w:r>
          </w:p>
        </w:tc>
        <w:tc>
          <w:tcPr>
            <w:tcW w:w="914" w:type="dxa"/>
            <w:vMerge w:val="continue"/>
            <w:vAlign w:val="center"/>
          </w:tcPr>
          <w:p w14:paraId="686AB6AD">
            <w:pPr>
              <w:jc w:val="center"/>
              <w:rPr>
                <w:rFonts w:ascii="宋体" w:hAnsi="宋体" w:cs="宋体"/>
                <w:sz w:val="18"/>
                <w:szCs w:val="21"/>
              </w:rPr>
            </w:pPr>
          </w:p>
        </w:tc>
      </w:tr>
      <w:tr w14:paraId="41A9C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622" w:type="dxa"/>
            <w:vMerge w:val="continue"/>
            <w:vAlign w:val="center"/>
          </w:tcPr>
          <w:p w14:paraId="30A1A990">
            <w:pPr>
              <w:jc w:val="center"/>
              <w:rPr>
                <w:rFonts w:ascii="宋体" w:hAnsi="宋体" w:cs="宋体"/>
                <w:sz w:val="18"/>
                <w:szCs w:val="21"/>
              </w:rPr>
            </w:pPr>
          </w:p>
        </w:tc>
        <w:tc>
          <w:tcPr>
            <w:tcW w:w="893" w:type="dxa"/>
            <w:vMerge w:val="continue"/>
            <w:vAlign w:val="center"/>
          </w:tcPr>
          <w:p w14:paraId="5CF7C07F">
            <w:pPr>
              <w:jc w:val="center"/>
              <w:rPr>
                <w:rFonts w:ascii="宋体" w:hAnsi="宋体" w:cs="宋体"/>
                <w:sz w:val="18"/>
                <w:szCs w:val="21"/>
              </w:rPr>
            </w:pPr>
          </w:p>
        </w:tc>
        <w:tc>
          <w:tcPr>
            <w:tcW w:w="825" w:type="dxa"/>
            <w:vMerge w:val="continue"/>
            <w:vAlign w:val="center"/>
          </w:tcPr>
          <w:p w14:paraId="1E76652D">
            <w:pPr>
              <w:jc w:val="center"/>
              <w:rPr>
                <w:rFonts w:ascii="宋体" w:hAnsi="宋体" w:cs="宋体"/>
                <w:sz w:val="18"/>
                <w:szCs w:val="21"/>
              </w:rPr>
            </w:pPr>
          </w:p>
        </w:tc>
        <w:tc>
          <w:tcPr>
            <w:tcW w:w="790" w:type="dxa"/>
            <w:vMerge w:val="continue"/>
            <w:vAlign w:val="center"/>
          </w:tcPr>
          <w:p w14:paraId="21505EB4">
            <w:pPr>
              <w:jc w:val="center"/>
              <w:rPr>
                <w:rFonts w:ascii="宋体" w:hAnsi="宋体" w:cs="宋体"/>
                <w:sz w:val="18"/>
                <w:szCs w:val="21"/>
              </w:rPr>
            </w:pPr>
          </w:p>
        </w:tc>
        <w:tc>
          <w:tcPr>
            <w:tcW w:w="758" w:type="dxa"/>
            <w:vMerge w:val="continue"/>
            <w:vAlign w:val="center"/>
          </w:tcPr>
          <w:p w14:paraId="206CC8EA">
            <w:pPr>
              <w:jc w:val="center"/>
              <w:rPr>
                <w:rFonts w:ascii="宋体" w:hAnsi="宋体" w:cs="宋体"/>
                <w:sz w:val="18"/>
                <w:szCs w:val="21"/>
              </w:rPr>
            </w:pPr>
          </w:p>
        </w:tc>
        <w:tc>
          <w:tcPr>
            <w:tcW w:w="700" w:type="dxa"/>
            <w:vMerge w:val="continue"/>
            <w:vAlign w:val="center"/>
          </w:tcPr>
          <w:p w14:paraId="6ED93709">
            <w:pPr>
              <w:jc w:val="center"/>
              <w:rPr>
                <w:rFonts w:ascii="宋体" w:hAnsi="宋体" w:cs="宋体"/>
                <w:sz w:val="18"/>
                <w:szCs w:val="21"/>
              </w:rPr>
            </w:pPr>
          </w:p>
        </w:tc>
        <w:tc>
          <w:tcPr>
            <w:tcW w:w="909" w:type="dxa"/>
            <w:vMerge w:val="continue"/>
            <w:vAlign w:val="center"/>
          </w:tcPr>
          <w:p w14:paraId="513AF892">
            <w:pPr>
              <w:jc w:val="center"/>
              <w:rPr>
                <w:rFonts w:ascii="宋体" w:hAnsi="宋体" w:cs="宋体"/>
                <w:sz w:val="18"/>
                <w:szCs w:val="21"/>
              </w:rPr>
            </w:pPr>
          </w:p>
        </w:tc>
        <w:tc>
          <w:tcPr>
            <w:tcW w:w="943" w:type="dxa"/>
            <w:vAlign w:val="center"/>
          </w:tcPr>
          <w:p w14:paraId="1663531C">
            <w:pPr>
              <w:jc w:val="center"/>
              <w:rPr>
                <w:rFonts w:ascii="宋体" w:hAnsi="宋体" w:cs="宋体"/>
                <w:sz w:val="18"/>
                <w:szCs w:val="21"/>
              </w:rPr>
            </w:pPr>
            <w:r>
              <w:rPr>
                <w:rFonts w:hint="eastAsia" w:ascii="宋体" w:hAnsi="宋体" w:cs="宋体"/>
                <w:sz w:val="18"/>
                <w:szCs w:val="21"/>
              </w:rPr>
              <w:t>无处理（N/mm）</w:t>
            </w:r>
          </w:p>
        </w:tc>
        <w:tc>
          <w:tcPr>
            <w:tcW w:w="1003" w:type="dxa"/>
            <w:vAlign w:val="center"/>
          </w:tcPr>
          <w:p w14:paraId="5D0467E9">
            <w:pPr>
              <w:jc w:val="center"/>
              <w:rPr>
                <w:rFonts w:ascii="宋体" w:hAnsi="宋体" w:cs="宋体"/>
                <w:sz w:val="18"/>
                <w:szCs w:val="21"/>
              </w:rPr>
            </w:pPr>
            <w:r>
              <w:rPr>
                <w:rFonts w:hint="eastAsia" w:ascii="宋体" w:hAnsi="宋体" w:cs="宋体"/>
                <w:sz w:val="18"/>
                <w:szCs w:val="21"/>
              </w:rPr>
              <w:t>热老化处理后保持率（%）</w:t>
            </w:r>
          </w:p>
        </w:tc>
        <w:tc>
          <w:tcPr>
            <w:tcW w:w="914" w:type="dxa"/>
            <w:vMerge w:val="continue"/>
            <w:vAlign w:val="center"/>
          </w:tcPr>
          <w:p w14:paraId="4A3D47C1">
            <w:pPr>
              <w:jc w:val="center"/>
              <w:rPr>
                <w:rFonts w:ascii="宋体" w:hAnsi="宋体" w:cs="宋体"/>
                <w:sz w:val="18"/>
                <w:szCs w:val="21"/>
              </w:rPr>
            </w:pPr>
          </w:p>
        </w:tc>
      </w:tr>
      <w:tr w14:paraId="52F3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622" w:type="dxa"/>
            <w:vAlign w:val="center"/>
          </w:tcPr>
          <w:p w14:paraId="28604A15">
            <w:pPr>
              <w:rPr>
                <w:rFonts w:ascii="宋体" w:hAnsi="宋体" w:cs="宋体"/>
                <w:sz w:val="18"/>
                <w:szCs w:val="21"/>
              </w:rPr>
            </w:pPr>
            <w:r>
              <w:rPr>
                <w:rFonts w:hint="eastAsia" w:ascii="宋体" w:hAnsi="宋体" w:cs="宋体"/>
                <w:sz w:val="18"/>
                <w:szCs w:val="21"/>
              </w:rPr>
              <w:t>性能要求</w:t>
            </w:r>
          </w:p>
        </w:tc>
        <w:tc>
          <w:tcPr>
            <w:tcW w:w="893" w:type="dxa"/>
            <w:vAlign w:val="center"/>
          </w:tcPr>
          <w:p w14:paraId="03D26F01">
            <w:pPr>
              <w:jc w:val="center"/>
              <w:rPr>
                <w:rFonts w:ascii="宋体" w:hAnsi="宋体" w:cs="宋体"/>
                <w:sz w:val="18"/>
                <w:szCs w:val="21"/>
              </w:rPr>
            </w:pPr>
            <w:r>
              <w:rPr>
                <w:rFonts w:hint="eastAsia" w:ascii="宋体" w:hAnsi="宋体" w:cs="宋体"/>
                <w:sz w:val="18"/>
                <w:szCs w:val="21"/>
              </w:rPr>
              <w:t>≥2900</w:t>
            </w:r>
          </w:p>
        </w:tc>
        <w:tc>
          <w:tcPr>
            <w:tcW w:w="825" w:type="dxa"/>
            <w:vAlign w:val="center"/>
          </w:tcPr>
          <w:p w14:paraId="1CBE03BE">
            <w:pPr>
              <w:jc w:val="center"/>
              <w:rPr>
                <w:rFonts w:ascii="宋体" w:hAnsi="宋体" w:cs="宋体"/>
                <w:sz w:val="18"/>
                <w:szCs w:val="21"/>
              </w:rPr>
            </w:pPr>
            <w:r>
              <w:rPr>
                <w:rFonts w:hint="eastAsia" w:ascii="宋体" w:hAnsi="宋体" w:cs="宋体"/>
                <w:sz w:val="18"/>
                <w:szCs w:val="21"/>
              </w:rPr>
              <w:t>≥800</w:t>
            </w:r>
          </w:p>
        </w:tc>
        <w:tc>
          <w:tcPr>
            <w:tcW w:w="790" w:type="dxa"/>
            <w:vAlign w:val="center"/>
          </w:tcPr>
          <w:p w14:paraId="4AE38162">
            <w:pPr>
              <w:jc w:val="center"/>
              <w:rPr>
                <w:rFonts w:ascii="宋体" w:hAnsi="宋体" w:cs="宋体"/>
                <w:sz w:val="18"/>
                <w:szCs w:val="21"/>
              </w:rPr>
            </w:pPr>
            <w:r>
              <w:rPr>
                <w:rFonts w:hint="eastAsia" w:ascii="宋体" w:hAnsi="宋体" w:cs="宋体"/>
                <w:sz w:val="18"/>
                <w:szCs w:val="21"/>
              </w:rPr>
              <w:t>≥40</w:t>
            </w:r>
          </w:p>
        </w:tc>
        <w:tc>
          <w:tcPr>
            <w:tcW w:w="758" w:type="dxa"/>
            <w:vAlign w:val="center"/>
          </w:tcPr>
          <w:p w14:paraId="15E45548">
            <w:pPr>
              <w:jc w:val="center"/>
              <w:rPr>
                <w:rFonts w:ascii="宋体" w:hAnsi="宋体" w:cs="宋体"/>
                <w:sz w:val="18"/>
                <w:szCs w:val="21"/>
              </w:rPr>
            </w:pPr>
            <w:r>
              <w:rPr>
                <w:rFonts w:hint="eastAsia" w:ascii="宋体" w:hAnsi="宋体" w:cs="宋体"/>
                <w:sz w:val="18"/>
                <w:szCs w:val="21"/>
              </w:rPr>
              <w:t>130，无流淌</w:t>
            </w:r>
          </w:p>
        </w:tc>
        <w:tc>
          <w:tcPr>
            <w:tcW w:w="700" w:type="dxa"/>
            <w:vAlign w:val="center"/>
          </w:tcPr>
          <w:p w14:paraId="0DA20685">
            <w:pPr>
              <w:jc w:val="center"/>
              <w:rPr>
                <w:rFonts w:ascii="宋体" w:hAnsi="宋体" w:cs="宋体"/>
                <w:sz w:val="18"/>
                <w:szCs w:val="21"/>
              </w:rPr>
            </w:pPr>
            <w:r>
              <w:rPr>
                <w:rFonts w:hint="eastAsia" w:ascii="宋体" w:hAnsi="宋体" w:cs="宋体"/>
                <w:sz w:val="18"/>
                <w:szCs w:val="21"/>
              </w:rPr>
              <w:t>-15，无裂纹</w:t>
            </w:r>
          </w:p>
        </w:tc>
        <w:tc>
          <w:tcPr>
            <w:tcW w:w="909" w:type="dxa"/>
            <w:vAlign w:val="center"/>
          </w:tcPr>
          <w:p w14:paraId="42F502EF">
            <w:pPr>
              <w:jc w:val="center"/>
              <w:rPr>
                <w:rFonts w:ascii="宋体" w:hAnsi="宋体" w:cs="宋体"/>
                <w:sz w:val="18"/>
                <w:szCs w:val="21"/>
              </w:rPr>
            </w:pPr>
            <w:r>
              <w:rPr>
                <w:rFonts w:hint="eastAsia" w:ascii="宋体" w:hAnsi="宋体" w:cs="宋体"/>
                <w:sz w:val="18"/>
                <w:szCs w:val="21"/>
              </w:rPr>
              <w:t>0级或</w:t>
            </w:r>
          </w:p>
          <w:p w14:paraId="020AD9EF">
            <w:pPr>
              <w:jc w:val="center"/>
              <w:rPr>
                <w:rFonts w:ascii="宋体" w:hAnsi="宋体" w:cs="宋体"/>
                <w:sz w:val="18"/>
                <w:szCs w:val="21"/>
              </w:rPr>
            </w:pPr>
            <w:r>
              <w:rPr>
                <w:rFonts w:hint="eastAsia" w:ascii="宋体" w:hAnsi="宋体" w:cs="宋体"/>
                <w:sz w:val="18"/>
                <w:szCs w:val="21"/>
              </w:rPr>
              <w:t>Ⅰ级</w:t>
            </w:r>
          </w:p>
        </w:tc>
        <w:tc>
          <w:tcPr>
            <w:tcW w:w="943" w:type="dxa"/>
            <w:vAlign w:val="center"/>
          </w:tcPr>
          <w:p w14:paraId="391BCACE">
            <w:pPr>
              <w:jc w:val="center"/>
              <w:rPr>
                <w:rFonts w:ascii="宋体" w:hAnsi="宋体" w:cs="宋体"/>
                <w:sz w:val="18"/>
                <w:szCs w:val="21"/>
              </w:rPr>
            </w:pPr>
            <w:r>
              <w:rPr>
                <w:rFonts w:hint="eastAsia" w:ascii="宋体" w:hAnsi="宋体" w:cs="宋体"/>
                <w:sz w:val="18"/>
                <w:szCs w:val="21"/>
              </w:rPr>
              <w:t>≥1.5</w:t>
            </w:r>
          </w:p>
        </w:tc>
        <w:tc>
          <w:tcPr>
            <w:tcW w:w="1003" w:type="dxa"/>
            <w:vAlign w:val="center"/>
          </w:tcPr>
          <w:p w14:paraId="64A77D12">
            <w:pPr>
              <w:jc w:val="center"/>
              <w:rPr>
                <w:rFonts w:ascii="宋体" w:hAnsi="宋体" w:cs="宋体"/>
                <w:sz w:val="18"/>
                <w:szCs w:val="21"/>
              </w:rPr>
            </w:pPr>
            <w:r>
              <w:rPr>
                <w:rFonts w:hint="eastAsia" w:ascii="宋体" w:hAnsi="宋体" w:cs="宋体"/>
                <w:sz w:val="18"/>
                <w:szCs w:val="21"/>
              </w:rPr>
              <w:t>≥80或卷材破坏</w:t>
            </w:r>
          </w:p>
        </w:tc>
        <w:tc>
          <w:tcPr>
            <w:tcW w:w="914" w:type="dxa"/>
            <w:vAlign w:val="center"/>
          </w:tcPr>
          <w:p w14:paraId="4894A610">
            <w:pPr>
              <w:jc w:val="center"/>
              <w:rPr>
                <w:rFonts w:ascii="宋体" w:hAnsi="宋体" w:cs="宋体"/>
                <w:sz w:val="18"/>
                <w:szCs w:val="21"/>
              </w:rPr>
            </w:pPr>
            <w:r>
              <w:rPr>
                <w:rFonts w:hint="eastAsia" w:ascii="宋体" w:hAnsi="宋体" w:cs="宋体"/>
                <w:sz w:val="18"/>
                <w:szCs w:val="21"/>
              </w:rPr>
              <w:t>通过</w:t>
            </w:r>
          </w:p>
        </w:tc>
      </w:tr>
    </w:tbl>
    <w:p w14:paraId="5D4C347D">
      <w:pPr>
        <w:spacing w:line="480" w:lineRule="exact"/>
        <w:rPr>
          <w:rFonts w:ascii="宋体" w:hAnsi="宋体" w:cs="宋体"/>
        </w:rPr>
      </w:pPr>
      <w:r>
        <w:rPr>
          <w:rFonts w:hint="eastAsia" w:ascii="宋体" w:hAnsi="宋体" w:cs="宋体"/>
        </w:rPr>
        <w:t>4.2.3  金刚砂覆面改性沥青防水卷材的厚度不应小于4.0mm，产品应采用聚酯胎基的卷材，其主要物理性能应符合《种植屋面用耐根穿刺防水卷材》GB/T 35468及表4.</w:t>
      </w:r>
      <w:r>
        <w:rPr>
          <w:rFonts w:ascii="宋体" w:hAnsi="宋体" w:cs="宋体"/>
        </w:rPr>
        <w:t>2</w:t>
      </w:r>
      <w:r>
        <w:rPr>
          <w:rFonts w:hint="eastAsia" w:ascii="宋体" w:hAnsi="宋体" w:cs="宋体"/>
        </w:rPr>
        <w:t>.3的要求。</w:t>
      </w:r>
    </w:p>
    <w:p w14:paraId="4E5F1CDB">
      <w:pPr>
        <w:spacing w:line="480" w:lineRule="exact"/>
        <w:jc w:val="center"/>
        <w:rPr>
          <w:rFonts w:ascii="宋体" w:hAnsi="宋体" w:cs="宋体"/>
        </w:rPr>
      </w:pPr>
      <w:r>
        <w:rPr>
          <w:rFonts w:hint="eastAsia" w:ascii="宋体" w:hAnsi="宋体" w:cs="宋体"/>
        </w:rPr>
        <w:t>表4.2.3  金刚砂覆面改性沥青防水卷材主要性能</w:t>
      </w:r>
    </w:p>
    <w:tbl>
      <w:tblPr>
        <w:tblStyle w:val="16"/>
        <w:tblW w:w="8357"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892"/>
        <w:gridCol w:w="824"/>
        <w:gridCol w:w="789"/>
        <w:gridCol w:w="757"/>
        <w:gridCol w:w="702"/>
        <w:gridCol w:w="908"/>
        <w:gridCol w:w="941"/>
        <w:gridCol w:w="1004"/>
        <w:gridCol w:w="919"/>
      </w:tblGrid>
      <w:tr w14:paraId="1C9C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621" w:type="dxa"/>
            <w:vMerge w:val="restart"/>
            <w:vAlign w:val="center"/>
          </w:tcPr>
          <w:p w14:paraId="4D5DBD61">
            <w:pPr>
              <w:jc w:val="center"/>
              <w:rPr>
                <w:rFonts w:ascii="宋体" w:hAnsi="宋体" w:cs="宋体"/>
                <w:sz w:val="18"/>
                <w:szCs w:val="21"/>
              </w:rPr>
            </w:pPr>
            <w:r>
              <w:rPr>
                <w:rFonts w:hint="eastAsia" w:ascii="宋体" w:hAnsi="宋体" w:cs="宋体"/>
                <w:sz w:val="18"/>
                <w:szCs w:val="21"/>
              </w:rPr>
              <w:t>项目</w:t>
            </w:r>
          </w:p>
        </w:tc>
        <w:tc>
          <w:tcPr>
            <w:tcW w:w="3964" w:type="dxa"/>
            <w:gridSpan w:val="5"/>
            <w:vAlign w:val="center"/>
          </w:tcPr>
          <w:p w14:paraId="07BF55CD">
            <w:pPr>
              <w:jc w:val="center"/>
              <w:rPr>
                <w:rFonts w:ascii="宋体" w:hAnsi="宋体" w:cs="宋体"/>
                <w:sz w:val="18"/>
                <w:szCs w:val="21"/>
              </w:rPr>
            </w:pPr>
            <w:r>
              <w:rPr>
                <w:rFonts w:hint="eastAsia" w:ascii="宋体" w:hAnsi="宋体" w:cs="宋体"/>
                <w:sz w:val="18"/>
                <w:szCs w:val="21"/>
              </w:rPr>
              <w:t>基本性能</w:t>
            </w:r>
          </w:p>
        </w:tc>
        <w:tc>
          <w:tcPr>
            <w:tcW w:w="2853" w:type="dxa"/>
            <w:gridSpan w:val="3"/>
            <w:vAlign w:val="center"/>
          </w:tcPr>
          <w:p w14:paraId="3215763B">
            <w:pPr>
              <w:jc w:val="center"/>
              <w:rPr>
                <w:rFonts w:ascii="宋体" w:hAnsi="宋体" w:cs="宋体"/>
                <w:sz w:val="18"/>
                <w:szCs w:val="21"/>
              </w:rPr>
            </w:pPr>
            <w:r>
              <w:rPr>
                <w:rFonts w:hint="eastAsia" w:ascii="宋体" w:hAnsi="宋体" w:cs="宋体"/>
                <w:sz w:val="18"/>
                <w:szCs w:val="21"/>
              </w:rPr>
              <w:t>应用性能</w:t>
            </w:r>
          </w:p>
        </w:tc>
        <w:tc>
          <w:tcPr>
            <w:tcW w:w="919" w:type="dxa"/>
            <w:vMerge w:val="restart"/>
            <w:vAlign w:val="center"/>
          </w:tcPr>
          <w:p w14:paraId="176A04D8">
            <w:pPr>
              <w:jc w:val="center"/>
              <w:rPr>
                <w:rFonts w:ascii="宋体" w:hAnsi="宋体" w:cs="宋体"/>
                <w:sz w:val="18"/>
                <w:szCs w:val="21"/>
              </w:rPr>
            </w:pPr>
            <w:r>
              <w:rPr>
                <w:rFonts w:hint="eastAsia" w:ascii="宋体" w:hAnsi="宋体" w:cs="宋体"/>
                <w:sz w:val="18"/>
                <w:szCs w:val="21"/>
              </w:rPr>
              <w:t>耐根穿刺性能测试</w:t>
            </w:r>
          </w:p>
        </w:tc>
      </w:tr>
      <w:tr w14:paraId="5B1B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621" w:type="dxa"/>
            <w:vMerge w:val="continue"/>
            <w:vAlign w:val="center"/>
          </w:tcPr>
          <w:p w14:paraId="0D3D6581">
            <w:pPr>
              <w:jc w:val="center"/>
              <w:rPr>
                <w:rFonts w:ascii="宋体" w:hAnsi="宋体" w:cs="宋体"/>
                <w:sz w:val="18"/>
                <w:szCs w:val="21"/>
              </w:rPr>
            </w:pPr>
          </w:p>
        </w:tc>
        <w:tc>
          <w:tcPr>
            <w:tcW w:w="892" w:type="dxa"/>
            <w:vMerge w:val="restart"/>
            <w:vAlign w:val="center"/>
          </w:tcPr>
          <w:p w14:paraId="7C454B9B">
            <w:pPr>
              <w:jc w:val="center"/>
            </w:pPr>
            <w:r>
              <w:rPr>
                <w:rFonts w:hint="eastAsia" w:ascii="宋体" w:hAnsi="宋体" w:cs="宋体"/>
                <w:sz w:val="18"/>
                <w:szCs w:val="21"/>
              </w:rPr>
              <w:t>可容物含量</w:t>
            </w:r>
          </w:p>
          <w:p w14:paraId="09DEE4B7">
            <w:pPr>
              <w:jc w:val="center"/>
              <w:rPr>
                <w:rFonts w:ascii="宋体" w:hAnsi="宋体" w:cs="宋体"/>
                <w:sz w:val="18"/>
                <w:szCs w:val="21"/>
              </w:rPr>
            </w:pPr>
            <w:r>
              <w:rPr>
                <w:rFonts w:hint="eastAsia" w:ascii="宋体" w:hAnsi="宋体" w:cs="宋体"/>
                <w:sz w:val="18"/>
                <w:szCs w:val="21"/>
              </w:rPr>
              <w:t>（g/㎡）</w:t>
            </w:r>
          </w:p>
        </w:tc>
        <w:tc>
          <w:tcPr>
            <w:tcW w:w="824" w:type="dxa"/>
            <w:vMerge w:val="restart"/>
            <w:vAlign w:val="center"/>
          </w:tcPr>
          <w:p w14:paraId="1D0E9DE4">
            <w:pPr>
              <w:jc w:val="center"/>
              <w:rPr>
                <w:rFonts w:ascii="宋体" w:hAnsi="宋体" w:cs="宋体"/>
                <w:sz w:val="18"/>
                <w:szCs w:val="21"/>
              </w:rPr>
            </w:pPr>
            <w:r>
              <w:rPr>
                <w:rFonts w:hint="eastAsia" w:ascii="宋体" w:hAnsi="宋体" w:cs="宋体"/>
                <w:sz w:val="18"/>
                <w:szCs w:val="21"/>
              </w:rPr>
              <w:t>拉力（N/50mm）</w:t>
            </w:r>
          </w:p>
        </w:tc>
        <w:tc>
          <w:tcPr>
            <w:tcW w:w="789" w:type="dxa"/>
            <w:vMerge w:val="restart"/>
            <w:vAlign w:val="center"/>
          </w:tcPr>
          <w:p w14:paraId="55B65256">
            <w:pPr>
              <w:jc w:val="center"/>
              <w:rPr>
                <w:rFonts w:ascii="宋体" w:hAnsi="宋体" w:cs="宋体"/>
                <w:sz w:val="18"/>
                <w:szCs w:val="21"/>
              </w:rPr>
            </w:pPr>
            <w:r>
              <w:rPr>
                <w:rFonts w:hint="eastAsia" w:ascii="宋体" w:hAnsi="宋体" w:cs="宋体"/>
                <w:sz w:val="18"/>
                <w:szCs w:val="21"/>
              </w:rPr>
              <w:t>延伸率</w:t>
            </w:r>
          </w:p>
          <w:p w14:paraId="1E59087E">
            <w:pPr>
              <w:jc w:val="center"/>
              <w:rPr>
                <w:rFonts w:ascii="宋体" w:hAnsi="宋体" w:cs="宋体"/>
                <w:sz w:val="18"/>
                <w:szCs w:val="21"/>
              </w:rPr>
            </w:pPr>
            <w:r>
              <w:rPr>
                <w:rFonts w:hint="eastAsia" w:ascii="宋体" w:hAnsi="宋体" w:cs="宋体"/>
                <w:sz w:val="18"/>
                <w:szCs w:val="21"/>
              </w:rPr>
              <w:t>（%）</w:t>
            </w:r>
          </w:p>
        </w:tc>
        <w:tc>
          <w:tcPr>
            <w:tcW w:w="757" w:type="dxa"/>
            <w:vMerge w:val="restart"/>
            <w:vAlign w:val="center"/>
          </w:tcPr>
          <w:p w14:paraId="15322ED1">
            <w:pPr>
              <w:jc w:val="center"/>
              <w:rPr>
                <w:rFonts w:ascii="宋体" w:hAnsi="宋体" w:cs="宋体"/>
                <w:sz w:val="18"/>
                <w:szCs w:val="21"/>
              </w:rPr>
            </w:pPr>
            <w:r>
              <w:rPr>
                <w:rFonts w:hint="eastAsia" w:ascii="宋体" w:hAnsi="宋体" w:cs="宋体"/>
                <w:sz w:val="18"/>
                <w:szCs w:val="21"/>
              </w:rPr>
              <w:t>耐热性</w:t>
            </w:r>
          </w:p>
          <w:p w14:paraId="11D9047F">
            <w:pPr>
              <w:jc w:val="center"/>
              <w:rPr>
                <w:rFonts w:ascii="宋体" w:hAnsi="宋体" w:cs="宋体"/>
                <w:sz w:val="18"/>
                <w:szCs w:val="21"/>
              </w:rPr>
            </w:pPr>
            <w:r>
              <w:rPr>
                <w:rFonts w:hint="eastAsia" w:ascii="宋体" w:hAnsi="宋体" w:cs="宋体"/>
                <w:sz w:val="18"/>
                <w:szCs w:val="21"/>
              </w:rPr>
              <w:t>（℃）</w:t>
            </w:r>
          </w:p>
        </w:tc>
        <w:tc>
          <w:tcPr>
            <w:tcW w:w="702" w:type="dxa"/>
            <w:vMerge w:val="restart"/>
            <w:vAlign w:val="center"/>
          </w:tcPr>
          <w:p w14:paraId="3735A12F">
            <w:pPr>
              <w:jc w:val="center"/>
              <w:rPr>
                <w:rFonts w:ascii="宋体" w:hAnsi="宋体" w:cs="宋体"/>
                <w:sz w:val="18"/>
                <w:szCs w:val="21"/>
              </w:rPr>
            </w:pPr>
            <w:r>
              <w:rPr>
                <w:rFonts w:hint="eastAsia" w:ascii="宋体" w:hAnsi="宋体" w:cs="宋体"/>
                <w:sz w:val="18"/>
                <w:szCs w:val="21"/>
              </w:rPr>
              <w:t>低温柔性</w:t>
            </w:r>
          </w:p>
          <w:p w14:paraId="4913B891">
            <w:pPr>
              <w:jc w:val="center"/>
              <w:rPr>
                <w:rFonts w:ascii="宋体" w:hAnsi="宋体" w:cs="宋体"/>
                <w:sz w:val="18"/>
                <w:szCs w:val="21"/>
              </w:rPr>
            </w:pPr>
            <w:r>
              <w:rPr>
                <w:rFonts w:hint="eastAsia" w:ascii="宋体" w:hAnsi="宋体" w:cs="宋体"/>
                <w:sz w:val="18"/>
                <w:szCs w:val="21"/>
              </w:rPr>
              <w:t>（℃）</w:t>
            </w:r>
          </w:p>
        </w:tc>
        <w:tc>
          <w:tcPr>
            <w:tcW w:w="908" w:type="dxa"/>
            <w:vMerge w:val="restart"/>
            <w:vAlign w:val="center"/>
          </w:tcPr>
          <w:p w14:paraId="090B015A">
            <w:pPr>
              <w:jc w:val="center"/>
              <w:rPr>
                <w:rFonts w:ascii="宋体" w:hAnsi="宋体" w:cs="宋体"/>
                <w:sz w:val="18"/>
                <w:szCs w:val="21"/>
              </w:rPr>
            </w:pPr>
            <w:r>
              <w:rPr>
                <w:rFonts w:hint="eastAsia" w:ascii="宋体" w:hAnsi="宋体" w:cs="宋体"/>
                <w:sz w:val="18"/>
                <w:szCs w:val="21"/>
              </w:rPr>
              <w:t>耐霉菌腐蚀性</w:t>
            </w:r>
          </w:p>
          <w:p w14:paraId="31DC2BDF">
            <w:pPr>
              <w:jc w:val="center"/>
              <w:rPr>
                <w:rFonts w:ascii="宋体" w:hAnsi="宋体" w:cs="宋体"/>
                <w:sz w:val="18"/>
                <w:szCs w:val="21"/>
              </w:rPr>
            </w:pPr>
            <w:r>
              <w:rPr>
                <w:rFonts w:hint="eastAsia" w:ascii="宋体" w:hAnsi="宋体" w:cs="宋体"/>
                <w:sz w:val="18"/>
                <w:szCs w:val="21"/>
              </w:rPr>
              <w:t>（防霉等级）</w:t>
            </w:r>
          </w:p>
        </w:tc>
        <w:tc>
          <w:tcPr>
            <w:tcW w:w="1945" w:type="dxa"/>
            <w:gridSpan w:val="2"/>
            <w:vAlign w:val="center"/>
          </w:tcPr>
          <w:p w14:paraId="6AEB6BA4">
            <w:pPr>
              <w:jc w:val="center"/>
              <w:rPr>
                <w:rFonts w:ascii="宋体" w:hAnsi="宋体" w:cs="宋体"/>
                <w:sz w:val="18"/>
                <w:szCs w:val="21"/>
              </w:rPr>
            </w:pPr>
            <w:r>
              <w:rPr>
                <w:rFonts w:hint="eastAsia" w:ascii="宋体" w:hAnsi="宋体" w:cs="宋体"/>
                <w:sz w:val="18"/>
                <w:szCs w:val="21"/>
              </w:rPr>
              <w:t>接缝剥离强度</w:t>
            </w:r>
          </w:p>
        </w:tc>
        <w:tc>
          <w:tcPr>
            <w:tcW w:w="919" w:type="dxa"/>
            <w:vMerge w:val="continue"/>
            <w:vAlign w:val="center"/>
          </w:tcPr>
          <w:p w14:paraId="42A35A0F">
            <w:pPr>
              <w:jc w:val="center"/>
              <w:rPr>
                <w:rFonts w:ascii="宋体" w:hAnsi="宋体" w:cs="宋体"/>
                <w:sz w:val="18"/>
                <w:szCs w:val="21"/>
              </w:rPr>
            </w:pPr>
          </w:p>
        </w:tc>
      </w:tr>
      <w:tr w14:paraId="1A89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621" w:type="dxa"/>
            <w:vMerge w:val="continue"/>
            <w:vAlign w:val="center"/>
          </w:tcPr>
          <w:p w14:paraId="28E2CE9B">
            <w:pPr>
              <w:jc w:val="center"/>
              <w:rPr>
                <w:rFonts w:ascii="宋体" w:hAnsi="宋体" w:cs="宋体"/>
                <w:sz w:val="18"/>
                <w:szCs w:val="21"/>
              </w:rPr>
            </w:pPr>
          </w:p>
        </w:tc>
        <w:tc>
          <w:tcPr>
            <w:tcW w:w="892" w:type="dxa"/>
            <w:vMerge w:val="continue"/>
            <w:vAlign w:val="center"/>
          </w:tcPr>
          <w:p w14:paraId="66E50FBF">
            <w:pPr>
              <w:jc w:val="center"/>
              <w:rPr>
                <w:rFonts w:ascii="宋体" w:hAnsi="宋体" w:cs="宋体"/>
                <w:sz w:val="18"/>
                <w:szCs w:val="21"/>
              </w:rPr>
            </w:pPr>
          </w:p>
        </w:tc>
        <w:tc>
          <w:tcPr>
            <w:tcW w:w="824" w:type="dxa"/>
            <w:vMerge w:val="continue"/>
            <w:vAlign w:val="center"/>
          </w:tcPr>
          <w:p w14:paraId="497FE072">
            <w:pPr>
              <w:jc w:val="center"/>
              <w:rPr>
                <w:rFonts w:ascii="宋体" w:hAnsi="宋体" w:cs="宋体"/>
                <w:sz w:val="18"/>
                <w:szCs w:val="21"/>
              </w:rPr>
            </w:pPr>
          </w:p>
        </w:tc>
        <w:tc>
          <w:tcPr>
            <w:tcW w:w="789" w:type="dxa"/>
            <w:vMerge w:val="continue"/>
            <w:vAlign w:val="center"/>
          </w:tcPr>
          <w:p w14:paraId="7195ADFF">
            <w:pPr>
              <w:jc w:val="center"/>
              <w:rPr>
                <w:rFonts w:ascii="宋体" w:hAnsi="宋体" w:cs="宋体"/>
                <w:sz w:val="18"/>
                <w:szCs w:val="21"/>
              </w:rPr>
            </w:pPr>
          </w:p>
        </w:tc>
        <w:tc>
          <w:tcPr>
            <w:tcW w:w="757" w:type="dxa"/>
            <w:vMerge w:val="continue"/>
            <w:vAlign w:val="center"/>
          </w:tcPr>
          <w:p w14:paraId="0C397878">
            <w:pPr>
              <w:jc w:val="center"/>
              <w:rPr>
                <w:rFonts w:ascii="宋体" w:hAnsi="宋体" w:cs="宋体"/>
                <w:sz w:val="18"/>
                <w:szCs w:val="21"/>
              </w:rPr>
            </w:pPr>
          </w:p>
        </w:tc>
        <w:tc>
          <w:tcPr>
            <w:tcW w:w="702" w:type="dxa"/>
            <w:vMerge w:val="continue"/>
            <w:vAlign w:val="center"/>
          </w:tcPr>
          <w:p w14:paraId="12FFD02E">
            <w:pPr>
              <w:jc w:val="center"/>
              <w:rPr>
                <w:rFonts w:ascii="宋体" w:hAnsi="宋体" w:cs="宋体"/>
                <w:sz w:val="18"/>
                <w:szCs w:val="21"/>
              </w:rPr>
            </w:pPr>
          </w:p>
        </w:tc>
        <w:tc>
          <w:tcPr>
            <w:tcW w:w="908" w:type="dxa"/>
            <w:vMerge w:val="continue"/>
            <w:vAlign w:val="center"/>
          </w:tcPr>
          <w:p w14:paraId="62143FB9">
            <w:pPr>
              <w:jc w:val="center"/>
              <w:rPr>
                <w:rFonts w:ascii="宋体" w:hAnsi="宋体" w:cs="宋体"/>
                <w:sz w:val="18"/>
                <w:szCs w:val="21"/>
              </w:rPr>
            </w:pPr>
          </w:p>
        </w:tc>
        <w:tc>
          <w:tcPr>
            <w:tcW w:w="941" w:type="dxa"/>
            <w:vAlign w:val="center"/>
          </w:tcPr>
          <w:p w14:paraId="09CC4AD7">
            <w:pPr>
              <w:jc w:val="center"/>
              <w:rPr>
                <w:rFonts w:ascii="宋体" w:hAnsi="宋体" w:cs="宋体"/>
                <w:sz w:val="18"/>
                <w:szCs w:val="21"/>
              </w:rPr>
            </w:pPr>
            <w:r>
              <w:rPr>
                <w:rFonts w:hint="eastAsia" w:ascii="宋体" w:hAnsi="宋体" w:cs="宋体"/>
                <w:sz w:val="18"/>
                <w:szCs w:val="21"/>
              </w:rPr>
              <w:t>无处理（N/mm）</w:t>
            </w:r>
          </w:p>
        </w:tc>
        <w:tc>
          <w:tcPr>
            <w:tcW w:w="1004" w:type="dxa"/>
            <w:vAlign w:val="center"/>
          </w:tcPr>
          <w:p w14:paraId="6E8F5D65">
            <w:pPr>
              <w:jc w:val="center"/>
              <w:rPr>
                <w:rFonts w:ascii="宋体" w:hAnsi="宋体" w:cs="宋体"/>
                <w:sz w:val="18"/>
                <w:szCs w:val="21"/>
              </w:rPr>
            </w:pPr>
            <w:r>
              <w:rPr>
                <w:rFonts w:hint="eastAsia" w:ascii="宋体" w:hAnsi="宋体" w:cs="宋体"/>
                <w:sz w:val="18"/>
                <w:szCs w:val="21"/>
              </w:rPr>
              <w:t>热老化处理后保持率（%）</w:t>
            </w:r>
          </w:p>
        </w:tc>
        <w:tc>
          <w:tcPr>
            <w:tcW w:w="919" w:type="dxa"/>
            <w:vMerge w:val="continue"/>
            <w:vAlign w:val="center"/>
          </w:tcPr>
          <w:p w14:paraId="1D11399A">
            <w:pPr>
              <w:jc w:val="center"/>
              <w:rPr>
                <w:rFonts w:ascii="宋体" w:hAnsi="宋体" w:cs="宋体"/>
                <w:sz w:val="18"/>
                <w:szCs w:val="21"/>
              </w:rPr>
            </w:pPr>
          </w:p>
        </w:tc>
      </w:tr>
      <w:tr w14:paraId="3B4C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21" w:type="dxa"/>
            <w:vAlign w:val="center"/>
          </w:tcPr>
          <w:p w14:paraId="46D6AF4A">
            <w:pPr>
              <w:rPr>
                <w:rFonts w:ascii="宋体" w:hAnsi="宋体" w:cs="宋体"/>
                <w:sz w:val="18"/>
                <w:szCs w:val="21"/>
              </w:rPr>
            </w:pPr>
            <w:r>
              <w:rPr>
                <w:rFonts w:hint="eastAsia" w:ascii="宋体" w:hAnsi="宋体" w:cs="宋体"/>
                <w:sz w:val="18"/>
                <w:szCs w:val="21"/>
              </w:rPr>
              <w:t>性能要求</w:t>
            </w:r>
          </w:p>
        </w:tc>
        <w:tc>
          <w:tcPr>
            <w:tcW w:w="892" w:type="dxa"/>
            <w:vAlign w:val="center"/>
          </w:tcPr>
          <w:p w14:paraId="605B1A40">
            <w:pPr>
              <w:jc w:val="center"/>
              <w:rPr>
                <w:rFonts w:ascii="宋体" w:hAnsi="宋体" w:cs="宋体"/>
                <w:sz w:val="18"/>
                <w:szCs w:val="21"/>
              </w:rPr>
            </w:pPr>
            <w:r>
              <w:rPr>
                <w:rFonts w:hint="eastAsia" w:ascii="宋体" w:hAnsi="宋体" w:cs="宋体"/>
                <w:sz w:val="18"/>
                <w:szCs w:val="21"/>
              </w:rPr>
              <w:t>≥2900</w:t>
            </w:r>
          </w:p>
        </w:tc>
        <w:tc>
          <w:tcPr>
            <w:tcW w:w="824" w:type="dxa"/>
            <w:vAlign w:val="center"/>
          </w:tcPr>
          <w:p w14:paraId="7D0F673A">
            <w:pPr>
              <w:jc w:val="center"/>
              <w:rPr>
                <w:rFonts w:ascii="宋体" w:hAnsi="宋体" w:cs="宋体"/>
                <w:sz w:val="18"/>
                <w:szCs w:val="21"/>
              </w:rPr>
            </w:pPr>
            <w:r>
              <w:rPr>
                <w:rFonts w:hint="eastAsia" w:ascii="宋体" w:hAnsi="宋体" w:cs="宋体"/>
                <w:sz w:val="18"/>
                <w:szCs w:val="21"/>
              </w:rPr>
              <w:t>≥1000</w:t>
            </w:r>
          </w:p>
        </w:tc>
        <w:tc>
          <w:tcPr>
            <w:tcW w:w="789" w:type="dxa"/>
            <w:vAlign w:val="center"/>
          </w:tcPr>
          <w:p w14:paraId="1216C0CB">
            <w:pPr>
              <w:jc w:val="center"/>
              <w:rPr>
                <w:rFonts w:ascii="宋体" w:hAnsi="宋体" w:cs="宋体"/>
                <w:sz w:val="18"/>
                <w:szCs w:val="21"/>
              </w:rPr>
            </w:pPr>
            <w:r>
              <w:rPr>
                <w:rFonts w:hint="eastAsia" w:ascii="宋体" w:hAnsi="宋体" w:cs="宋体"/>
                <w:sz w:val="18"/>
                <w:szCs w:val="21"/>
              </w:rPr>
              <w:t>≥40</w:t>
            </w:r>
          </w:p>
        </w:tc>
        <w:tc>
          <w:tcPr>
            <w:tcW w:w="757" w:type="dxa"/>
            <w:vAlign w:val="center"/>
          </w:tcPr>
          <w:p w14:paraId="2430CED1">
            <w:pPr>
              <w:jc w:val="center"/>
              <w:rPr>
                <w:rFonts w:ascii="宋体" w:hAnsi="宋体" w:cs="宋体"/>
                <w:sz w:val="18"/>
                <w:szCs w:val="21"/>
              </w:rPr>
            </w:pPr>
            <w:r>
              <w:rPr>
                <w:rFonts w:hint="eastAsia" w:ascii="宋体" w:hAnsi="宋体" w:cs="宋体"/>
                <w:sz w:val="18"/>
                <w:szCs w:val="21"/>
              </w:rPr>
              <w:t>105，无裂纹</w:t>
            </w:r>
          </w:p>
        </w:tc>
        <w:tc>
          <w:tcPr>
            <w:tcW w:w="702" w:type="dxa"/>
            <w:vAlign w:val="center"/>
          </w:tcPr>
          <w:p w14:paraId="396C4808">
            <w:pPr>
              <w:jc w:val="center"/>
              <w:rPr>
                <w:rFonts w:ascii="宋体" w:hAnsi="宋体" w:cs="宋体"/>
                <w:sz w:val="18"/>
                <w:szCs w:val="21"/>
              </w:rPr>
            </w:pPr>
            <w:r>
              <w:rPr>
                <w:rFonts w:hint="eastAsia" w:ascii="宋体" w:hAnsi="宋体" w:cs="宋体"/>
                <w:sz w:val="18"/>
                <w:szCs w:val="21"/>
              </w:rPr>
              <w:t>-25，无裂纹</w:t>
            </w:r>
          </w:p>
        </w:tc>
        <w:tc>
          <w:tcPr>
            <w:tcW w:w="908" w:type="dxa"/>
            <w:vAlign w:val="center"/>
          </w:tcPr>
          <w:p w14:paraId="0E94E396">
            <w:pPr>
              <w:jc w:val="center"/>
              <w:rPr>
                <w:rFonts w:ascii="宋体" w:hAnsi="宋体" w:cs="宋体"/>
                <w:sz w:val="18"/>
                <w:szCs w:val="21"/>
              </w:rPr>
            </w:pPr>
            <w:r>
              <w:rPr>
                <w:rFonts w:hint="eastAsia" w:ascii="宋体" w:hAnsi="宋体" w:cs="宋体"/>
                <w:sz w:val="18"/>
                <w:szCs w:val="21"/>
              </w:rPr>
              <w:t>0级或</w:t>
            </w:r>
          </w:p>
          <w:p w14:paraId="3008DCB2">
            <w:pPr>
              <w:jc w:val="center"/>
              <w:rPr>
                <w:rFonts w:ascii="宋体" w:hAnsi="宋体" w:cs="宋体"/>
                <w:sz w:val="18"/>
                <w:szCs w:val="21"/>
              </w:rPr>
            </w:pPr>
            <w:r>
              <w:rPr>
                <w:rFonts w:hint="eastAsia" w:ascii="宋体" w:hAnsi="宋体" w:cs="宋体"/>
                <w:sz w:val="18"/>
                <w:szCs w:val="21"/>
              </w:rPr>
              <w:t>Ⅰ级</w:t>
            </w:r>
          </w:p>
        </w:tc>
        <w:tc>
          <w:tcPr>
            <w:tcW w:w="941" w:type="dxa"/>
            <w:vAlign w:val="center"/>
          </w:tcPr>
          <w:p w14:paraId="17276E90">
            <w:pPr>
              <w:jc w:val="center"/>
              <w:rPr>
                <w:rFonts w:ascii="宋体" w:hAnsi="宋体" w:cs="宋体"/>
                <w:sz w:val="18"/>
                <w:szCs w:val="21"/>
              </w:rPr>
            </w:pPr>
            <w:r>
              <w:rPr>
                <w:rFonts w:hint="eastAsia" w:ascii="宋体" w:hAnsi="宋体" w:cs="宋体"/>
                <w:sz w:val="18"/>
                <w:szCs w:val="21"/>
              </w:rPr>
              <w:t>≥2.0</w:t>
            </w:r>
          </w:p>
        </w:tc>
        <w:tc>
          <w:tcPr>
            <w:tcW w:w="1004" w:type="dxa"/>
            <w:vAlign w:val="center"/>
          </w:tcPr>
          <w:p w14:paraId="655B177F">
            <w:pPr>
              <w:jc w:val="center"/>
              <w:rPr>
                <w:rFonts w:ascii="宋体" w:hAnsi="宋体" w:cs="宋体"/>
                <w:sz w:val="18"/>
                <w:szCs w:val="21"/>
              </w:rPr>
            </w:pPr>
            <w:r>
              <w:rPr>
                <w:rFonts w:hint="eastAsia" w:ascii="宋体" w:hAnsi="宋体" w:cs="宋体"/>
                <w:sz w:val="18"/>
                <w:szCs w:val="21"/>
              </w:rPr>
              <w:t>≥80或卷材破坏</w:t>
            </w:r>
          </w:p>
        </w:tc>
        <w:tc>
          <w:tcPr>
            <w:tcW w:w="919" w:type="dxa"/>
            <w:vAlign w:val="center"/>
          </w:tcPr>
          <w:p w14:paraId="7B79FAA9">
            <w:pPr>
              <w:jc w:val="center"/>
              <w:rPr>
                <w:rFonts w:ascii="宋体" w:hAnsi="宋体" w:cs="宋体"/>
                <w:sz w:val="18"/>
                <w:szCs w:val="21"/>
              </w:rPr>
            </w:pPr>
            <w:r>
              <w:rPr>
                <w:rFonts w:hint="eastAsia" w:ascii="宋体" w:hAnsi="宋体" w:cs="宋体"/>
                <w:sz w:val="18"/>
                <w:szCs w:val="21"/>
              </w:rPr>
              <w:t>通过</w:t>
            </w:r>
          </w:p>
        </w:tc>
      </w:tr>
    </w:tbl>
    <w:p w14:paraId="40B7764B">
      <w:pPr>
        <w:spacing w:line="480" w:lineRule="exact"/>
      </w:pPr>
      <w:r>
        <w:rPr>
          <w:rFonts w:hint="eastAsia" w:ascii="宋体" w:hAnsi="宋体" w:cs="宋体"/>
        </w:rPr>
        <w:t>4.2.4  热塑性聚烯烃（TPO）防水卷材的片材厚度不应小于1.2 mm，其主要物理性能应符合《种植屋面用耐根穿刺防水卷材》GB/T 35468及表4.</w:t>
      </w:r>
      <w:r>
        <w:rPr>
          <w:rFonts w:ascii="宋体" w:hAnsi="宋体" w:cs="宋体"/>
        </w:rPr>
        <w:t>2</w:t>
      </w:r>
      <w:r>
        <w:rPr>
          <w:rFonts w:hint="eastAsia" w:ascii="宋体" w:hAnsi="宋体" w:cs="宋体"/>
        </w:rPr>
        <w:t>.4的要求。</w:t>
      </w:r>
    </w:p>
    <w:p w14:paraId="4EA084B5">
      <w:pPr>
        <w:spacing w:line="480" w:lineRule="exact"/>
        <w:jc w:val="center"/>
        <w:rPr>
          <w:rFonts w:ascii="宋体" w:hAnsi="宋体" w:cs="宋体"/>
        </w:rPr>
      </w:pPr>
      <w:r>
        <w:rPr>
          <w:rFonts w:hint="eastAsia" w:ascii="宋体" w:hAnsi="宋体" w:cs="宋体"/>
        </w:rPr>
        <w:t>表4.2.4  热塑性聚烯烃（TPO）防水卷材主要性能</w:t>
      </w:r>
    </w:p>
    <w:tbl>
      <w:tblPr>
        <w:tblStyle w:val="16"/>
        <w:tblW w:w="8318"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805"/>
        <w:gridCol w:w="804"/>
        <w:gridCol w:w="670"/>
        <w:gridCol w:w="670"/>
        <w:gridCol w:w="797"/>
        <w:gridCol w:w="814"/>
        <w:gridCol w:w="1340"/>
        <w:gridCol w:w="940"/>
        <w:gridCol w:w="805"/>
      </w:tblGrid>
      <w:tr w14:paraId="2F73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vMerge w:val="restart"/>
            <w:vAlign w:val="center"/>
          </w:tcPr>
          <w:p w14:paraId="04D7D499">
            <w:pPr>
              <w:jc w:val="center"/>
              <w:rPr>
                <w:rFonts w:ascii="宋体" w:hAnsi="宋体" w:cs="宋体"/>
                <w:sz w:val="18"/>
                <w:szCs w:val="21"/>
              </w:rPr>
            </w:pPr>
            <w:r>
              <w:rPr>
                <w:rFonts w:hint="eastAsia" w:ascii="宋体" w:hAnsi="宋体" w:cs="宋体"/>
                <w:sz w:val="18"/>
                <w:szCs w:val="21"/>
              </w:rPr>
              <w:t>项目</w:t>
            </w:r>
          </w:p>
        </w:tc>
        <w:tc>
          <w:tcPr>
            <w:tcW w:w="3746" w:type="dxa"/>
            <w:gridSpan w:val="5"/>
            <w:vAlign w:val="center"/>
          </w:tcPr>
          <w:p w14:paraId="4819E9FC">
            <w:pPr>
              <w:jc w:val="center"/>
              <w:rPr>
                <w:rFonts w:ascii="宋体" w:hAnsi="宋体" w:cs="宋体"/>
                <w:sz w:val="18"/>
                <w:szCs w:val="21"/>
              </w:rPr>
            </w:pPr>
            <w:r>
              <w:rPr>
                <w:rFonts w:hint="eastAsia" w:ascii="宋体" w:hAnsi="宋体" w:cs="宋体"/>
                <w:sz w:val="18"/>
                <w:szCs w:val="21"/>
              </w:rPr>
              <w:t>基本性能</w:t>
            </w:r>
          </w:p>
        </w:tc>
        <w:tc>
          <w:tcPr>
            <w:tcW w:w="3094" w:type="dxa"/>
            <w:gridSpan w:val="3"/>
            <w:vAlign w:val="center"/>
          </w:tcPr>
          <w:p w14:paraId="6B5F5FEC">
            <w:pPr>
              <w:jc w:val="center"/>
              <w:rPr>
                <w:rFonts w:ascii="宋体" w:hAnsi="宋体" w:cs="宋体"/>
                <w:sz w:val="18"/>
                <w:szCs w:val="21"/>
              </w:rPr>
            </w:pPr>
            <w:r>
              <w:rPr>
                <w:rFonts w:hint="eastAsia" w:ascii="宋体" w:hAnsi="宋体" w:cs="宋体"/>
                <w:sz w:val="18"/>
                <w:szCs w:val="21"/>
              </w:rPr>
              <w:t>应用性能</w:t>
            </w:r>
          </w:p>
        </w:tc>
        <w:tc>
          <w:tcPr>
            <w:tcW w:w="805" w:type="dxa"/>
            <w:vMerge w:val="restart"/>
            <w:vAlign w:val="center"/>
          </w:tcPr>
          <w:p w14:paraId="18093B99">
            <w:pPr>
              <w:jc w:val="center"/>
              <w:rPr>
                <w:rFonts w:ascii="宋体" w:hAnsi="宋体" w:cs="宋体"/>
                <w:sz w:val="18"/>
                <w:szCs w:val="21"/>
              </w:rPr>
            </w:pPr>
            <w:r>
              <w:rPr>
                <w:rFonts w:hint="eastAsia" w:ascii="宋体" w:hAnsi="宋体" w:cs="宋体"/>
                <w:sz w:val="18"/>
                <w:szCs w:val="21"/>
              </w:rPr>
              <w:t>耐根穿刺性能测试</w:t>
            </w:r>
          </w:p>
        </w:tc>
      </w:tr>
      <w:tr w14:paraId="62CF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Merge w:val="continue"/>
            <w:vAlign w:val="center"/>
          </w:tcPr>
          <w:p w14:paraId="5DDD2D0A">
            <w:pPr>
              <w:jc w:val="center"/>
              <w:rPr>
                <w:rFonts w:ascii="宋体" w:hAnsi="宋体" w:cs="宋体"/>
                <w:sz w:val="18"/>
                <w:szCs w:val="21"/>
              </w:rPr>
            </w:pPr>
          </w:p>
        </w:tc>
        <w:tc>
          <w:tcPr>
            <w:tcW w:w="805" w:type="dxa"/>
            <w:vMerge w:val="restart"/>
            <w:vAlign w:val="center"/>
          </w:tcPr>
          <w:p w14:paraId="2F5A276C">
            <w:pPr>
              <w:jc w:val="center"/>
              <w:rPr>
                <w:rFonts w:ascii="宋体" w:hAnsi="宋体" w:cs="宋体"/>
                <w:sz w:val="18"/>
                <w:szCs w:val="21"/>
              </w:rPr>
            </w:pPr>
            <w:r>
              <w:rPr>
                <w:rFonts w:hint="eastAsia" w:ascii="宋体" w:hAnsi="宋体" w:cs="宋体"/>
                <w:sz w:val="18"/>
                <w:szCs w:val="21"/>
              </w:rPr>
              <w:t>拉伸强度</w:t>
            </w:r>
          </w:p>
        </w:tc>
        <w:tc>
          <w:tcPr>
            <w:tcW w:w="804" w:type="dxa"/>
            <w:vMerge w:val="restart"/>
            <w:vAlign w:val="center"/>
          </w:tcPr>
          <w:p w14:paraId="2C39FBB1">
            <w:pPr>
              <w:jc w:val="center"/>
              <w:rPr>
                <w:rFonts w:ascii="宋体" w:hAnsi="宋体" w:cs="宋体"/>
                <w:sz w:val="18"/>
                <w:szCs w:val="21"/>
              </w:rPr>
            </w:pPr>
            <w:r>
              <w:rPr>
                <w:rFonts w:hint="eastAsia" w:ascii="宋体" w:hAnsi="宋体" w:cs="宋体"/>
                <w:sz w:val="18"/>
                <w:szCs w:val="21"/>
              </w:rPr>
              <w:t>最大拉力（N/cm）</w:t>
            </w:r>
          </w:p>
        </w:tc>
        <w:tc>
          <w:tcPr>
            <w:tcW w:w="670" w:type="dxa"/>
            <w:vMerge w:val="restart"/>
            <w:vAlign w:val="center"/>
          </w:tcPr>
          <w:p w14:paraId="36C7C931">
            <w:pPr>
              <w:jc w:val="center"/>
              <w:rPr>
                <w:rFonts w:ascii="宋体" w:hAnsi="宋体" w:cs="宋体"/>
                <w:sz w:val="18"/>
                <w:szCs w:val="21"/>
              </w:rPr>
            </w:pPr>
            <w:r>
              <w:rPr>
                <w:rFonts w:hint="eastAsia" w:ascii="宋体" w:hAnsi="宋体" w:cs="宋体"/>
                <w:sz w:val="18"/>
                <w:szCs w:val="21"/>
              </w:rPr>
              <w:t>断裂伸长率</w:t>
            </w:r>
          </w:p>
          <w:p w14:paraId="5DAF98E8">
            <w:pPr>
              <w:jc w:val="center"/>
              <w:rPr>
                <w:rFonts w:ascii="宋体" w:hAnsi="宋体" w:cs="宋体"/>
                <w:sz w:val="18"/>
                <w:szCs w:val="21"/>
              </w:rPr>
            </w:pPr>
            <w:r>
              <w:rPr>
                <w:rFonts w:hint="eastAsia" w:ascii="宋体" w:hAnsi="宋体" w:cs="宋体"/>
                <w:sz w:val="18"/>
                <w:szCs w:val="21"/>
              </w:rPr>
              <w:t>（%）</w:t>
            </w:r>
          </w:p>
        </w:tc>
        <w:tc>
          <w:tcPr>
            <w:tcW w:w="670" w:type="dxa"/>
            <w:vMerge w:val="restart"/>
            <w:vAlign w:val="center"/>
          </w:tcPr>
          <w:p w14:paraId="1F426096">
            <w:pPr>
              <w:jc w:val="center"/>
              <w:rPr>
                <w:rFonts w:ascii="宋体" w:hAnsi="宋体" w:cs="宋体"/>
                <w:sz w:val="18"/>
                <w:szCs w:val="21"/>
              </w:rPr>
            </w:pPr>
            <w:r>
              <w:rPr>
                <w:rFonts w:hint="eastAsia" w:ascii="宋体" w:hAnsi="宋体" w:cs="宋体"/>
                <w:sz w:val="18"/>
                <w:szCs w:val="21"/>
              </w:rPr>
              <w:t>低温弯折性（℃）</w:t>
            </w:r>
          </w:p>
        </w:tc>
        <w:tc>
          <w:tcPr>
            <w:tcW w:w="797" w:type="dxa"/>
            <w:vMerge w:val="restart"/>
            <w:vAlign w:val="center"/>
          </w:tcPr>
          <w:p w14:paraId="2B554734">
            <w:pPr>
              <w:jc w:val="center"/>
              <w:rPr>
                <w:rFonts w:ascii="宋体" w:hAnsi="宋体" w:cs="宋体"/>
                <w:sz w:val="18"/>
                <w:szCs w:val="21"/>
              </w:rPr>
            </w:pPr>
            <w:r>
              <w:rPr>
                <w:rFonts w:hint="eastAsia" w:ascii="宋体" w:hAnsi="宋体" w:cs="宋体"/>
                <w:sz w:val="18"/>
                <w:szCs w:val="21"/>
              </w:rPr>
              <w:t>热处理尺寸变化率</w:t>
            </w:r>
          </w:p>
          <w:p w14:paraId="13F1F199">
            <w:pPr>
              <w:jc w:val="center"/>
              <w:rPr>
                <w:rFonts w:ascii="宋体" w:hAnsi="宋体" w:cs="宋体"/>
                <w:sz w:val="18"/>
                <w:szCs w:val="21"/>
              </w:rPr>
            </w:pPr>
            <w:r>
              <w:rPr>
                <w:rFonts w:hint="eastAsia" w:ascii="宋体" w:hAnsi="宋体" w:cs="宋体"/>
                <w:sz w:val="18"/>
                <w:szCs w:val="21"/>
              </w:rPr>
              <w:t>（%）</w:t>
            </w:r>
          </w:p>
        </w:tc>
        <w:tc>
          <w:tcPr>
            <w:tcW w:w="814" w:type="dxa"/>
            <w:vMerge w:val="restart"/>
            <w:vAlign w:val="center"/>
          </w:tcPr>
          <w:p w14:paraId="5C95A38E">
            <w:pPr>
              <w:jc w:val="center"/>
              <w:rPr>
                <w:rFonts w:ascii="宋体" w:hAnsi="宋体" w:cs="宋体"/>
                <w:sz w:val="18"/>
                <w:szCs w:val="21"/>
              </w:rPr>
            </w:pPr>
            <w:r>
              <w:rPr>
                <w:rFonts w:hint="eastAsia" w:ascii="宋体" w:hAnsi="宋体" w:cs="宋体"/>
                <w:sz w:val="18"/>
                <w:szCs w:val="21"/>
              </w:rPr>
              <w:t>耐霉菌腐蚀性</w:t>
            </w:r>
          </w:p>
          <w:p w14:paraId="2425369C">
            <w:pPr>
              <w:jc w:val="center"/>
              <w:rPr>
                <w:rFonts w:ascii="宋体" w:hAnsi="宋体" w:cs="宋体"/>
                <w:sz w:val="18"/>
                <w:szCs w:val="21"/>
              </w:rPr>
            </w:pPr>
            <w:r>
              <w:rPr>
                <w:rFonts w:hint="eastAsia" w:ascii="宋体" w:hAnsi="宋体" w:cs="宋体"/>
                <w:sz w:val="18"/>
                <w:szCs w:val="21"/>
              </w:rPr>
              <w:t>（防霉等级）</w:t>
            </w:r>
          </w:p>
        </w:tc>
        <w:tc>
          <w:tcPr>
            <w:tcW w:w="2280" w:type="dxa"/>
            <w:gridSpan w:val="2"/>
            <w:vAlign w:val="center"/>
          </w:tcPr>
          <w:p w14:paraId="42269080">
            <w:pPr>
              <w:jc w:val="center"/>
              <w:rPr>
                <w:rFonts w:ascii="宋体" w:hAnsi="宋体" w:cs="宋体"/>
                <w:sz w:val="18"/>
                <w:szCs w:val="21"/>
              </w:rPr>
            </w:pPr>
            <w:r>
              <w:rPr>
                <w:rFonts w:hint="eastAsia" w:ascii="宋体" w:hAnsi="宋体" w:cs="宋体"/>
                <w:sz w:val="18"/>
                <w:szCs w:val="21"/>
              </w:rPr>
              <w:t>接缝剥离强度</w:t>
            </w:r>
          </w:p>
        </w:tc>
        <w:tc>
          <w:tcPr>
            <w:tcW w:w="805" w:type="dxa"/>
            <w:vMerge w:val="continue"/>
            <w:vAlign w:val="center"/>
          </w:tcPr>
          <w:p w14:paraId="2AF8FB96">
            <w:pPr>
              <w:jc w:val="center"/>
              <w:rPr>
                <w:rFonts w:ascii="宋体" w:hAnsi="宋体" w:cs="宋体"/>
                <w:sz w:val="18"/>
                <w:szCs w:val="21"/>
              </w:rPr>
            </w:pPr>
          </w:p>
        </w:tc>
      </w:tr>
      <w:tr w14:paraId="549AC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673" w:type="dxa"/>
            <w:vMerge w:val="continue"/>
            <w:vAlign w:val="center"/>
          </w:tcPr>
          <w:p w14:paraId="40F6897E">
            <w:pPr>
              <w:jc w:val="center"/>
              <w:rPr>
                <w:rFonts w:ascii="宋体" w:hAnsi="宋体" w:cs="宋体"/>
                <w:sz w:val="18"/>
                <w:szCs w:val="21"/>
              </w:rPr>
            </w:pPr>
          </w:p>
        </w:tc>
        <w:tc>
          <w:tcPr>
            <w:tcW w:w="805" w:type="dxa"/>
            <w:vMerge w:val="continue"/>
            <w:vAlign w:val="center"/>
          </w:tcPr>
          <w:p w14:paraId="0369E10C">
            <w:pPr>
              <w:jc w:val="center"/>
              <w:rPr>
                <w:rFonts w:ascii="宋体" w:hAnsi="宋体" w:cs="宋体"/>
                <w:sz w:val="18"/>
                <w:szCs w:val="21"/>
              </w:rPr>
            </w:pPr>
          </w:p>
        </w:tc>
        <w:tc>
          <w:tcPr>
            <w:tcW w:w="804" w:type="dxa"/>
            <w:vMerge w:val="continue"/>
            <w:vAlign w:val="center"/>
          </w:tcPr>
          <w:p w14:paraId="3CD5D394">
            <w:pPr>
              <w:jc w:val="center"/>
              <w:rPr>
                <w:rFonts w:ascii="宋体" w:hAnsi="宋体" w:cs="宋体"/>
                <w:sz w:val="18"/>
                <w:szCs w:val="21"/>
              </w:rPr>
            </w:pPr>
          </w:p>
        </w:tc>
        <w:tc>
          <w:tcPr>
            <w:tcW w:w="670" w:type="dxa"/>
            <w:vMerge w:val="continue"/>
            <w:vAlign w:val="center"/>
          </w:tcPr>
          <w:p w14:paraId="73FD9EB9">
            <w:pPr>
              <w:jc w:val="center"/>
              <w:rPr>
                <w:rFonts w:ascii="宋体" w:hAnsi="宋体" w:cs="宋体"/>
                <w:sz w:val="18"/>
                <w:szCs w:val="21"/>
              </w:rPr>
            </w:pPr>
          </w:p>
        </w:tc>
        <w:tc>
          <w:tcPr>
            <w:tcW w:w="670" w:type="dxa"/>
            <w:vMerge w:val="continue"/>
            <w:vAlign w:val="center"/>
          </w:tcPr>
          <w:p w14:paraId="45583112">
            <w:pPr>
              <w:jc w:val="center"/>
              <w:rPr>
                <w:rFonts w:ascii="宋体" w:hAnsi="宋体" w:cs="宋体"/>
                <w:sz w:val="18"/>
                <w:szCs w:val="21"/>
              </w:rPr>
            </w:pPr>
          </w:p>
        </w:tc>
        <w:tc>
          <w:tcPr>
            <w:tcW w:w="797" w:type="dxa"/>
            <w:vMerge w:val="continue"/>
            <w:vAlign w:val="center"/>
          </w:tcPr>
          <w:p w14:paraId="07D5FB46">
            <w:pPr>
              <w:jc w:val="center"/>
              <w:rPr>
                <w:rFonts w:ascii="宋体" w:hAnsi="宋体" w:cs="宋体"/>
                <w:sz w:val="18"/>
                <w:szCs w:val="21"/>
              </w:rPr>
            </w:pPr>
          </w:p>
        </w:tc>
        <w:tc>
          <w:tcPr>
            <w:tcW w:w="814" w:type="dxa"/>
            <w:vMerge w:val="continue"/>
            <w:vAlign w:val="center"/>
          </w:tcPr>
          <w:p w14:paraId="5B11106D">
            <w:pPr>
              <w:jc w:val="center"/>
              <w:rPr>
                <w:rFonts w:ascii="宋体" w:hAnsi="宋体" w:cs="宋体"/>
                <w:sz w:val="18"/>
                <w:szCs w:val="21"/>
              </w:rPr>
            </w:pPr>
          </w:p>
        </w:tc>
        <w:tc>
          <w:tcPr>
            <w:tcW w:w="1340" w:type="dxa"/>
            <w:vAlign w:val="center"/>
          </w:tcPr>
          <w:p w14:paraId="00C5C8EB">
            <w:pPr>
              <w:jc w:val="center"/>
              <w:rPr>
                <w:rFonts w:ascii="宋体" w:hAnsi="宋体" w:cs="宋体"/>
                <w:sz w:val="18"/>
                <w:szCs w:val="21"/>
              </w:rPr>
            </w:pPr>
            <w:r>
              <w:rPr>
                <w:rFonts w:hint="eastAsia" w:ascii="宋体" w:hAnsi="宋体" w:cs="宋体"/>
                <w:sz w:val="18"/>
                <w:szCs w:val="21"/>
              </w:rPr>
              <w:t>无处理（N/mm）</w:t>
            </w:r>
          </w:p>
        </w:tc>
        <w:tc>
          <w:tcPr>
            <w:tcW w:w="940" w:type="dxa"/>
            <w:vMerge w:val="restart"/>
            <w:vAlign w:val="center"/>
          </w:tcPr>
          <w:p w14:paraId="49B6F1AE">
            <w:pPr>
              <w:jc w:val="center"/>
              <w:rPr>
                <w:rFonts w:ascii="宋体" w:hAnsi="宋体" w:cs="宋体"/>
                <w:sz w:val="18"/>
                <w:szCs w:val="21"/>
              </w:rPr>
            </w:pPr>
            <w:r>
              <w:rPr>
                <w:rFonts w:hint="eastAsia" w:ascii="宋体" w:hAnsi="宋体" w:cs="宋体"/>
                <w:sz w:val="18"/>
                <w:szCs w:val="21"/>
              </w:rPr>
              <w:t>热老化处理后保持率（%）</w:t>
            </w:r>
          </w:p>
        </w:tc>
        <w:tc>
          <w:tcPr>
            <w:tcW w:w="805" w:type="dxa"/>
            <w:vMerge w:val="continue"/>
            <w:vAlign w:val="center"/>
          </w:tcPr>
          <w:p w14:paraId="371AB401">
            <w:pPr>
              <w:jc w:val="center"/>
              <w:rPr>
                <w:rFonts w:ascii="宋体" w:hAnsi="宋体" w:cs="宋体"/>
                <w:sz w:val="18"/>
                <w:szCs w:val="21"/>
              </w:rPr>
            </w:pPr>
          </w:p>
        </w:tc>
      </w:tr>
      <w:tr w14:paraId="1CA7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673" w:type="dxa"/>
            <w:vMerge w:val="continue"/>
            <w:vAlign w:val="center"/>
          </w:tcPr>
          <w:p w14:paraId="5CD2C833">
            <w:pPr>
              <w:jc w:val="center"/>
            </w:pPr>
          </w:p>
        </w:tc>
        <w:tc>
          <w:tcPr>
            <w:tcW w:w="805" w:type="dxa"/>
            <w:vMerge w:val="continue"/>
            <w:vAlign w:val="center"/>
          </w:tcPr>
          <w:p w14:paraId="1A733AEC">
            <w:pPr>
              <w:jc w:val="center"/>
            </w:pPr>
          </w:p>
        </w:tc>
        <w:tc>
          <w:tcPr>
            <w:tcW w:w="804" w:type="dxa"/>
            <w:vMerge w:val="continue"/>
            <w:vAlign w:val="center"/>
          </w:tcPr>
          <w:p w14:paraId="610DCD56">
            <w:pPr>
              <w:jc w:val="center"/>
            </w:pPr>
          </w:p>
        </w:tc>
        <w:tc>
          <w:tcPr>
            <w:tcW w:w="670" w:type="dxa"/>
            <w:vMerge w:val="continue"/>
            <w:vAlign w:val="center"/>
          </w:tcPr>
          <w:p w14:paraId="55EE1C5E">
            <w:pPr>
              <w:jc w:val="center"/>
            </w:pPr>
          </w:p>
        </w:tc>
        <w:tc>
          <w:tcPr>
            <w:tcW w:w="670" w:type="dxa"/>
            <w:vMerge w:val="continue"/>
            <w:vAlign w:val="center"/>
          </w:tcPr>
          <w:p w14:paraId="1CE3EE33">
            <w:pPr>
              <w:jc w:val="center"/>
            </w:pPr>
          </w:p>
        </w:tc>
        <w:tc>
          <w:tcPr>
            <w:tcW w:w="797" w:type="dxa"/>
            <w:vMerge w:val="continue"/>
            <w:vAlign w:val="center"/>
          </w:tcPr>
          <w:p w14:paraId="61271865">
            <w:pPr>
              <w:jc w:val="center"/>
            </w:pPr>
          </w:p>
        </w:tc>
        <w:tc>
          <w:tcPr>
            <w:tcW w:w="814" w:type="dxa"/>
            <w:vMerge w:val="continue"/>
            <w:vAlign w:val="center"/>
          </w:tcPr>
          <w:p w14:paraId="6BC1A3F5">
            <w:pPr>
              <w:jc w:val="center"/>
            </w:pPr>
          </w:p>
        </w:tc>
        <w:tc>
          <w:tcPr>
            <w:tcW w:w="1340" w:type="dxa"/>
            <w:vAlign w:val="center"/>
          </w:tcPr>
          <w:p w14:paraId="1977ED31">
            <w:pPr>
              <w:jc w:val="center"/>
              <w:rPr>
                <w:rFonts w:ascii="宋体" w:hAnsi="宋体" w:cs="宋体"/>
                <w:sz w:val="18"/>
                <w:szCs w:val="21"/>
              </w:rPr>
            </w:pPr>
            <w:r>
              <w:rPr>
                <w:rFonts w:hint="eastAsia" w:ascii="宋体" w:hAnsi="宋体" w:cs="宋体"/>
                <w:sz w:val="18"/>
                <w:szCs w:val="21"/>
              </w:rPr>
              <w:t>焊接</w:t>
            </w:r>
          </w:p>
        </w:tc>
        <w:tc>
          <w:tcPr>
            <w:tcW w:w="940" w:type="dxa"/>
            <w:vMerge w:val="continue"/>
            <w:vAlign w:val="center"/>
          </w:tcPr>
          <w:p w14:paraId="591F4C8E">
            <w:pPr>
              <w:jc w:val="center"/>
              <w:rPr>
                <w:rFonts w:ascii="宋体" w:hAnsi="宋体" w:cs="宋体"/>
                <w:sz w:val="18"/>
                <w:szCs w:val="21"/>
              </w:rPr>
            </w:pPr>
          </w:p>
        </w:tc>
        <w:tc>
          <w:tcPr>
            <w:tcW w:w="805" w:type="dxa"/>
            <w:vMerge w:val="continue"/>
            <w:vAlign w:val="center"/>
          </w:tcPr>
          <w:p w14:paraId="0CC186AE">
            <w:pPr>
              <w:jc w:val="center"/>
              <w:rPr>
                <w:rFonts w:ascii="宋体" w:hAnsi="宋体" w:cs="宋体"/>
                <w:sz w:val="18"/>
                <w:szCs w:val="21"/>
              </w:rPr>
            </w:pPr>
          </w:p>
        </w:tc>
      </w:tr>
      <w:tr w14:paraId="785A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73" w:type="dxa"/>
            <w:vAlign w:val="center"/>
          </w:tcPr>
          <w:p w14:paraId="39B2373C">
            <w:pPr>
              <w:jc w:val="center"/>
              <w:rPr>
                <w:rFonts w:ascii="宋体" w:hAnsi="宋体" w:cs="宋体"/>
                <w:sz w:val="18"/>
                <w:szCs w:val="21"/>
              </w:rPr>
            </w:pPr>
            <w:r>
              <w:rPr>
                <w:rFonts w:hint="eastAsia" w:ascii="宋体" w:hAnsi="宋体" w:cs="宋体"/>
                <w:sz w:val="18"/>
                <w:szCs w:val="21"/>
              </w:rPr>
              <w:t>均质</w:t>
            </w:r>
          </w:p>
        </w:tc>
        <w:tc>
          <w:tcPr>
            <w:tcW w:w="805" w:type="dxa"/>
            <w:vAlign w:val="center"/>
          </w:tcPr>
          <w:p w14:paraId="7B978B79">
            <w:pPr>
              <w:jc w:val="center"/>
              <w:rPr>
                <w:rFonts w:ascii="宋体" w:hAnsi="宋体" w:cs="宋体"/>
                <w:sz w:val="18"/>
                <w:szCs w:val="21"/>
              </w:rPr>
            </w:pPr>
            <w:r>
              <w:rPr>
                <w:rFonts w:hint="eastAsia" w:ascii="宋体" w:hAnsi="宋体" w:cs="宋体"/>
                <w:sz w:val="18"/>
                <w:szCs w:val="21"/>
              </w:rPr>
              <w:t>≥12MPa</w:t>
            </w:r>
          </w:p>
        </w:tc>
        <w:tc>
          <w:tcPr>
            <w:tcW w:w="804" w:type="dxa"/>
            <w:vAlign w:val="center"/>
          </w:tcPr>
          <w:p w14:paraId="4CCD3D03">
            <w:pPr>
              <w:jc w:val="center"/>
              <w:rPr>
                <w:rFonts w:ascii="宋体" w:hAnsi="宋体" w:cs="宋体"/>
                <w:sz w:val="18"/>
                <w:szCs w:val="21"/>
              </w:rPr>
            </w:pPr>
            <w:r>
              <w:rPr>
                <w:rFonts w:hint="eastAsia" w:ascii="宋体" w:hAnsi="宋体" w:cs="宋体"/>
                <w:sz w:val="18"/>
                <w:szCs w:val="21"/>
              </w:rPr>
              <w:t>—</w:t>
            </w:r>
          </w:p>
        </w:tc>
        <w:tc>
          <w:tcPr>
            <w:tcW w:w="670" w:type="dxa"/>
            <w:vAlign w:val="center"/>
          </w:tcPr>
          <w:p w14:paraId="31514303">
            <w:pPr>
              <w:jc w:val="center"/>
              <w:rPr>
                <w:rFonts w:ascii="宋体" w:hAnsi="宋体" w:cs="宋体"/>
                <w:sz w:val="18"/>
                <w:szCs w:val="21"/>
              </w:rPr>
            </w:pPr>
            <w:r>
              <w:rPr>
                <w:rFonts w:hint="eastAsia" w:ascii="宋体" w:hAnsi="宋体" w:cs="宋体"/>
                <w:sz w:val="18"/>
                <w:szCs w:val="21"/>
              </w:rPr>
              <w:t>≥500</w:t>
            </w:r>
          </w:p>
        </w:tc>
        <w:tc>
          <w:tcPr>
            <w:tcW w:w="670" w:type="dxa"/>
            <w:vAlign w:val="center"/>
          </w:tcPr>
          <w:p w14:paraId="7CF0B692">
            <w:pPr>
              <w:jc w:val="center"/>
              <w:rPr>
                <w:rFonts w:ascii="宋体" w:hAnsi="宋体" w:cs="宋体"/>
                <w:sz w:val="18"/>
                <w:szCs w:val="21"/>
              </w:rPr>
            </w:pPr>
            <w:r>
              <w:rPr>
                <w:rFonts w:hint="eastAsia" w:ascii="宋体" w:hAnsi="宋体" w:cs="宋体"/>
                <w:sz w:val="18"/>
                <w:szCs w:val="21"/>
              </w:rPr>
              <w:t>-40</w:t>
            </w:r>
          </w:p>
        </w:tc>
        <w:tc>
          <w:tcPr>
            <w:tcW w:w="797" w:type="dxa"/>
            <w:vAlign w:val="center"/>
          </w:tcPr>
          <w:p w14:paraId="6E93E248">
            <w:pPr>
              <w:jc w:val="center"/>
              <w:rPr>
                <w:rFonts w:ascii="宋体" w:hAnsi="宋体" w:cs="宋体"/>
                <w:sz w:val="18"/>
                <w:szCs w:val="21"/>
              </w:rPr>
            </w:pPr>
            <w:r>
              <w:rPr>
                <w:rFonts w:hint="eastAsia" w:ascii="宋体" w:hAnsi="宋体" w:cs="宋体"/>
                <w:sz w:val="18"/>
                <w:szCs w:val="21"/>
              </w:rPr>
              <w:t>≤2.0</w:t>
            </w:r>
          </w:p>
        </w:tc>
        <w:tc>
          <w:tcPr>
            <w:tcW w:w="814" w:type="dxa"/>
            <w:vMerge w:val="restart"/>
            <w:vAlign w:val="center"/>
          </w:tcPr>
          <w:p w14:paraId="4EA579AC">
            <w:pPr>
              <w:jc w:val="center"/>
              <w:rPr>
                <w:rFonts w:ascii="宋体" w:hAnsi="宋体" w:cs="宋体"/>
                <w:sz w:val="18"/>
                <w:szCs w:val="21"/>
              </w:rPr>
            </w:pPr>
            <w:r>
              <w:rPr>
                <w:rFonts w:hint="eastAsia" w:ascii="宋体" w:hAnsi="宋体" w:cs="宋体"/>
                <w:sz w:val="18"/>
                <w:szCs w:val="21"/>
              </w:rPr>
              <w:t>0级或</w:t>
            </w:r>
          </w:p>
          <w:p w14:paraId="0A8DCA14">
            <w:pPr>
              <w:jc w:val="center"/>
              <w:rPr>
                <w:rFonts w:ascii="宋体" w:hAnsi="宋体" w:cs="宋体"/>
                <w:sz w:val="18"/>
                <w:szCs w:val="21"/>
              </w:rPr>
            </w:pPr>
            <w:r>
              <w:rPr>
                <w:rFonts w:hint="eastAsia" w:ascii="宋体" w:hAnsi="宋体" w:cs="宋体"/>
                <w:sz w:val="18"/>
                <w:szCs w:val="21"/>
              </w:rPr>
              <w:t>Ⅰ级</w:t>
            </w:r>
          </w:p>
        </w:tc>
        <w:tc>
          <w:tcPr>
            <w:tcW w:w="1340" w:type="dxa"/>
            <w:vMerge w:val="restart"/>
            <w:vAlign w:val="center"/>
          </w:tcPr>
          <w:p w14:paraId="3814F1E9">
            <w:pPr>
              <w:jc w:val="center"/>
              <w:rPr>
                <w:rFonts w:ascii="宋体" w:hAnsi="宋体" w:cs="宋体"/>
                <w:sz w:val="18"/>
                <w:szCs w:val="21"/>
              </w:rPr>
            </w:pPr>
            <w:r>
              <w:rPr>
                <w:rFonts w:hint="eastAsia" w:ascii="宋体" w:hAnsi="宋体" w:cs="宋体"/>
                <w:sz w:val="18"/>
                <w:szCs w:val="21"/>
              </w:rPr>
              <w:t>≥3.0或卷材破坏</w:t>
            </w:r>
          </w:p>
        </w:tc>
        <w:tc>
          <w:tcPr>
            <w:tcW w:w="940" w:type="dxa"/>
            <w:vMerge w:val="restart"/>
            <w:vAlign w:val="center"/>
          </w:tcPr>
          <w:p w14:paraId="5954952D">
            <w:pPr>
              <w:jc w:val="center"/>
              <w:rPr>
                <w:rFonts w:ascii="宋体" w:hAnsi="宋体" w:cs="宋体"/>
                <w:sz w:val="18"/>
                <w:szCs w:val="21"/>
              </w:rPr>
            </w:pPr>
            <w:r>
              <w:rPr>
                <w:rFonts w:hint="eastAsia" w:ascii="宋体" w:hAnsi="宋体" w:cs="宋体"/>
                <w:sz w:val="18"/>
                <w:szCs w:val="21"/>
              </w:rPr>
              <w:t>≥80或卷材破坏</w:t>
            </w:r>
          </w:p>
        </w:tc>
        <w:tc>
          <w:tcPr>
            <w:tcW w:w="805" w:type="dxa"/>
            <w:vMerge w:val="restart"/>
            <w:vAlign w:val="center"/>
          </w:tcPr>
          <w:p w14:paraId="6AC20763">
            <w:pPr>
              <w:jc w:val="center"/>
              <w:rPr>
                <w:rFonts w:ascii="宋体" w:hAnsi="宋体" w:cs="宋体"/>
                <w:sz w:val="18"/>
                <w:szCs w:val="21"/>
              </w:rPr>
            </w:pPr>
            <w:r>
              <w:rPr>
                <w:rFonts w:hint="eastAsia" w:ascii="宋体" w:hAnsi="宋体" w:cs="宋体"/>
                <w:sz w:val="18"/>
                <w:szCs w:val="21"/>
              </w:rPr>
              <w:t>通过</w:t>
            </w:r>
          </w:p>
        </w:tc>
      </w:tr>
      <w:tr w14:paraId="5B1C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73" w:type="dxa"/>
            <w:vAlign w:val="center"/>
          </w:tcPr>
          <w:p w14:paraId="7FA7668F">
            <w:pPr>
              <w:rPr>
                <w:rFonts w:ascii="宋体" w:hAnsi="宋体" w:cs="宋体"/>
                <w:sz w:val="18"/>
                <w:szCs w:val="21"/>
              </w:rPr>
            </w:pPr>
            <w:r>
              <w:rPr>
                <w:rFonts w:hint="eastAsia" w:ascii="宋体" w:hAnsi="宋体" w:cs="宋体"/>
                <w:sz w:val="18"/>
                <w:szCs w:val="21"/>
              </w:rPr>
              <w:t>织物内增强</w:t>
            </w:r>
          </w:p>
        </w:tc>
        <w:tc>
          <w:tcPr>
            <w:tcW w:w="805" w:type="dxa"/>
            <w:vAlign w:val="center"/>
          </w:tcPr>
          <w:p w14:paraId="71EAE038">
            <w:pPr>
              <w:jc w:val="center"/>
              <w:rPr>
                <w:rFonts w:ascii="宋体" w:hAnsi="宋体" w:cs="宋体"/>
                <w:sz w:val="18"/>
                <w:szCs w:val="21"/>
              </w:rPr>
            </w:pPr>
            <w:r>
              <w:rPr>
                <w:rFonts w:hint="eastAsia" w:ascii="宋体" w:hAnsi="宋体" w:cs="宋体"/>
                <w:sz w:val="18"/>
                <w:szCs w:val="21"/>
              </w:rPr>
              <w:t>≥250N/cm</w:t>
            </w:r>
          </w:p>
        </w:tc>
        <w:tc>
          <w:tcPr>
            <w:tcW w:w="804" w:type="dxa"/>
            <w:vAlign w:val="center"/>
          </w:tcPr>
          <w:p w14:paraId="335F8465">
            <w:pPr>
              <w:jc w:val="center"/>
              <w:rPr>
                <w:rFonts w:ascii="宋体" w:hAnsi="宋体" w:cs="宋体"/>
                <w:sz w:val="18"/>
                <w:szCs w:val="21"/>
              </w:rPr>
            </w:pPr>
            <w:r>
              <w:rPr>
                <w:rFonts w:hint="eastAsia" w:ascii="宋体" w:hAnsi="宋体" w:cs="宋体"/>
                <w:sz w:val="18"/>
                <w:szCs w:val="21"/>
              </w:rPr>
              <w:t>≥250</w:t>
            </w:r>
          </w:p>
        </w:tc>
        <w:tc>
          <w:tcPr>
            <w:tcW w:w="670" w:type="dxa"/>
            <w:vAlign w:val="center"/>
          </w:tcPr>
          <w:p w14:paraId="1DBCFE5D">
            <w:pPr>
              <w:jc w:val="center"/>
              <w:rPr>
                <w:rFonts w:ascii="宋体" w:hAnsi="宋体" w:cs="宋体"/>
                <w:sz w:val="18"/>
                <w:szCs w:val="21"/>
              </w:rPr>
            </w:pPr>
            <w:r>
              <w:rPr>
                <w:rFonts w:hint="eastAsia" w:ascii="宋体" w:hAnsi="宋体" w:cs="宋体"/>
                <w:sz w:val="18"/>
                <w:szCs w:val="21"/>
              </w:rPr>
              <w:t>≥15（最大拉力时）</w:t>
            </w:r>
          </w:p>
        </w:tc>
        <w:tc>
          <w:tcPr>
            <w:tcW w:w="670" w:type="dxa"/>
            <w:vAlign w:val="center"/>
          </w:tcPr>
          <w:p w14:paraId="2503D511">
            <w:pPr>
              <w:jc w:val="center"/>
              <w:rPr>
                <w:rFonts w:ascii="宋体" w:hAnsi="宋体" w:cs="宋体"/>
                <w:sz w:val="18"/>
                <w:szCs w:val="21"/>
              </w:rPr>
            </w:pPr>
            <w:r>
              <w:rPr>
                <w:rFonts w:hint="eastAsia" w:ascii="宋体" w:hAnsi="宋体" w:cs="宋体"/>
                <w:sz w:val="18"/>
                <w:szCs w:val="21"/>
              </w:rPr>
              <w:t>-40</w:t>
            </w:r>
          </w:p>
        </w:tc>
        <w:tc>
          <w:tcPr>
            <w:tcW w:w="797" w:type="dxa"/>
            <w:vAlign w:val="center"/>
          </w:tcPr>
          <w:p w14:paraId="4EC3F529">
            <w:pPr>
              <w:jc w:val="center"/>
              <w:rPr>
                <w:rFonts w:ascii="宋体" w:hAnsi="宋体" w:cs="宋体"/>
                <w:sz w:val="18"/>
                <w:szCs w:val="21"/>
              </w:rPr>
            </w:pPr>
            <w:r>
              <w:rPr>
                <w:rFonts w:hint="eastAsia" w:ascii="宋体" w:hAnsi="宋体" w:cs="宋体"/>
                <w:sz w:val="18"/>
                <w:szCs w:val="21"/>
              </w:rPr>
              <w:t>≤0.5</w:t>
            </w:r>
          </w:p>
        </w:tc>
        <w:tc>
          <w:tcPr>
            <w:tcW w:w="814" w:type="dxa"/>
            <w:vMerge w:val="continue"/>
            <w:vAlign w:val="center"/>
          </w:tcPr>
          <w:p w14:paraId="19CA728C">
            <w:pPr>
              <w:jc w:val="center"/>
              <w:rPr>
                <w:rFonts w:ascii="宋体" w:hAnsi="宋体" w:cs="宋体"/>
                <w:sz w:val="18"/>
                <w:szCs w:val="21"/>
              </w:rPr>
            </w:pPr>
          </w:p>
        </w:tc>
        <w:tc>
          <w:tcPr>
            <w:tcW w:w="1340" w:type="dxa"/>
            <w:vMerge w:val="continue"/>
            <w:vAlign w:val="center"/>
          </w:tcPr>
          <w:p w14:paraId="3AC05639">
            <w:pPr>
              <w:jc w:val="center"/>
              <w:rPr>
                <w:rFonts w:ascii="宋体" w:hAnsi="宋体" w:cs="宋体"/>
                <w:sz w:val="18"/>
                <w:szCs w:val="21"/>
              </w:rPr>
            </w:pPr>
          </w:p>
        </w:tc>
        <w:tc>
          <w:tcPr>
            <w:tcW w:w="940" w:type="dxa"/>
            <w:vMerge w:val="continue"/>
            <w:vAlign w:val="center"/>
          </w:tcPr>
          <w:p w14:paraId="7E669F29">
            <w:pPr>
              <w:jc w:val="center"/>
              <w:rPr>
                <w:rFonts w:ascii="宋体" w:hAnsi="宋体" w:cs="宋体"/>
                <w:sz w:val="18"/>
                <w:szCs w:val="21"/>
              </w:rPr>
            </w:pPr>
          </w:p>
        </w:tc>
        <w:tc>
          <w:tcPr>
            <w:tcW w:w="805" w:type="dxa"/>
            <w:vMerge w:val="continue"/>
            <w:vAlign w:val="center"/>
          </w:tcPr>
          <w:p w14:paraId="6460DD77">
            <w:pPr>
              <w:jc w:val="center"/>
              <w:rPr>
                <w:rFonts w:ascii="宋体" w:hAnsi="宋体" w:cs="宋体"/>
                <w:sz w:val="18"/>
                <w:szCs w:val="21"/>
              </w:rPr>
            </w:pPr>
          </w:p>
        </w:tc>
      </w:tr>
    </w:tbl>
    <w:p w14:paraId="27B4F9D0">
      <w:pPr>
        <w:spacing w:line="360" w:lineRule="auto"/>
        <w:rPr>
          <w:rFonts w:ascii="宋体" w:hAnsi="宋体" w:cs="宋体"/>
        </w:rPr>
      </w:pPr>
      <w:r>
        <w:rPr>
          <w:rFonts w:hint="eastAsia" w:ascii="宋体" w:hAnsi="宋体" w:cs="宋体"/>
        </w:rPr>
        <w:t>4.2.5  聚氯乙烯（PVC）防水卷材的片材厚度不应小于1.2 mm，其主要物理性能应符合《种植屋面用耐根穿刺防水卷材》GB/T 35468及表4.</w:t>
      </w:r>
      <w:r>
        <w:rPr>
          <w:rFonts w:ascii="宋体" w:hAnsi="宋体" w:cs="宋体"/>
        </w:rPr>
        <w:t>2</w:t>
      </w:r>
      <w:r>
        <w:rPr>
          <w:rFonts w:hint="eastAsia" w:ascii="宋体" w:hAnsi="宋体" w:cs="宋体"/>
        </w:rPr>
        <w:t>.5的要求。</w:t>
      </w:r>
    </w:p>
    <w:p w14:paraId="16046770">
      <w:pPr>
        <w:spacing w:line="480" w:lineRule="exact"/>
        <w:jc w:val="center"/>
      </w:pPr>
      <w:r>
        <w:rPr>
          <w:rFonts w:hint="eastAsia" w:ascii="宋体" w:hAnsi="宋体" w:cs="宋体"/>
        </w:rPr>
        <w:t>表4.2.5  聚氯乙烯（PVC）防水卷材主要性能</w:t>
      </w:r>
    </w:p>
    <w:tbl>
      <w:tblPr>
        <w:tblStyle w:val="16"/>
        <w:tblW w:w="8258"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720"/>
        <w:gridCol w:w="665"/>
        <w:gridCol w:w="799"/>
        <w:gridCol w:w="798"/>
        <w:gridCol w:w="801"/>
        <w:gridCol w:w="798"/>
        <w:gridCol w:w="1198"/>
        <w:gridCol w:w="933"/>
        <w:gridCol w:w="799"/>
      </w:tblGrid>
      <w:tr w14:paraId="18E9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47" w:type="dxa"/>
            <w:vMerge w:val="restart"/>
            <w:vAlign w:val="center"/>
          </w:tcPr>
          <w:p w14:paraId="48D2BF5F">
            <w:pPr>
              <w:jc w:val="center"/>
              <w:rPr>
                <w:rFonts w:ascii="宋体" w:hAnsi="宋体" w:cs="宋体"/>
                <w:sz w:val="18"/>
                <w:szCs w:val="21"/>
              </w:rPr>
            </w:pPr>
            <w:r>
              <w:rPr>
                <w:rFonts w:hint="eastAsia" w:ascii="宋体" w:hAnsi="宋体" w:cs="宋体"/>
                <w:sz w:val="18"/>
                <w:szCs w:val="21"/>
              </w:rPr>
              <w:t>项目</w:t>
            </w:r>
          </w:p>
        </w:tc>
        <w:tc>
          <w:tcPr>
            <w:tcW w:w="3783" w:type="dxa"/>
            <w:gridSpan w:val="5"/>
            <w:vAlign w:val="center"/>
          </w:tcPr>
          <w:p w14:paraId="141C3F15">
            <w:pPr>
              <w:jc w:val="center"/>
              <w:rPr>
                <w:rFonts w:ascii="宋体" w:hAnsi="宋体" w:cs="宋体"/>
                <w:sz w:val="18"/>
                <w:szCs w:val="21"/>
              </w:rPr>
            </w:pPr>
            <w:r>
              <w:rPr>
                <w:rFonts w:hint="eastAsia" w:ascii="宋体" w:hAnsi="宋体" w:cs="宋体"/>
                <w:sz w:val="18"/>
                <w:szCs w:val="21"/>
              </w:rPr>
              <w:t>基本性能</w:t>
            </w:r>
          </w:p>
        </w:tc>
        <w:tc>
          <w:tcPr>
            <w:tcW w:w="2929" w:type="dxa"/>
            <w:gridSpan w:val="3"/>
            <w:vAlign w:val="center"/>
          </w:tcPr>
          <w:p w14:paraId="4C969676">
            <w:pPr>
              <w:jc w:val="center"/>
              <w:rPr>
                <w:rFonts w:ascii="宋体" w:hAnsi="宋体" w:cs="宋体"/>
                <w:sz w:val="18"/>
                <w:szCs w:val="21"/>
              </w:rPr>
            </w:pPr>
            <w:r>
              <w:rPr>
                <w:rFonts w:hint="eastAsia" w:ascii="宋体" w:hAnsi="宋体" w:cs="宋体"/>
                <w:sz w:val="18"/>
                <w:szCs w:val="21"/>
              </w:rPr>
              <w:t>应用性能</w:t>
            </w:r>
          </w:p>
        </w:tc>
        <w:tc>
          <w:tcPr>
            <w:tcW w:w="799" w:type="dxa"/>
            <w:vMerge w:val="restart"/>
            <w:vAlign w:val="center"/>
          </w:tcPr>
          <w:p w14:paraId="711C1948">
            <w:pPr>
              <w:jc w:val="center"/>
              <w:rPr>
                <w:rFonts w:ascii="宋体" w:hAnsi="宋体" w:cs="宋体"/>
                <w:sz w:val="18"/>
                <w:szCs w:val="21"/>
              </w:rPr>
            </w:pPr>
            <w:r>
              <w:rPr>
                <w:rFonts w:hint="eastAsia" w:ascii="宋体" w:hAnsi="宋体" w:cs="宋体"/>
                <w:sz w:val="18"/>
                <w:szCs w:val="21"/>
              </w:rPr>
              <w:t>耐根穿刺性能测试</w:t>
            </w:r>
          </w:p>
        </w:tc>
      </w:tr>
      <w:tr w14:paraId="4267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47" w:type="dxa"/>
            <w:vMerge w:val="continue"/>
            <w:vAlign w:val="center"/>
          </w:tcPr>
          <w:p w14:paraId="0D6DDE99">
            <w:pPr>
              <w:jc w:val="center"/>
              <w:rPr>
                <w:rFonts w:ascii="宋体" w:hAnsi="宋体" w:cs="宋体"/>
                <w:sz w:val="18"/>
                <w:szCs w:val="21"/>
              </w:rPr>
            </w:pPr>
          </w:p>
        </w:tc>
        <w:tc>
          <w:tcPr>
            <w:tcW w:w="720" w:type="dxa"/>
            <w:vMerge w:val="restart"/>
            <w:vAlign w:val="center"/>
          </w:tcPr>
          <w:p w14:paraId="10B34E6D">
            <w:pPr>
              <w:jc w:val="center"/>
              <w:rPr>
                <w:rFonts w:ascii="宋体" w:hAnsi="宋体" w:cs="宋体"/>
                <w:sz w:val="18"/>
                <w:szCs w:val="21"/>
              </w:rPr>
            </w:pPr>
            <w:r>
              <w:rPr>
                <w:rFonts w:hint="eastAsia" w:ascii="宋体" w:hAnsi="宋体" w:cs="宋体"/>
                <w:sz w:val="18"/>
                <w:szCs w:val="21"/>
              </w:rPr>
              <w:t>拉伸</w:t>
            </w:r>
          </w:p>
          <w:p w14:paraId="0D1F0F7E">
            <w:pPr>
              <w:jc w:val="center"/>
              <w:rPr>
                <w:rFonts w:ascii="宋体" w:hAnsi="宋体" w:cs="宋体"/>
                <w:sz w:val="18"/>
                <w:szCs w:val="21"/>
              </w:rPr>
            </w:pPr>
            <w:r>
              <w:rPr>
                <w:rFonts w:hint="eastAsia" w:ascii="宋体" w:hAnsi="宋体" w:cs="宋体"/>
                <w:sz w:val="18"/>
                <w:szCs w:val="21"/>
              </w:rPr>
              <w:t>强度</w:t>
            </w:r>
          </w:p>
        </w:tc>
        <w:tc>
          <w:tcPr>
            <w:tcW w:w="665" w:type="dxa"/>
            <w:vMerge w:val="restart"/>
            <w:vAlign w:val="center"/>
          </w:tcPr>
          <w:p w14:paraId="3C148905">
            <w:pPr>
              <w:jc w:val="center"/>
              <w:rPr>
                <w:rFonts w:ascii="宋体" w:hAnsi="宋体" w:cs="宋体"/>
                <w:sz w:val="18"/>
                <w:szCs w:val="21"/>
              </w:rPr>
            </w:pPr>
            <w:r>
              <w:rPr>
                <w:rFonts w:hint="eastAsia" w:ascii="宋体" w:hAnsi="宋体" w:cs="宋体"/>
                <w:sz w:val="18"/>
                <w:szCs w:val="21"/>
              </w:rPr>
              <w:t>最大</w:t>
            </w:r>
          </w:p>
          <w:p w14:paraId="75E4086B">
            <w:pPr>
              <w:jc w:val="center"/>
              <w:rPr>
                <w:rFonts w:ascii="宋体" w:hAnsi="宋体" w:cs="宋体"/>
                <w:sz w:val="18"/>
                <w:szCs w:val="21"/>
              </w:rPr>
            </w:pPr>
            <w:r>
              <w:rPr>
                <w:rFonts w:hint="eastAsia" w:ascii="宋体" w:hAnsi="宋体" w:cs="宋体"/>
                <w:sz w:val="18"/>
                <w:szCs w:val="21"/>
              </w:rPr>
              <w:t>拉力</w:t>
            </w:r>
          </w:p>
          <w:p w14:paraId="73D30772">
            <w:pPr>
              <w:jc w:val="center"/>
              <w:rPr>
                <w:rFonts w:ascii="宋体" w:hAnsi="宋体" w:cs="宋体"/>
                <w:sz w:val="18"/>
                <w:szCs w:val="21"/>
              </w:rPr>
            </w:pPr>
            <w:r>
              <w:rPr>
                <w:rFonts w:hint="eastAsia" w:ascii="宋体" w:hAnsi="宋体" w:cs="宋体"/>
                <w:sz w:val="18"/>
                <w:szCs w:val="21"/>
              </w:rPr>
              <w:t>（N/cm）</w:t>
            </w:r>
          </w:p>
        </w:tc>
        <w:tc>
          <w:tcPr>
            <w:tcW w:w="799" w:type="dxa"/>
            <w:vMerge w:val="restart"/>
            <w:vAlign w:val="center"/>
          </w:tcPr>
          <w:p w14:paraId="63BD760E">
            <w:pPr>
              <w:jc w:val="center"/>
              <w:rPr>
                <w:rFonts w:ascii="宋体" w:hAnsi="宋体" w:cs="宋体"/>
                <w:sz w:val="18"/>
                <w:szCs w:val="21"/>
              </w:rPr>
            </w:pPr>
            <w:r>
              <w:rPr>
                <w:rFonts w:hint="eastAsia" w:ascii="宋体" w:hAnsi="宋体" w:cs="宋体"/>
                <w:sz w:val="18"/>
                <w:szCs w:val="21"/>
              </w:rPr>
              <w:t>断裂伸长率</w:t>
            </w:r>
          </w:p>
          <w:p w14:paraId="26D7F917">
            <w:pPr>
              <w:jc w:val="center"/>
              <w:rPr>
                <w:rFonts w:ascii="宋体" w:hAnsi="宋体" w:cs="宋体"/>
                <w:sz w:val="18"/>
                <w:szCs w:val="21"/>
              </w:rPr>
            </w:pPr>
            <w:r>
              <w:rPr>
                <w:rFonts w:hint="eastAsia" w:ascii="宋体" w:hAnsi="宋体" w:cs="宋体"/>
                <w:sz w:val="18"/>
                <w:szCs w:val="21"/>
              </w:rPr>
              <w:t>（%）</w:t>
            </w:r>
          </w:p>
        </w:tc>
        <w:tc>
          <w:tcPr>
            <w:tcW w:w="798" w:type="dxa"/>
            <w:vMerge w:val="restart"/>
            <w:vAlign w:val="center"/>
          </w:tcPr>
          <w:p w14:paraId="0B362E92">
            <w:pPr>
              <w:jc w:val="center"/>
              <w:rPr>
                <w:rFonts w:ascii="宋体" w:hAnsi="宋体" w:cs="宋体"/>
                <w:sz w:val="18"/>
                <w:szCs w:val="21"/>
              </w:rPr>
            </w:pPr>
            <w:r>
              <w:rPr>
                <w:rFonts w:hint="eastAsia" w:ascii="宋体" w:hAnsi="宋体" w:cs="宋体"/>
                <w:sz w:val="18"/>
                <w:szCs w:val="21"/>
              </w:rPr>
              <w:t>低温弯折性（℃）</w:t>
            </w:r>
          </w:p>
        </w:tc>
        <w:tc>
          <w:tcPr>
            <w:tcW w:w="801" w:type="dxa"/>
            <w:vMerge w:val="restart"/>
            <w:vAlign w:val="center"/>
          </w:tcPr>
          <w:p w14:paraId="0A71771C">
            <w:pPr>
              <w:jc w:val="center"/>
              <w:rPr>
                <w:rFonts w:ascii="宋体" w:hAnsi="宋体" w:cs="宋体"/>
                <w:sz w:val="18"/>
                <w:szCs w:val="21"/>
              </w:rPr>
            </w:pPr>
            <w:r>
              <w:rPr>
                <w:rFonts w:hint="eastAsia" w:ascii="宋体" w:hAnsi="宋体" w:cs="宋体"/>
                <w:sz w:val="18"/>
                <w:szCs w:val="21"/>
              </w:rPr>
              <w:t>热处理尺寸变化率</w:t>
            </w:r>
          </w:p>
          <w:p w14:paraId="3F69CCFA">
            <w:pPr>
              <w:jc w:val="center"/>
              <w:rPr>
                <w:rFonts w:ascii="宋体" w:hAnsi="宋体" w:cs="宋体"/>
                <w:sz w:val="18"/>
                <w:szCs w:val="21"/>
              </w:rPr>
            </w:pPr>
            <w:r>
              <w:rPr>
                <w:rFonts w:hint="eastAsia" w:ascii="宋体" w:hAnsi="宋体" w:cs="宋体"/>
                <w:sz w:val="18"/>
                <w:szCs w:val="21"/>
              </w:rPr>
              <w:t>（%）</w:t>
            </w:r>
          </w:p>
        </w:tc>
        <w:tc>
          <w:tcPr>
            <w:tcW w:w="798" w:type="dxa"/>
            <w:vMerge w:val="restart"/>
            <w:vAlign w:val="center"/>
          </w:tcPr>
          <w:p w14:paraId="2A2E1BF5">
            <w:pPr>
              <w:jc w:val="center"/>
              <w:rPr>
                <w:rFonts w:ascii="宋体" w:hAnsi="宋体" w:cs="宋体"/>
                <w:sz w:val="18"/>
                <w:szCs w:val="21"/>
              </w:rPr>
            </w:pPr>
            <w:r>
              <w:rPr>
                <w:rFonts w:hint="eastAsia" w:ascii="宋体" w:hAnsi="宋体" w:cs="宋体"/>
                <w:sz w:val="18"/>
                <w:szCs w:val="21"/>
              </w:rPr>
              <w:t>耐霉菌腐蚀性</w:t>
            </w:r>
          </w:p>
          <w:p w14:paraId="60AC251E">
            <w:pPr>
              <w:jc w:val="center"/>
              <w:rPr>
                <w:rFonts w:ascii="宋体" w:hAnsi="宋体" w:cs="宋体"/>
                <w:sz w:val="18"/>
                <w:szCs w:val="21"/>
              </w:rPr>
            </w:pPr>
            <w:r>
              <w:rPr>
                <w:rFonts w:hint="eastAsia" w:ascii="宋体" w:hAnsi="宋体" w:cs="宋体"/>
                <w:sz w:val="18"/>
                <w:szCs w:val="21"/>
              </w:rPr>
              <w:t>（防霉等级）</w:t>
            </w:r>
          </w:p>
        </w:tc>
        <w:tc>
          <w:tcPr>
            <w:tcW w:w="2131" w:type="dxa"/>
            <w:gridSpan w:val="2"/>
            <w:vAlign w:val="center"/>
          </w:tcPr>
          <w:p w14:paraId="3B278952">
            <w:pPr>
              <w:jc w:val="center"/>
              <w:rPr>
                <w:rFonts w:ascii="宋体" w:hAnsi="宋体" w:cs="宋体"/>
                <w:sz w:val="18"/>
                <w:szCs w:val="21"/>
              </w:rPr>
            </w:pPr>
            <w:r>
              <w:rPr>
                <w:rFonts w:hint="eastAsia" w:ascii="宋体" w:hAnsi="宋体" w:cs="宋体"/>
                <w:sz w:val="18"/>
                <w:szCs w:val="21"/>
              </w:rPr>
              <w:t>接缝剥离强度</w:t>
            </w:r>
          </w:p>
        </w:tc>
        <w:tc>
          <w:tcPr>
            <w:tcW w:w="799" w:type="dxa"/>
            <w:vMerge w:val="continue"/>
            <w:vAlign w:val="center"/>
          </w:tcPr>
          <w:p w14:paraId="75E52B25">
            <w:pPr>
              <w:jc w:val="center"/>
              <w:rPr>
                <w:rFonts w:ascii="宋体" w:hAnsi="宋体" w:cs="宋体"/>
                <w:sz w:val="18"/>
                <w:szCs w:val="21"/>
              </w:rPr>
            </w:pPr>
          </w:p>
        </w:tc>
      </w:tr>
      <w:tr w14:paraId="422B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47" w:type="dxa"/>
            <w:vMerge w:val="continue"/>
            <w:vAlign w:val="center"/>
          </w:tcPr>
          <w:p w14:paraId="28286916">
            <w:pPr>
              <w:jc w:val="center"/>
              <w:rPr>
                <w:rFonts w:ascii="宋体" w:hAnsi="宋体" w:cs="宋体"/>
                <w:sz w:val="18"/>
                <w:szCs w:val="21"/>
              </w:rPr>
            </w:pPr>
          </w:p>
        </w:tc>
        <w:tc>
          <w:tcPr>
            <w:tcW w:w="720" w:type="dxa"/>
            <w:vMerge w:val="continue"/>
            <w:vAlign w:val="center"/>
          </w:tcPr>
          <w:p w14:paraId="19304995">
            <w:pPr>
              <w:jc w:val="center"/>
              <w:rPr>
                <w:rFonts w:ascii="宋体" w:hAnsi="宋体" w:cs="宋体"/>
                <w:sz w:val="18"/>
                <w:szCs w:val="21"/>
              </w:rPr>
            </w:pPr>
          </w:p>
        </w:tc>
        <w:tc>
          <w:tcPr>
            <w:tcW w:w="665" w:type="dxa"/>
            <w:vMerge w:val="continue"/>
            <w:vAlign w:val="center"/>
          </w:tcPr>
          <w:p w14:paraId="3E2D90F5">
            <w:pPr>
              <w:jc w:val="center"/>
              <w:rPr>
                <w:rFonts w:ascii="宋体" w:hAnsi="宋体" w:cs="宋体"/>
                <w:sz w:val="18"/>
                <w:szCs w:val="21"/>
              </w:rPr>
            </w:pPr>
          </w:p>
        </w:tc>
        <w:tc>
          <w:tcPr>
            <w:tcW w:w="799" w:type="dxa"/>
            <w:vMerge w:val="continue"/>
            <w:vAlign w:val="center"/>
          </w:tcPr>
          <w:p w14:paraId="1CB408F0">
            <w:pPr>
              <w:jc w:val="center"/>
              <w:rPr>
                <w:rFonts w:ascii="宋体" w:hAnsi="宋体" w:cs="宋体"/>
                <w:sz w:val="18"/>
                <w:szCs w:val="21"/>
              </w:rPr>
            </w:pPr>
          </w:p>
        </w:tc>
        <w:tc>
          <w:tcPr>
            <w:tcW w:w="798" w:type="dxa"/>
            <w:vMerge w:val="continue"/>
            <w:vAlign w:val="center"/>
          </w:tcPr>
          <w:p w14:paraId="675C01A9">
            <w:pPr>
              <w:jc w:val="center"/>
              <w:rPr>
                <w:rFonts w:ascii="宋体" w:hAnsi="宋体" w:cs="宋体"/>
                <w:sz w:val="18"/>
                <w:szCs w:val="21"/>
              </w:rPr>
            </w:pPr>
          </w:p>
        </w:tc>
        <w:tc>
          <w:tcPr>
            <w:tcW w:w="801" w:type="dxa"/>
            <w:vMerge w:val="continue"/>
            <w:vAlign w:val="center"/>
          </w:tcPr>
          <w:p w14:paraId="142AF3D7">
            <w:pPr>
              <w:jc w:val="center"/>
              <w:rPr>
                <w:rFonts w:ascii="宋体" w:hAnsi="宋体" w:cs="宋体"/>
                <w:sz w:val="18"/>
                <w:szCs w:val="21"/>
              </w:rPr>
            </w:pPr>
          </w:p>
        </w:tc>
        <w:tc>
          <w:tcPr>
            <w:tcW w:w="798" w:type="dxa"/>
            <w:vMerge w:val="continue"/>
            <w:vAlign w:val="center"/>
          </w:tcPr>
          <w:p w14:paraId="1AAA28BB">
            <w:pPr>
              <w:jc w:val="center"/>
              <w:rPr>
                <w:rFonts w:ascii="宋体" w:hAnsi="宋体" w:cs="宋体"/>
                <w:sz w:val="18"/>
                <w:szCs w:val="21"/>
              </w:rPr>
            </w:pPr>
          </w:p>
        </w:tc>
        <w:tc>
          <w:tcPr>
            <w:tcW w:w="1198" w:type="dxa"/>
            <w:vAlign w:val="center"/>
          </w:tcPr>
          <w:p w14:paraId="4FCB221B">
            <w:pPr>
              <w:jc w:val="center"/>
              <w:rPr>
                <w:rFonts w:ascii="宋体" w:hAnsi="宋体" w:cs="宋体"/>
                <w:sz w:val="18"/>
                <w:szCs w:val="21"/>
              </w:rPr>
            </w:pPr>
            <w:r>
              <w:rPr>
                <w:rFonts w:hint="eastAsia" w:ascii="宋体" w:hAnsi="宋体" w:cs="宋体"/>
                <w:sz w:val="18"/>
                <w:szCs w:val="21"/>
              </w:rPr>
              <w:t>无处理（N/mm）</w:t>
            </w:r>
          </w:p>
        </w:tc>
        <w:tc>
          <w:tcPr>
            <w:tcW w:w="933" w:type="dxa"/>
            <w:vMerge w:val="restart"/>
            <w:vAlign w:val="center"/>
          </w:tcPr>
          <w:p w14:paraId="25DD8635">
            <w:pPr>
              <w:jc w:val="center"/>
              <w:rPr>
                <w:rFonts w:ascii="宋体" w:hAnsi="宋体" w:cs="宋体"/>
                <w:sz w:val="18"/>
                <w:szCs w:val="21"/>
              </w:rPr>
            </w:pPr>
            <w:r>
              <w:rPr>
                <w:rFonts w:hint="eastAsia" w:ascii="宋体" w:hAnsi="宋体" w:cs="宋体"/>
                <w:sz w:val="18"/>
                <w:szCs w:val="21"/>
              </w:rPr>
              <w:t>热老化处理后保持率（%）</w:t>
            </w:r>
          </w:p>
        </w:tc>
        <w:tc>
          <w:tcPr>
            <w:tcW w:w="799" w:type="dxa"/>
            <w:vMerge w:val="continue"/>
            <w:vAlign w:val="center"/>
          </w:tcPr>
          <w:p w14:paraId="24C8325B">
            <w:pPr>
              <w:jc w:val="center"/>
              <w:rPr>
                <w:rFonts w:ascii="宋体" w:hAnsi="宋体" w:cs="宋体"/>
                <w:sz w:val="18"/>
                <w:szCs w:val="21"/>
              </w:rPr>
            </w:pPr>
          </w:p>
        </w:tc>
      </w:tr>
      <w:tr w14:paraId="361B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747" w:type="dxa"/>
            <w:vMerge w:val="continue"/>
            <w:vAlign w:val="center"/>
          </w:tcPr>
          <w:p w14:paraId="5E254904">
            <w:pPr>
              <w:jc w:val="center"/>
            </w:pPr>
          </w:p>
        </w:tc>
        <w:tc>
          <w:tcPr>
            <w:tcW w:w="720" w:type="dxa"/>
            <w:vMerge w:val="continue"/>
            <w:vAlign w:val="center"/>
          </w:tcPr>
          <w:p w14:paraId="301C7F11">
            <w:pPr>
              <w:jc w:val="center"/>
            </w:pPr>
          </w:p>
        </w:tc>
        <w:tc>
          <w:tcPr>
            <w:tcW w:w="665" w:type="dxa"/>
            <w:vMerge w:val="continue"/>
            <w:vAlign w:val="center"/>
          </w:tcPr>
          <w:p w14:paraId="38A48AAF">
            <w:pPr>
              <w:jc w:val="center"/>
            </w:pPr>
          </w:p>
        </w:tc>
        <w:tc>
          <w:tcPr>
            <w:tcW w:w="799" w:type="dxa"/>
            <w:vMerge w:val="continue"/>
            <w:vAlign w:val="center"/>
          </w:tcPr>
          <w:p w14:paraId="17B8FF9C">
            <w:pPr>
              <w:jc w:val="center"/>
            </w:pPr>
          </w:p>
        </w:tc>
        <w:tc>
          <w:tcPr>
            <w:tcW w:w="798" w:type="dxa"/>
            <w:vMerge w:val="continue"/>
            <w:vAlign w:val="center"/>
          </w:tcPr>
          <w:p w14:paraId="2CBB9AB0">
            <w:pPr>
              <w:jc w:val="center"/>
            </w:pPr>
          </w:p>
        </w:tc>
        <w:tc>
          <w:tcPr>
            <w:tcW w:w="801" w:type="dxa"/>
            <w:vMerge w:val="continue"/>
            <w:vAlign w:val="center"/>
          </w:tcPr>
          <w:p w14:paraId="240AFE32">
            <w:pPr>
              <w:jc w:val="center"/>
            </w:pPr>
          </w:p>
        </w:tc>
        <w:tc>
          <w:tcPr>
            <w:tcW w:w="798" w:type="dxa"/>
            <w:vMerge w:val="continue"/>
            <w:vAlign w:val="center"/>
          </w:tcPr>
          <w:p w14:paraId="58FBDCA9">
            <w:pPr>
              <w:jc w:val="center"/>
            </w:pPr>
          </w:p>
        </w:tc>
        <w:tc>
          <w:tcPr>
            <w:tcW w:w="1198" w:type="dxa"/>
            <w:vAlign w:val="center"/>
          </w:tcPr>
          <w:p w14:paraId="691B6E83">
            <w:pPr>
              <w:jc w:val="center"/>
              <w:rPr>
                <w:rFonts w:ascii="宋体" w:hAnsi="宋体" w:cs="宋体"/>
                <w:sz w:val="18"/>
                <w:szCs w:val="21"/>
              </w:rPr>
            </w:pPr>
            <w:r>
              <w:rPr>
                <w:rFonts w:hint="eastAsia" w:ascii="宋体" w:hAnsi="宋体" w:cs="宋体"/>
                <w:sz w:val="18"/>
                <w:szCs w:val="21"/>
              </w:rPr>
              <w:t>焊接</w:t>
            </w:r>
          </w:p>
        </w:tc>
        <w:tc>
          <w:tcPr>
            <w:tcW w:w="933" w:type="dxa"/>
            <w:vMerge w:val="continue"/>
            <w:vAlign w:val="center"/>
          </w:tcPr>
          <w:p w14:paraId="3DF52F99">
            <w:pPr>
              <w:jc w:val="center"/>
              <w:rPr>
                <w:rFonts w:ascii="宋体" w:hAnsi="宋体" w:cs="宋体"/>
                <w:sz w:val="18"/>
                <w:szCs w:val="21"/>
              </w:rPr>
            </w:pPr>
          </w:p>
        </w:tc>
        <w:tc>
          <w:tcPr>
            <w:tcW w:w="799" w:type="dxa"/>
            <w:vMerge w:val="continue"/>
            <w:vAlign w:val="center"/>
          </w:tcPr>
          <w:p w14:paraId="2CC3F3EE">
            <w:pPr>
              <w:jc w:val="center"/>
              <w:rPr>
                <w:rFonts w:ascii="宋体" w:hAnsi="宋体" w:cs="宋体"/>
                <w:sz w:val="18"/>
                <w:szCs w:val="21"/>
              </w:rPr>
            </w:pPr>
          </w:p>
        </w:tc>
      </w:tr>
      <w:tr w14:paraId="096B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47" w:type="dxa"/>
            <w:vAlign w:val="center"/>
          </w:tcPr>
          <w:p w14:paraId="2FC443C7">
            <w:pPr>
              <w:jc w:val="center"/>
              <w:rPr>
                <w:rFonts w:ascii="宋体" w:hAnsi="宋体" w:cs="宋体"/>
                <w:sz w:val="18"/>
                <w:szCs w:val="21"/>
              </w:rPr>
            </w:pPr>
            <w:r>
              <w:rPr>
                <w:rFonts w:hint="eastAsia" w:ascii="宋体" w:hAnsi="宋体" w:cs="宋体"/>
                <w:sz w:val="18"/>
                <w:szCs w:val="21"/>
              </w:rPr>
              <w:t>均质</w:t>
            </w:r>
          </w:p>
        </w:tc>
        <w:tc>
          <w:tcPr>
            <w:tcW w:w="720" w:type="dxa"/>
            <w:vAlign w:val="center"/>
          </w:tcPr>
          <w:p w14:paraId="47EC9064">
            <w:pPr>
              <w:jc w:val="center"/>
              <w:rPr>
                <w:rFonts w:ascii="宋体" w:hAnsi="宋体" w:cs="宋体"/>
                <w:sz w:val="18"/>
                <w:szCs w:val="21"/>
              </w:rPr>
            </w:pPr>
            <w:r>
              <w:rPr>
                <w:rFonts w:hint="eastAsia" w:ascii="宋体" w:hAnsi="宋体" w:cs="宋体"/>
                <w:sz w:val="18"/>
                <w:szCs w:val="21"/>
              </w:rPr>
              <w:t>≥10MPa</w:t>
            </w:r>
          </w:p>
        </w:tc>
        <w:tc>
          <w:tcPr>
            <w:tcW w:w="665" w:type="dxa"/>
            <w:vAlign w:val="center"/>
          </w:tcPr>
          <w:p w14:paraId="542B89E5">
            <w:pPr>
              <w:jc w:val="center"/>
              <w:rPr>
                <w:rFonts w:ascii="宋体" w:hAnsi="宋体" w:cs="宋体"/>
                <w:sz w:val="18"/>
                <w:szCs w:val="21"/>
              </w:rPr>
            </w:pPr>
            <w:r>
              <w:rPr>
                <w:rFonts w:hint="eastAsia" w:ascii="宋体" w:hAnsi="宋体" w:cs="宋体"/>
                <w:sz w:val="18"/>
                <w:szCs w:val="21"/>
              </w:rPr>
              <w:t>—</w:t>
            </w:r>
          </w:p>
        </w:tc>
        <w:tc>
          <w:tcPr>
            <w:tcW w:w="799" w:type="dxa"/>
            <w:vAlign w:val="center"/>
          </w:tcPr>
          <w:p w14:paraId="230BC345">
            <w:pPr>
              <w:jc w:val="center"/>
              <w:rPr>
                <w:rFonts w:ascii="宋体" w:hAnsi="宋体" w:cs="宋体"/>
                <w:sz w:val="18"/>
                <w:szCs w:val="21"/>
              </w:rPr>
            </w:pPr>
            <w:r>
              <w:rPr>
                <w:rFonts w:hint="eastAsia" w:ascii="宋体" w:hAnsi="宋体" w:cs="宋体"/>
                <w:sz w:val="18"/>
                <w:szCs w:val="21"/>
              </w:rPr>
              <w:t>≥200</w:t>
            </w:r>
          </w:p>
        </w:tc>
        <w:tc>
          <w:tcPr>
            <w:tcW w:w="798" w:type="dxa"/>
            <w:vAlign w:val="center"/>
          </w:tcPr>
          <w:p w14:paraId="3753D050">
            <w:pPr>
              <w:jc w:val="center"/>
              <w:rPr>
                <w:rFonts w:ascii="宋体" w:hAnsi="宋体" w:cs="宋体"/>
                <w:sz w:val="18"/>
                <w:szCs w:val="21"/>
              </w:rPr>
            </w:pPr>
            <w:r>
              <w:rPr>
                <w:rFonts w:hint="eastAsia" w:ascii="宋体" w:hAnsi="宋体" w:cs="宋体"/>
                <w:sz w:val="18"/>
                <w:szCs w:val="21"/>
              </w:rPr>
              <w:t>-25</w:t>
            </w:r>
          </w:p>
        </w:tc>
        <w:tc>
          <w:tcPr>
            <w:tcW w:w="801" w:type="dxa"/>
            <w:vAlign w:val="center"/>
          </w:tcPr>
          <w:p w14:paraId="0C0BEDF3">
            <w:pPr>
              <w:jc w:val="center"/>
              <w:rPr>
                <w:rFonts w:ascii="宋体" w:hAnsi="宋体" w:cs="宋体"/>
                <w:sz w:val="18"/>
                <w:szCs w:val="21"/>
              </w:rPr>
            </w:pPr>
            <w:r>
              <w:rPr>
                <w:rFonts w:hint="eastAsia" w:ascii="宋体" w:hAnsi="宋体" w:cs="宋体"/>
                <w:sz w:val="18"/>
                <w:szCs w:val="21"/>
              </w:rPr>
              <w:t>≤2.0</w:t>
            </w:r>
          </w:p>
        </w:tc>
        <w:tc>
          <w:tcPr>
            <w:tcW w:w="798" w:type="dxa"/>
            <w:vMerge w:val="restart"/>
            <w:vAlign w:val="center"/>
          </w:tcPr>
          <w:p w14:paraId="73FAFE11">
            <w:pPr>
              <w:jc w:val="center"/>
              <w:rPr>
                <w:rFonts w:ascii="宋体" w:hAnsi="宋体" w:cs="宋体"/>
                <w:sz w:val="18"/>
                <w:szCs w:val="21"/>
              </w:rPr>
            </w:pPr>
            <w:r>
              <w:rPr>
                <w:rFonts w:hint="eastAsia" w:ascii="宋体" w:hAnsi="宋体" w:cs="宋体"/>
                <w:sz w:val="18"/>
                <w:szCs w:val="21"/>
              </w:rPr>
              <w:t>0级或</w:t>
            </w:r>
          </w:p>
          <w:p w14:paraId="7466CA96">
            <w:pPr>
              <w:jc w:val="center"/>
              <w:rPr>
                <w:rFonts w:ascii="宋体" w:hAnsi="宋体" w:cs="宋体"/>
                <w:sz w:val="18"/>
                <w:szCs w:val="21"/>
              </w:rPr>
            </w:pPr>
            <w:r>
              <w:rPr>
                <w:rFonts w:hint="eastAsia" w:ascii="宋体" w:hAnsi="宋体" w:cs="宋体"/>
                <w:sz w:val="18"/>
                <w:szCs w:val="21"/>
              </w:rPr>
              <w:t>Ⅰ级</w:t>
            </w:r>
          </w:p>
        </w:tc>
        <w:tc>
          <w:tcPr>
            <w:tcW w:w="1198" w:type="dxa"/>
            <w:vMerge w:val="restart"/>
            <w:vAlign w:val="center"/>
          </w:tcPr>
          <w:p w14:paraId="37DE6C24">
            <w:pPr>
              <w:jc w:val="center"/>
              <w:rPr>
                <w:rFonts w:ascii="宋体" w:hAnsi="宋体" w:cs="宋体"/>
                <w:sz w:val="18"/>
                <w:szCs w:val="21"/>
              </w:rPr>
            </w:pPr>
            <w:r>
              <w:rPr>
                <w:rFonts w:hint="eastAsia" w:ascii="宋体" w:hAnsi="宋体" w:cs="宋体"/>
                <w:sz w:val="18"/>
                <w:szCs w:val="21"/>
              </w:rPr>
              <w:t>≥3.0或卷材破坏</w:t>
            </w:r>
          </w:p>
        </w:tc>
        <w:tc>
          <w:tcPr>
            <w:tcW w:w="933" w:type="dxa"/>
            <w:vMerge w:val="restart"/>
            <w:vAlign w:val="center"/>
          </w:tcPr>
          <w:p w14:paraId="2D6A9E95">
            <w:pPr>
              <w:jc w:val="center"/>
              <w:rPr>
                <w:rFonts w:ascii="宋体" w:hAnsi="宋体" w:cs="宋体"/>
                <w:sz w:val="18"/>
                <w:szCs w:val="21"/>
              </w:rPr>
            </w:pPr>
            <w:r>
              <w:rPr>
                <w:rFonts w:hint="eastAsia" w:ascii="宋体" w:hAnsi="宋体" w:cs="宋体"/>
                <w:sz w:val="18"/>
                <w:szCs w:val="21"/>
              </w:rPr>
              <w:t>≥80或卷材破坏</w:t>
            </w:r>
          </w:p>
        </w:tc>
        <w:tc>
          <w:tcPr>
            <w:tcW w:w="799" w:type="dxa"/>
            <w:vMerge w:val="restart"/>
            <w:vAlign w:val="center"/>
          </w:tcPr>
          <w:p w14:paraId="2D58B6CA">
            <w:pPr>
              <w:jc w:val="center"/>
              <w:rPr>
                <w:rFonts w:ascii="宋体" w:hAnsi="宋体" w:cs="宋体"/>
                <w:sz w:val="18"/>
                <w:szCs w:val="21"/>
              </w:rPr>
            </w:pPr>
            <w:r>
              <w:rPr>
                <w:rFonts w:hint="eastAsia" w:ascii="宋体" w:hAnsi="宋体" w:cs="宋体"/>
                <w:sz w:val="18"/>
                <w:szCs w:val="21"/>
              </w:rPr>
              <w:t>通过</w:t>
            </w:r>
          </w:p>
        </w:tc>
      </w:tr>
      <w:tr w14:paraId="1E10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47" w:type="dxa"/>
            <w:vAlign w:val="center"/>
          </w:tcPr>
          <w:p w14:paraId="0E4F6516">
            <w:pPr>
              <w:jc w:val="center"/>
              <w:rPr>
                <w:rFonts w:ascii="宋体" w:hAnsi="宋体" w:cs="宋体"/>
                <w:sz w:val="18"/>
                <w:szCs w:val="21"/>
              </w:rPr>
            </w:pPr>
            <w:r>
              <w:rPr>
                <w:rFonts w:hint="eastAsia" w:ascii="宋体" w:hAnsi="宋体" w:cs="宋体"/>
                <w:sz w:val="18"/>
                <w:szCs w:val="21"/>
              </w:rPr>
              <w:t>玻纤内增强</w:t>
            </w:r>
          </w:p>
        </w:tc>
        <w:tc>
          <w:tcPr>
            <w:tcW w:w="720" w:type="dxa"/>
            <w:vAlign w:val="center"/>
          </w:tcPr>
          <w:p w14:paraId="68940985">
            <w:pPr>
              <w:jc w:val="center"/>
              <w:rPr>
                <w:rFonts w:ascii="宋体" w:hAnsi="宋体" w:cs="宋体"/>
                <w:sz w:val="18"/>
                <w:szCs w:val="21"/>
              </w:rPr>
            </w:pPr>
            <w:r>
              <w:rPr>
                <w:rFonts w:hint="eastAsia" w:ascii="宋体" w:hAnsi="宋体" w:cs="宋体"/>
                <w:sz w:val="18"/>
                <w:szCs w:val="21"/>
              </w:rPr>
              <w:t>≥10MPa</w:t>
            </w:r>
          </w:p>
        </w:tc>
        <w:tc>
          <w:tcPr>
            <w:tcW w:w="665" w:type="dxa"/>
            <w:vAlign w:val="center"/>
          </w:tcPr>
          <w:p w14:paraId="32B8522C">
            <w:pPr>
              <w:jc w:val="center"/>
              <w:rPr>
                <w:rFonts w:ascii="宋体" w:hAnsi="宋体" w:cs="宋体"/>
                <w:sz w:val="18"/>
                <w:szCs w:val="21"/>
              </w:rPr>
            </w:pPr>
            <w:r>
              <w:rPr>
                <w:rFonts w:hint="eastAsia" w:ascii="宋体" w:hAnsi="宋体" w:cs="宋体"/>
                <w:sz w:val="18"/>
                <w:szCs w:val="21"/>
              </w:rPr>
              <w:t>—</w:t>
            </w:r>
          </w:p>
        </w:tc>
        <w:tc>
          <w:tcPr>
            <w:tcW w:w="799" w:type="dxa"/>
            <w:vAlign w:val="center"/>
          </w:tcPr>
          <w:p w14:paraId="65943ACA">
            <w:pPr>
              <w:jc w:val="center"/>
              <w:rPr>
                <w:rFonts w:ascii="宋体" w:hAnsi="宋体" w:cs="宋体"/>
                <w:sz w:val="18"/>
                <w:szCs w:val="21"/>
              </w:rPr>
            </w:pPr>
            <w:r>
              <w:rPr>
                <w:rFonts w:hint="eastAsia" w:ascii="宋体" w:hAnsi="宋体" w:cs="宋体"/>
                <w:sz w:val="18"/>
                <w:szCs w:val="21"/>
              </w:rPr>
              <w:t>≥200</w:t>
            </w:r>
          </w:p>
        </w:tc>
        <w:tc>
          <w:tcPr>
            <w:tcW w:w="798" w:type="dxa"/>
            <w:vAlign w:val="center"/>
          </w:tcPr>
          <w:p w14:paraId="280D0F99">
            <w:pPr>
              <w:jc w:val="center"/>
              <w:rPr>
                <w:rFonts w:ascii="宋体" w:hAnsi="宋体" w:cs="宋体"/>
                <w:sz w:val="18"/>
                <w:szCs w:val="21"/>
              </w:rPr>
            </w:pPr>
            <w:r>
              <w:rPr>
                <w:rFonts w:hint="eastAsia" w:ascii="宋体" w:hAnsi="宋体" w:cs="宋体"/>
                <w:sz w:val="18"/>
                <w:szCs w:val="21"/>
              </w:rPr>
              <w:t>-25</w:t>
            </w:r>
          </w:p>
        </w:tc>
        <w:tc>
          <w:tcPr>
            <w:tcW w:w="801" w:type="dxa"/>
            <w:vAlign w:val="center"/>
          </w:tcPr>
          <w:p w14:paraId="172C3893">
            <w:pPr>
              <w:jc w:val="center"/>
              <w:rPr>
                <w:rFonts w:ascii="宋体" w:hAnsi="宋体" w:cs="宋体"/>
                <w:sz w:val="18"/>
                <w:szCs w:val="21"/>
              </w:rPr>
            </w:pPr>
            <w:r>
              <w:rPr>
                <w:rFonts w:hint="eastAsia" w:ascii="宋体" w:hAnsi="宋体" w:cs="宋体"/>
                <w:sz w:val="18"/>
                <w:szCs w:val="21"/>
              </w:rPr>
              <w:t>≤0.1</w:t>
            </w:r>
          </w:p>
        </w:tc>
        <w:tc>
          <w:tcPr>
            <w:tcW w:w="798" w:type="dxa"/>
            <w:vMerge w:val="continue"/>
            <w:vAlign w:val="center"/>
          </w:tcPr>
          <w:p w14:paraId="05A1C8AB">
            <w:pPr>
              <w:jc w:val="center"/>
              <w:rPr>
                <w:rFonts w:ascii="宋体" w:hAnsi="宋体" w:cs="宋体"/>
                <w:sz w:val="18"/>
                <w:szCs w:val="21"/>
              </w:rPr>
            </w:pPr>
          </w:p>
        </w:tc>
        <w:tc>
          <w:tcPr>
            <w:tcW w:w="1198" w:type="dxa"/>
            <w:vMerge w:val="continue"/>
            <w:vAlign w:val="center"/>
          </w:tcPr>
          <w:p w14:paraId="6E3137F8">
            <w:pPr>
              <w:jc w:val="center"/>
              <w:rPr>
                <w:rFonts w:ascii="宋体" w:hAnsi="宋体" w:cs="宋体"/>
                <w:sz w:val="18"/>
                <w:szCs w:val="21"/>
              </w:rPr>
            </w:pPr>
          </w:p>
        </w:tc>
        <w:tc>
          <w:tcPr>
            <w:tcW w:w="933" w:type="dxa"/>
            <w:vMerge w:val="continue"/>
            <w:vAlign w:val="center"/>
          </w:tcPr>
          <w:p w14:paraId="337D8E24">
            <w:pPr>
              <w:jc w:val="center"/>
              <w:rPr>
                <w:rFonts w:ascii="宋体" w:hAnsi="宋体" w:cs="宋体"/>
                <w:sz w:val="18"/>
                <w:szCs w:val="21"/>
              </w:rPr>
            </w:pPr>
          </w:p>
        </w:tc>
        <w:tc>
          <w:tcPr>
            <w:tcW w:w="799" w:type="dxa"/>
            <w:vMerge w:val="continue"/>
            <w:vAlign w:val="center"/>
          </w:tcPr>
          <w:p w14:paraId="750CF81C">
            <w:pPr>
              <w:jc w:val="center"/>
              <w:rPr>
                <w:rFonts w:ascii="宋体" w:hAnsi="宋体" w:cs="宋体"/>
                <w:sz w:val="18"/>
                <w:szCs w:val="21"/>
              </w:rPr>
            </w:pPr>
          </w:p>
        </w:tc>
      </w:tr>
      <w:tr w14:paraId="692D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747" w:type="dxa"/>
            <w:vAlign w:val="center"/>
          </w:tcPr>
          <w:p w14:paraId="71982FF1">
            <w:pPr>
              <w:jc w:val="center"/>
              <w:rPr>
                <w:rFonts w:ascii="宋体" w:hAnsi="宋体" w:cs="宋体"/>
                <w:sz w:val="18"/>
                <w:szCs w:val="21"/>
              </w:rPr>
            </w:pPr>
            <w:r>
              <w:rPr>
                <w:rFonts w:hint="eastAsia" w:ascii="宋体" w:hAnsi="宋体" w:cs="宋体"/>
                <w:sz w:val="18"/>
                <w:szCs w:val="21"/>
              </w:rPr>
              <w:t>织物内增强</w:t>
            </w:r>
          </w:p>
        </w:tc>
        <w:tc>
          <w:tcPr>
            <w:tcW w:w="720" w:type="dxa"/>
            <w:vAlign w:val="center"/>
          </w:tcPr>
          <w:p w14:paraId="7229E9D3">
            <w:pPr>
              <w:jc w:val="center"/>
              <w:rPr>
                <w:rFonts w:ascii="宋体" w:hAnsi="宋体" w:cs="宋体"/>
                <w:sz w:val="18"/>
                <w:szCs w:val="21"/>
              </w:rPr>
            </w:pPr>
            <w:r>
              <w:rPr>
                <w:rFonts w:hint="eastAsia" w:ascii="宋体" w:hAnsi="宋体" w:cs="宋体"/>
                <w:sz w:val="18"/>
                <w:szCs w:val="21"/>
              </w:rPr>
              <w:t>≥250N/cm</w:t>
            </w:r>
          </w:p>
        </w:tc>
        <w:tc>
          <w:tcPr>
            <w:tcW w:w="665" w:type="dxa"/>
            <w:vAlign w:val="center"/>
          </w:tcPr>
          <w:p w14:paraId="1360F5EF">
            <w:pPr>
              <w:jc w:val="center"/>
              <w:rPr>
                <w:rFonts w:ascii="宋体" w:hAnsi="宋体" w:cs="宋体"/>
                <w:sz w:val="18"/>
                <w:szCs w:val="21"/>
              </w:rPr>
            </w:pPr>
            <w:r>
              <w:rPr>
                <w:rFonts w:hint="eastAsia" w:ascii="宋体" w:hAnsi="宋体" w:cs="宋体"/>
                <w:sz w:val="18"/>
                <w:szCs w:val="21"/>
              </w:rPr>
              <w:t>≥250</w:t>
            </w:r>
          </w:p>
        </w:tc>
        <w:tc>
          <w:tcPr>
            <w:tcW w:w="799" w:type="dxa"/>
            <w:vAlign w:val="center"/>
          </w:tcPr>
          <w:p w14:paraId="15354EBA">
            <w:pPr>
              <w:jc w:val="center"/>
              <w:rPr>
                <w:rFonts w:ascii="宋体" w:hAnsi="宋体" w:cs="宋体"/>
                <w:sz w:val="18"/>
                <w:szCs w:val="21"/>
              </w:rPr>
            </w:pPr>
            <w:r>
              <w:rPr>
                <w:rFonts w:hint="eastAsia" w:ascii="宋体" w:hAnsi="宋体" w:cs="宋体"/>
                <w:sz w:val="18"/>
                <w:szCs w:val="21"/>
              </w:rPr>
              <w:t>≥15（最大拉力时）</w:t>
            </w:r>
          </w:p>
        </w:tc>
        <w:tc>
          <w:tcPr>
            <w:tcW w:w="798" w:type="dxa"/>
            <w:vAlign w:val="center"/>
          </w:tcPr>
          <w:p w14:paraId="0322EDAE">
            <w:pPr>
              <w:jc w:val="center"/>
              <w:rPr>
                <w:rFonts w:ascii="宋体" w:hAnsi="宋体" w:cs="宋体"/>
                <w:sz w:val="18"/>
                <w:szCs w:val="21"/>
              </w:rPr>
            </w:pPr>
            <w:r>
              <w:rPr>
                <w:rFonts w:hint="eastAsia" w:ascii="宋体" w:hAnsi="宋体" w:cs="宋体"/>
                <w:sz w:val="18"/>
                <w:szCs w:val="21"/>
              </w:rPr>
              <w:t>-25</w:t>
            </w:r>
          </w:p>
        </w:tc>
        <w:tc>
          <w:tcPr>
            <w:tcW w:w="801" w:type="dxa"/>
            <w:vAlign w:val="center"/>
          </w:tcPr>
          <w:p w14:paraId="4D7C62DB">
            <w:pPr>
              <w:jc w:val="center"/>
              <w:rPr>
                <w:rFonts w:ascii="宋体" w:hAnsi="宋体" w:cs="宋体"/>
                <w:sz w:val="18"/>
                <w:szCs w:val="21"/>
              </w:rPr>
            </w:pPr>
            <w:r>
              <w:rPr>
                <w:rFonts w:hint="eastAsia" w:ascii="宋体" w:hAnsi="宋体" w:cs="宋体"/>
                <w:sz w:val="18"/>
                <w:szCs w:val="21"/>
              </w:rPr>
              <w:t>≤0.5</w:t>
            </w:r>
          </w:p>
        </w:tc>
        <w:tc>
          <w:tcPr>
            <w:tcW w:w="798" w:type="dxa"/>
            <w:vMerge w:val="continue"/>
            <w:vAlign w:val="center"/>
          </w:tcPr>
          <w:p w14:paraId="316E3D18">
            <w:pPr>
              <w:jc w:val="center"/>
              <w:rPr>
                <w:rFonts w:ascii="宋体" w:hAnsi="宋体" w:cs="宋体"/>
                <w:sz w:val="18"/>
                <w:szCs w:val="21"/>
              </w:rPr>
            </w:pPr>
          </w:p>
        </w:tc>
        <w:tc>
          <w:tcPr>
            <w:tcW w:w="1198" w:type="dxa"/>
            <w:vMerge w:val="continue"/>
            <w:vAlign w:val="center"/>
          </w:tcPr>
          <w:p w14:paraId="324781A9">
            <w:pPr>
              <w:jc w:val="center"/>
              <w:rPr>
                <w:rFonts w:ascii="宋体" w:hAnsi="宋体" w:cs="宋体"/>
                <w:sz w:val="18"/>
                <w:szCs w:val="21"/>
              </w:rPr>
            </w:pPr>
          </w:p>
        </w:tc>
        <w:tc>
          <w:tcPr>
            <w:tcW w:w="933" w:type="dxa"/>
            <w:vMerge w:val="continue"/>
            <w:vAlign w:val="center"/>
          </w:tcPr>
          <w:p w14:paraId="43C6EB53">
            <w:pPr>
              <w:jc w:val="center"/>
              <w:rPr>
                <w:rFonts w:ascii="宋体" w:hAnsi="宋体" w:cs="宋体"/>
                <w:sz w:val="18"/>
                <w:szCs w:val="21"/>
              </w:rPr>
            </w:pPr>
          </w:p>
        </w:tc>
        <w:tc>
          <w:tcPr>
            <w:tcW w:w="799" w:type="dxa"/>
            <w:vMerge w:val="continue"/>
            <w:vAlign w:val="center"/>
          </w:tcPr>
          <w:p w14:paraId="2822E07F">
            <w:pPr>
              <w:jc w:val="center"/>
              <w:rPr>
                <w:rFonts w:ascii="宋体" w:hAnsi="宋体" w:cs="宋体"/>
                <w:sz w:val="18"/>
                <w:szCs w:val="21"/>
              </w:rPr>
            </w:pPr>
          </w:p>
        </w:tc>
      </w:tr>
    </w:tbl>
    <w:p w14:paraId="03FBE1F5">
      <w:pPr>
        <w:spacing w:line="480" w:lineRule="exact"/>
      </w:pPr>
      <w:r>
        <w:rPr>
          <w:rFonts w:hint="eastAsia" w:ascii="宋体" w:hAnsi="宋体" w:cs="宋体"/>
        </w:rPr>
        <w:t>4.2.6  聚乙烯丙纶防水卷材和聚合物水泥胶结料复合耐根穿刺防水材料，其中聚乙烯丙纶防水卷材厚度不应小于0.8 mm，芯材厚度不应小于0.6mm，聚合物水泥胶结料的厚度不应小于1.3mm，其主要物理性能应符合表4.</w:t>
      </w:r>
      <w:r>
        <w:rPr>
          <w:rFonts w:ascii="宋体" w:hAnsi="宋体" w:cs="宋体"/>
        </w:rPr>
        <w:t>2</w:t>
      </w:r>
      <w:r>
        <w:rPr>
          <w:rFonts w:hint="eastAsia" w:ascii="宋体" w:hAnsi="宋体" w:cs="宋体"/>
        </w:rPr>
        <w:t>.6的要求。</w:t>
      </w:r>
    </w:p>
    <w:p w14:paraId="40A93061">
      <w:pPr>
        <w:spacing w:line="480" w:lineRule="exact"/>
        <w:jc w:val="center"/>
      </w:pPr>
      <w:r>
        <w:rPr>
          <w:rFonts w:hint="eastAsia" w:ascii="宋体" w:hAnsi="宋体" w:cs="宋体"/>
        </w:rPr>
        <w:t>表4.2.</w:t>
      </w:r>
      <w:r>
        <w:rPr>
          <w:rFonts w:ascii="宋体" w:hAnsi="宋体" w:cs="宋体"/>
        </w:rPr>
        <w:t>6</w:t>
      </w:r>
      <w:r>
        <w:rPr>
          <w:rFonts w:hint="eastAsia" w:ascii="宋体" w:hAnsi="宋体" w:cs="宋体"/>
        </w:rPr>
        <w:t>-</w:t>
      </w:r>
      <w:r>
        <w:rPr>
          <w:rFonts w:ascii="宋体" w:hAnsi="宋体" w:cs="宋体"/>
        </w:rPr>
        <w:t>1</w:t>
      </w:r>
      <w:r>
        <w:rPr>
          <w:rFonts w:hint="eastAsia" w:ascii="宋体" w:hAnsi="宋体" w:cs="宋体"/>
        </w:rPr>
        <w:t xml:space="preserve"> 聚乙烯丙纶防水卷材主要性能</w:t>
      </w:r>
    </w:p>
    <w:tbl>
      <w:tblPr>
        <w:tblStyle w:val="16"/>
        <w:tblW w:w="8238"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817"/>
        <w:gridCol w:w="716"/>
        <w:gridCol w:w="930"/>
        <w:gridCol w:w="931"/>
        <w:gridCol w:w="1328"/>
        <w:gridCol w:w="930"/>
        <w:gridCol w:w="1195"/>
        <w:gridCol w:w="797"/>
      </w:tblGrid>
      <w:tr w14:paraId="5BD0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94" w:type="dxa"/>
            <w:vMerge w:val="restart"/>
            <w:vAlign w:val="center"/>
          </w:tcPr>
          <w:p w14:paraId="19A22A2B">
            <w:pPr>
              <w:jc w:val="center"/>
              <w:rPr>
                <w:rFonts w:ascii="宋体" w:hAnsi="宋体" w:cs="宋体"/>
                <w:sz w:val="18"/>
                <w:szCs w:val="21"/>
              </w:rPr>
            </w:pPr>
            <w:r>
              <w:rPr>
                <w:rFonts w:hint="eastAsia" w:ascii="宋体" w:hAnsi="宋体" w:cs="宋体"/>
                <w:sz w:val="18"/>
                <w:szCs w:val="21"/>
              </w:rPr>
              <w:t>项目</w:t>
            </w:r>
          </w:p>
        </w:tc>
        <w:tc>
          <w:tcPr>
            <w:tcW w:w="3394" w:type="dxa"/>
            <w:gridSpan w:val="4"/>
            <w:vAlign w:val="center"/>
          </w:tcPr>
          <w:p w14:paraId="5397C4E1">
            <w:pPr>
              <w:jc w:val="center"/>
              <w:rPr>
                <w:rFonts w:ascii="宋体" w:hAnsi="宋体" w:cs="宋体"/>
                <w:sz w:val="18"/>
                <w:szCs w:val="21"/>
              </w:rPr>
            </w:pPr>
            <w:r>
              <w:rPr>
                <w:rFonts w:hint="eastAsia" w:ascii="宋体" w:hAnsi="宋体" w:cs="宋体"/>
                <w:sz w:val="18"/>
                <w:szCs w:val="21"/>
              </w:rPr>
              <w:t>基本性能</w:t>
            </w:r>
          </w:p>
        </w:tc>
        <w:tc>
          <w:tcPr>
            <w:tcW w:w="3453" w:type="dxa"/>
            <w:gridSpan w:val="3"/>
            <w:vAlign w:val="center"/>
          </w:tcPr>
          <w:p w14:paraId="2F2C1F07">
            <w:pPr>
              <w:jc w:val="center"/>
              <w:rPr>
                <w:rFonts w:ascii="宋体" w:hAnsi="宋体" w:cs="宋体"/>
                <w:sz w:val="18"/>
                <w:szCs w:val="21"/>
              </w:rPr>
            </w:pPr>
            <w:r>
              <w:rPr>
                <w:rFonts w:hint="eastAsia" w:ascii="宋体" w:hAnsi="宋体" w:cs="宋体"/>
                <w:sz w:val="18"/>
                <w:szCs w:val="21"/>
              </w:rPr>
              <w:t>应用性能</w:t>
            </w:r>
          </w:p>
        </w:tc>
        <w:tc>
          <w:tcPr>
            <w:tcW w:w="797" w:type="dxa"/>
            <w:vMerge w:val="restart"/>
            <w:vAlign w:val="center"/>
          </w:tcPr>
          <w:p w14:paraId="3731D04B">
            <w:pPr>
              <w:jc w:val="center"/>
              <w:rPr>
                <w:rFonts w:ascii="宋体" w:hAnsi="宋体" w:cs="宋体"/>
                <w:sz w:val="18"/>
                <w:szCs w:val="21"/>
              </w:rPr>
            </w:pPr>
            <w:r>
              <w:rPr>
                <w:rFonts w:hint="eastAsia" w:ascii="宋体" w:hAnsi="宋体" w:cs="宋体"/>
                <w:sz w:val="18"/>
                <w:szCs w:val="21"/>
              </w:rPr>
              <w:t>耐根穿刺性能测试</w:t>
            </w:r>
          </w:p>
        </w:tc>
      </w:tr>
      <w:tr w14:paraId="7068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94" w:type="dxa"/>
            <w:vMerge w:val="continue"/>
            <w:vAlign w:val="center"/>
          </w:tcPr>
          <w:p w14:paraId="60094F7B">
            <w:pPr>
              <w:jc w:val="center"/>
              <w:rPr>
                <w:rFonts w:ascii="宋体" w:hAnsi="宋体" w:cs="宋体"/>
                <w:sz w:val="18"/>
                <w:szCs w:val="21"/>
              </w:rPr>
            </w:pPr>
          </w:p>
        </w:tc>
        <w:tc>
          <w:tcPr>
            <w:tcW w:w="817" w:type="dxa"/>
            <w:vMerge w:val="restart"/>
            <w:vAlign w:val="center"/>
          </w:tcPr>
          <w:p w14:paraId="04DBA91A">
            <w:pPr>
              <w:jc w:val="center"/>
              <w:rPr>
                <w:rFonts w:ascii="宋体" w:hAnsi="宋体" w:cs="宋体"/>
                <w:sz w:val="18"/>
                <w:szCs w:val="21"/>
              </w:rPr>
            </w:pPr>
            <w:r>
              <w:rPr>
                <w:rFonts w:hint="eastAsia" w:ascii="宋体" w:hAnsi="宋体" w:cs="宋体"/>
                <w:sz w:val="18"/>
                <w:szCs w:val="21"/>
              </w:rPr>
              <w:t>拉力（N/cm）</w:t>
            </w:r>
          </w:p>
        </w:tc>
        <w:tc>
          <w:tcPr>
            <w:tcW w:w="716" w:type="dxa"/>
            <w:vMerge w:val="restart"/>
            <w:vAlign w:val="center"/>
          </w:tcPr>
          <w:p w14:paraId="5B57A84F">
            <w:pPr>
              <w:jc w:val="center"/>
              <w:rPr>
                <w:rFonts w:ascii="宋体" w:hAnsi="宋体" w:cs="宋体"/>
                <w:sz w:val="18"/>
                <w:szCs w:val="21"/>
              </w:rPr>
            </w:pPr>
            <w:r>
              <w:rPr>
                <w:rFonts w:hint="eastAsia" w:ascii="宋体" w:hAnsi="宋体" w:cs="宋体"/>
                <w:sz w:val="18"/>
                <w:szCs w:val="21"/>
              </w:rPr>
              <w:t>断裂延伸率</w:t>
            </w:r>
          </w:p>
          <w:p w14:paraId="5DB70CF9">
            <w:pPr>
              <w:jc w:val="center"/>
              <w:rPr>
                <w:rFonts w:ascii="宋体" w:hAnsi="宋体" w:cs="宋体"/>
                <w:sz w:val="18"/>
                <w:szCs w:val="21"/>
              </w:rPr>
            </w:pPr>
            <w:r>
              <w:rPr>
                <w:rFonts w:hint="eastAsia" w:ascii="宋体" w:hAnsi="宋体" w:cs="宋体"/>
                <w:sz w:val="18"/>
                <w:szCs w:val="21"/>
              </w:rPr>
              <w:t>（%）</w:t>
            </w:r>
          </w:p>
        </w:tc>
        <w:tc>
          <w:tcPr>
            <w:tcW w:w="930" w:type="dxa"/>
            <w:vMerge w:val="restart"/>
            <w:vAlign w:val="center"/>
          </w:tcPr>
          <w:p w14:paraId="16FA5553">
            <w:pPr>
              <w:jc w:val="center"/>
              <w:rPr>
                <w:rFonts w:ascii="宋体" w:hAnsi="宋体" w:cs="宋体"/>
                <w:sz w:val="18"/>
                <w:szCs w:val="21"/>
              </w:rPr>
            </w:pPr>
            <w:r>
              <w:rPr>
                <w:rFonts w:hint="eastAsia" w:ascii="宋体" w:hAnsi="宋体" w:cs="宋体"/>
                <w:sz w:val="18"/>
                <w:szCs w:val="21"/>
              </w:rPr>
              <w:t>低温弯折性</w:t>
            </w:r>
          </w:p>
          <w:p w14:paraId="2DB76679">
            <w:pPr>
              <w:jc w:val="center"/>
              <w:rPr>
                <w:rFonts w:ascii="宋体" w:hAnsi="宋体" w:cs="宋体"/>
                <w:sz w:val="18"/>
                <w:szCs w:val="21"/>
              </w:rPr>
            </w:pPr>
            <w:r>
              <w:rPr>
                <w:rFonts w:hint="eastAsia" w:ascii="宋体" w:hAnsi="宋体" w:cs="宋体"/>
                <w:sz w:val="18"/>
                <w:szCs w:val="21"/>
              </w:rPr>
              <w:t>（℃）</w:t>
            </w:r>
          </w:p>
        </w:tc>
        <w:tc>
          <w:tcPr>
            <w:tcW w:w="931" w:type="dxa"/>
            <w:vMerge w:val="restart"/>
            <w:vAlign w:val="center"/>
          </w:tcPr>
          <w:p w14:paraId="72A04E26">
            <w:pPr>
              <w:jc w:val="center"/>
              <w:rPr>
                <w:rFonts w:ascii="宋体" w:hAnsi="宋体" w:cs="宋体"/>
                <w:sz w:val="18"/>
                <w:szCs w:val="21"/>
              </w:rPr>
            </w:pPr>
            <w:r>
              <w:rPr>
                <w:rFonts w:hint="eastAsia" w:ascii="宋体" w:hAnsi="宋体" w:cs="宋体"/>
                <w:sz w:val="18"/>
                <w:szCs w:val="21"/>
              </w:rPr>
              <w:t>加热伸缩量（mm）</w:t>
            </w:r>
          </w:p>
        </w:tc>
        <w:tc>
          <w:tcPr>
            <w:tcW w:w="1328" w:type="dxa"/>
            <w:vMerge w:val="restart"/>
            <w:vAlign w:val="center"/>
          </w:tcPr>
          <w:p w14:paraId="2EFE929B">
            <w:pPr>
              <w:jc w:val="center"/>
              <w:rPr>
                <w:rFonts w:ascii="宋体" w:hAnsi="宋体" w:cs="宋体"/>
                <w:sz w:val="18"/>
                <w:szCs w:val="21"/>
              </w:rPr>
            </w:pPr>
            <w:r>
              <w:rPr>
                <w:rFonts w:hint="eastAsia" w:ascii="宋体" w:hAnsi="宋体" w:cs="宋体"/>
                <w:sz w:val="18"/>
                <w:szCs w:val="21"/>
              </w:rPr>
              <w:t>耐霉菌腐蚀性</w:t>
            </w:r>
          </w:p>
          <w:p w14:paraId="2AEC42B3">
            <w:pPr>
              <w:jc w:val="center"/>
              <w:rPr>
                <w:rFonts w:ascii="宋体" w:hAnsi="宋体" w:cs="宋体"/>
                <w:sz w:val="18"/>
                <w:szCs w:val="21"/>
              </w:rPr>
            </w:pPr>
            <w:r>
              <w:rPr>
                <w:rFonts w:hint="eastAsia" w:ascii="宋体" w:hAnsi="宋体" w:cs="宋体"/>
                <w:sz w:val="18"/>
                <w:szCs w:val="21"/>
              </w:rPr>
              <w:t>（防霉等级）</w:t>
            </w:r>
          </w:p>
        </w:tc>
        <w:tc>
          <w:tcPr>
            <w:tcW w:w="2125" w:type="dxa"/>
            <w:gridSpan w:val="2"/>
            <w:vAlign w:val="center"/>
          </w:tcPr>
          <w:p w14:paraId="3417ACA9">
            <w:pPr>
              <w:jc w:val="center"/>
              <w:rPr>
                <w:rFonts w:ascii="宋体" w:hAnsi="宋体" w:cs="宋体"/>
                <w:sz w:val="18"/>
                <w:szCs w:val="21"/>
              </w:rPr>
            </w:pPr>
            <w:r>
              <w:rPr>
                <w:rFonts w:hint="eastAsia" w:ascii="宋体" w:hAnsi="宋体" w:cs="宋体"/>
                <w:sz w:val="18"/>
                <w:szCs w:val="21"/>
              </w:rPr>
              <w:t>接缝剥离强度</w:t>
            </w:r>
          </w:p>
        </w:tc>
        <w:tc>
          <w:tcPr>
            <w:tcW w:w="797" w:type="dxa"/>
            <w:vMerge w:val="continue"/>
            <w:vAlign w:val="center"/>
          </w:tcPr>
          <w:p w14:paraId="24E0E714">
            <w:pPr>
              <w:jc w:val="center"/>
              <w:rPr>
                <w:rFonts w:ascii="宋体" w:hAnsi="宋体" w:cs="宋体"/>
                <w:sz w:val="18"/>
                <w:szCs w:val="21"/>
              </w:rPr>
            </w:pPr>
          </w:p>
        </w:tc>
      </w:tr>
      <w:tr w14:paraId="5702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594" w:type="dxa"/>
            <w:vMerge w:val="continue"/>
            <w:vAlign w:val="center"/>
          </w:tcPr>
          <w:p w14:paraId="5D2E9FCC">
            <w:pPr>
              <w:jc w:val="center"/>
              <w:rPr>
                <w:rFonts w:ascii="宋体" w:hAnsi="宋体" w:cs="宋体"/>
                <w:sz w:val="18"/>
                <w:szCs w:val="21"/>
              </w:rPr>
            </w:pPr>
          </w:p>
        </w:tc>
        <w:tc>
          <w:tcPr>
            <w:tcW w:w="817" w:type="dxa"/>
            <w:vMerge w:val="continue"/>
            <w:vAlign w:val="center"/>
          </w:tcPr>
          <w:p w14:paraId="356D4AC5">
            <w:pPr>
              <w:jc w:val="center"/>
              <w:rPr>
                <w:rFonts w:ascii="宋体" w:hAnsi="宋体" w:cs="宋体"/>
                <w:sz w:val="18"/>
                <w:szCs w:val="21"/>
              </w:rPr>
            </w:pPr>
          </w:p>
        </w:tc>
        <w:tc>
          <w:tcPr>
            <w:tcW w:w="716" w:type="dxa"/>
            <w:vMerge w:val="continue"/>
            <w:vAlign w:val="center"/>
          </w:tcPr>
          <w:p w14:paraId="6CCC543B">
            <w:pPr>
              <w:jc w:val="center"/>
              <w:rPr>
                <w:rFonts w:ascii="宋体" w:hAnsi="宋体" w:cs="宋体"/>
                <w:sz w:val="18"/>
                <w:szCs w:val="21"/>
              </w:rPr>
            </w:pPr>
          </w:p>
        </w:tc>
        <w:tc>
          <w:tcPr>
            <w:tcW w:w="930" w:type="dxa"/>
            <w:vMerge w:val="continue"/>
            <w:vAlign w:val="center"/>
          </w:tcPr>
          <w:p w14:paraId="499CC4F1">
            <w:pPr>
              <w:jc w:val="center"/>
              <w:rPr>
                <w:rFonts w:ascii="宋体" w:hAnsi="宋体" w:cs="宋体"/>
                <w:sz w:val="18"/>
                <w:szCs w:val="21"/>
              </w:rPr>
            </w:pPr>
          </w:p>
        </w:tc>
        <w:tc>
          <w:tcPr>
            <w:tcW w:w="931" w:type="dxa"/>
            <w:vMerge w:val="continue"/>
            <w:vAlign w:val="center"/>
          </w:tcPr>
          <w:p w14:paraId="0B0A7660">
            <w:pPr>
              <w:jc w:val="center"/>
              <w:rPr>
                <w:rFonts w:ascii="宋体" w:hAnsi="宋体" w:cs="宋体"/>
                <w:sz w:val="18"/>
                <w:szCs w:val="21"/>
              </w:rPr>
            </w:pPr>
          </w:p>
        </w:tc>
        <w:tc>
          <w:tcPr>
            <w:tcW w:w="1328" w:type="dxa"/>
            <w:vMerge w:val="continue"/>
            <w:vAlign w:val="center"/>
          </w:tcPr>
          <w:p w14:paraId="71C0C3B0">
            <w:pPr>
              <w:jc w:val="center"/>
              <w:rPr>
                <w:rFonts w:ascii="宋体" w:hAnsi="宋体" w:cs="宋体"/>
                <w:sz w:val="18"/>
                <w:szCs w:val="21"/>
              </w:rPr>
            </w:pPr>
          </w:p>
        </w:tc>
        <w:tc>
          <w:tcPr>
            <w:tcW w:w="930" w:type="dxa"/>
            <w:vAlign w:val="center"/>
          </w:tcPr>
          <w:p w14:paraId="0454F06F">
            <w:pPr>
              <w:jc w:val="center"/>
              <w:rPr>
                <w:rFonts w:ascii="宋体" w:hAnsi="宋体" w:cs="宋体"/>
                <w:sz w:val="18"/>
                <w:szCs w:val="21"/>
              </w:rPr>
            </w:pPr>
            <w:r>
              <w:rPr>
                <w:rFonts w:hint="eastAsia" w:ascii="宋体" w:hAnsi="宋体" w:cs="宋体"/>
                <w:sz w:val="18"/>
                <w:szCs w:val="21"/>
              </w:rPr>
              <w:t>无处理（N/mm）</w:t>
            </w:r>
          </w:p>
        </w:tc>
        <w:tc>
          <w:tcPr>
            <w:tcW w:w="1195" w:type="dxa"/>
            <w:vAlign w:val="center"/>
          </w:tcPr>
          <w:p w14:paraId="09635527">
            <w:pPr>
              <w:jc w:val="center"/>
              <w:rPr>
                <w:rFonts w:ascii="宋体" w:hAnsi="宋体" w:cs="宋体"/>
                <w:sz w:val="18"/>
                <w:szCs w:val="21"/>
              </w:rPr>
            </w:pPr>
            <w:r>
              <w:rPr>
                <w:rFonts w:hint="eastAsia" w:ascii="宋体" w:hAnsi="宋体" w:cs="宋体"/>
                <w:sz w:val="18"/>
                <w:szCs w:val="21"/>
              </w:rPr>
              <w:t>热老化处理后保持率（%）</w:t>
            </w:r>
          </w:p>
        </w:tc>
        <w:tc>
          <w:tcPr>
            <w:tcW w:w="797" w:type="dxa"/>
            <w:vMerge w:val="continue"/>
            <w:vAlign w:val="center"/>
          </w:tcPr>
          <w:p w14:paraId="4EB0C1B2">
            <w:pPr>
              <w:jc w:val="center"/>
              <w:rPr>
                <w:rFonts w:ascii="宋体" w:hAnsi="宋体" w:cs="宋体"/>
                <w:sz w:val="18"/>
                <w:szCs w:val="21"/>
              </w:rPr>
            </w:pPr>
          </w:p>
        </w:tc>
      </w:tr>
      <w:tr w14:paraId="1A95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594" w:type="dxa"/>
            <w:vAlign w:val="center"/>
          </w:tcPr>
          <w:p w14:paraId="55BEBE3A">
            <w:pPr>
              <w:rPr>
                <w:rFonts w:ascii="宋体" w:hAnsi="宋体" w:cs="宋体"/>
                <w:sz w:val="18"/>
                <w:szCs w:val="21"/>
              </w:rPr>
            </w:pPr>
            <w:r>
              <w:rPr>
                <w:rFonts w:hint="eastAsia" w:ascii="宋体" w:hAnsi="宋体" w:cs="宋体"/>
                <w:sz w:val="18"/>
                <w:szCs w:val="21"/>
              </w:rPr>
              <w:t>性能要求</w:t>
            </w:r>
          </w:p>
        </w:tc>
        <w:tc>
          <w:tcPr>
            <w:tcW w:w="817" w:type="dxa"/>
            <w:vAlign w:val="center"/>
          </w:tcPr>
          <w:p w14:paraId="74D649C7">
            <w:pPr>
              <w:jc w:val="center"/>
              <w:rPr>
                <w:rFonts w:ascii="宋体" w:hAnsi="宋体" w:cs="宋体"/>
                <w:sz w:val="18"/>
                <w:szCs w:val="21"/>
              </w:rPr>
            </w:pPr>
            <w:r>
              <w:rPr>
                <w:rFonts w:hint="eastAsia" w:ascii="宋体" w:hAnsi="宋体" w:cs="宋体"/>
                <w:sz w:val="18"/>
                <w:szCs w:val="21"/>
              </w:rPr>
              <w:t>≥60</w:t>
            </w:r>
          </w:p>
        </w:tc>
        <w:tc>
          <w:tcPr>
            <w:tcW w:w="716" w:type="dxa"/>
            <w:vAlign w:val="center"/>
          </w:tcPr>
          <w:p w14:paraId="6339392D">
            <w:pPr>
              <w:jc w:val="center"/>
              <w:rPr>
                <w:rFonts w:ascii="宋体" w:hAnsi="宋体" w:cs="宋体"/>
                <w:sz w:val="18"/>
                <w:szCs w:val="21"/>
              </w:rPr>
            </w:pPr>
            <w:r>
              <w:rPr>
                <w:rFonts w:hint="eastAsia" w:ascii="宋体" w:hAnsi="宋体" w:cs="宋体"/>
                <w:sz w:val="18"/>
                <w:szCs w:val="21"/>
              </w:rPr>
              <w:t>≥400</w:t>
            </w:r>
          </w:p>
        </w:tc>
        <w:tc>
          <w:tcPr>
            <w:tcW w:w="930" w:type="dxa"/>
            <w:vAlign w:val="center"/>
          </w:tcPr>
          <w:p w14:paraId="4F1737C4">
            <w:pPr>
              <w:jc w:val="center"/>
              <w:rPr>
                <w:rFonts w:ascii="宋体" w:hAnsi="宋体" w:cs="宋体"/>
                <w:sz w:val="18"/>
                <w:szCs w:val="21"/>
              </w:rPr>
            </w:pPr>
            <w:r>
              <w:rPr>
                <w:rFonts w:hint="eastAsia" w:ascii="宋体" w:hAnsi="宋体" w:cs="宋体"/>
                <w:sz w:val="18"/>
                <w:szCs w:val="21"/>
              </w:rPr>
              <w:t>-20</w:t>
            </w:r>
          </w:p>
        </w:tc>
        <w:tc>
          <w:tcPr>
            <w:tcW w:w="931" w:type="dxa"/>
            <w:vAlign w:val="center"/>
          </w:tcPr>
          <w:p w14:paraId="67DFC96D">
            <w:pPr>
              <w:jc w:val="center"/>
            </w:pPr>
            <w:r>
              <w:rPr>
                <w:rFonts w:hint="eastAsia"/>
              </w:rPr>
              <w:t>+2，</w:t>
            </w:r>
            <w:r>
              <w:rPr>
                <w:rFonts w:hint="eastAsia" w:ascii="宋体" w:hAnsi="宋体" w:cs="宋体"/>
                <w:sz w:val="18"/>
                <w:szCs w:val="21"/>
              </w:rPr>
              <w:t>-4</w:t>
            </w:r>
          </w:p>
        </w:tc>
        <w:tc>
          <w:tcPr>
            <w:tcW w:w="1328" w:type="dxa"/>
            <w:vAlign w:val="center"/>
          </w:tcPr>
          <w:p w14:paraId="1552B0EE">
            <w:pPr>
              <w:jc w:val="center"/>
              <w:rPr>
                <w:rFonts w:ascii="宋体" w:hAnsi="宋体" w:cs="宋体"/>
                <w:sz w:val="18"/>
                <w:szCs w:val="21"/>
              </w:rPr>
            </w:pPr>
            <w:r>
              <w:rPr>
                <w:rFonts w:hint="eastAsia" w:ascii="宋体" w:hAnsi="宋体" w:cs="宋体"/>
                <w:sz w:val="18"/>
                <w:szCs w:val="21"/>
              </w:rPr>
              <w:t>0级或</w:t>
            </w:r>
          </w:p>
          <w:p w14:paraId="47AC49B1">
            <w:pPr>
              <w:jc w:val="center"/>
              <w:rPr>
                <w:rFonts w:ascii="宋体" w:hAnsi="宋体" w:cs="宋体"/>
                <w:sz w:val="18"/>
                <w:szCs w:val="21"/>
              </w:rPr>
            </w:pPr>
            <w:r>
              <w:rPr>
                <w:rFonts w:hint="eastAsia" w:ascii="宋体" w:hAnsi="宋体" w:cs="宋体"/>
                <w:sz w:val="18"/>
                <w:szCs w:val="21"/>
              </w:rPr>
              <w:t>Ⅰ级</w:t>
            </w:r>
          </w:p>
        </w:tc>
        <w:tc>
          <w:tcPr>
            <w:tcW w:w="930" w:type="dxa"/>
            <w:vAlign w:val="center"/>
          </w:tcPr>
          <w:p w14:paraId="7B84E33D">
            <w:pPr>
              <w:jc w:val="center"/>
              <w:rPr>
                <w:rFonts w:ascii="宋体" w:hAnsi="宋体" w:cs="宋体"/>
                <w:sz w:val="18"/>
                <w:szCs w:val="21"/>
              </w:rPr>
            </w:pPr>
            <w:r>
              <w:rPr>
                <w:rFonts w:hint="eastAsia" w:ascii="宋体" w:hAnsi="宋体" w:cs="宋体"/>
                <w:sz w:val="18"/>
                <w:szCs w:val="21"/>
              </w:rPr>
              <w:t>≥1.0</w:t>
            </w:r>
          </w:p>
        </w:tc>
        <w:tc>
          <w:tcPr>
            <w:tcW w:w="1195" w:type="dxa"/>
            <w:vAlign w:val="center"/>
          </w:tcPr>
          <w:p w14:paraId="5BB15677">
            <w:pPr>
              <w:jc w:val="center"/>
              <w:rPr>
                <w:rFonts w:ascii="宋体" w:hAnsi="宋体" w:cs="宋体"/>
                <w:sz w:val="18"/>
                <w:szCs w:val="21"/>
              </w:rPr>
            </w:pPr>
            <w:r>
              <w:rPr>
                <w:rFonts w:hint="eastAsia" w:ascii="宋体" w:hAnsi="宋体" w:cs="宋体"/>
                <w:sz w:val="18"/>
                <w:szCs w:val="21"/>
              </w:rPr>
              <w:t>≥80或卷材破坏</w:t>
            </w:r>
          </w:p>
        </w:tc>
        <w:tc>
          <w:tcPr>
            <w:tcW w:w="797" w:type="dxa"/>
            <w:vAlign w:val="center"/>
          </w:tcPr>
          <w:p w14:paraId="0783CE15">
            <w:pPr>
              <w:jc w:val="center"/>
              <w:rPr>
                <w:rFonts w:ascii="宋体" w:hAnsi="宋体" w:cs="宋体"/>
                <w:sz w:val="18"/>
                <w:szCs w:val="21"/>
              </w:rPr>
            </w:pPr>
            <w:r>
              <w:rPr>
                <w:rFonts w:hint="eastAsia" w:ascii="宋体" w:hAnsi="宋体" w:cs="宋体"/>
                <w:sz w:val="18"/>
                <w:szCs w:val="21"/>
              </w:rPr>
              <w:t>通过</w:t>
            </w:r>
          </w:p>
        </w:tc>
      </w:tr>
    </w:tbl>
    <w:p w14:paraId="2B4602CC">
      <w:pPr>
        <w:spacing w:line="480" w:lineRule="exact"/>
        <w:jc w:val="center"/>
        <w:rPr>
          <w:rFonts w:ascii="宋体" w:hAnsi="宋体" w:cs="宋体"/>
        </w:rPr>
      </w:pPr>
    </w:p>
    <w:p w14:paraId="3DFD4827">
      <w:pPr>
        <w:spacing w:line="480" w:lineRule="exact"/>
        <w:jc w:val="center"/>
      </w:pPr>
      <w:r>
        <w:rPr>
          <w:rFonts w:hint="eastAsia" w:ascii="宋体" w:hAnsi="宋体" w:cs="宋体"/>
        </w:rPr>
        <w:t>表4.2.</w:t>
      </w:r>
      <w:r>
        <w:rPr>
          <w:rFonts w:ascii="宋体" w:hAnsi="宋体" w:cs="宋体"/>
        </w:rPr>
        <w:t>6</w:t>
      </w:r>
      <w:r>
        <w:rPr>
          <w:rFonts w:hint="eastAsia" w:ascii="宋体" w:hAnsi="宋体" w:cs="宋体"/>
        </w:rPr>
        <w:t>-</w:t>
      </w:r>
      <w:r>
        <w:rPr>
          <w:rFonts w:ascii="宋体" w:hAnsi="宋体" w:cs="宋体"/>
        </w:rPr>
        <w:t>2</w:t>
      </w:r>
      <w:r>
        <w:rPr>
          <w:rFonts w:hint="eastAsia" w:ascii="宋体" w:hAnsi="宋体" w:cs="宋体"/>
        </w:rPr>
        <w:t xml:space="preserve"> 聚合物水泥胶结料主要性能</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1397"/>
        <w:gridCol w:w="1397"/>
        <w:gridCol w:w="1397"/>
        <w:gridCol w:w="1398"/>
        <w:gridCol w:w="1398"/>
      </w:tblGrid>
      <w:tr w14:paraId="5761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91" w:type="dxa"/>
            <w:vMerge w:val="restart"/>
          </w:tcPr>
          <w:p w14:paraId="0B51C0C0">
            <w:pPr>
              <w:jc w:val="center"/>
              <w:rPr>
                <w:rFonts w:ascii="宋体" w:hAnsi="宋体" w:cs="宋体"/>
                <w:sz w:val="18"/>
                <w:szCs w:val="21"/>
              </w:rPr>
            </w:pPr>
            <w:r>
              <w:rPr>
                <w:rFonts w:ascii="宋体" w:hAnsi="宋体" w:cs="宋体"/>
                <w:sz w:val="18"/>
                <w:szCs w:val="21"/>
              </w:rPr>
              <w:t>项目</w:t>
            </w:r>
          </w:p>
        </w:tc>
        <w:tc>
          <w:tcPr>
            <w:tcW w:w="1397" w:type="dxa"/>
            <w:vMerge w:val="restart"/>
          </w:tcPr>
          <w:p w14:paraId="25E3C6D2">
            <w:pPr>
              <w:jc w:val="center"/>
              <w:rPr>
                <w:rFonts w:ascii="宋体" w:hAnsi="宋体" w:cs="宋体"/>
                <w:sz w:val="18"/>
                <w:szCs w:val="21"/>
              </w:rPr>
            </w:pPr>
            <w:r>
              <w:rPr>
                <w:rFonts w:ascii="宋体" w:hAnsi="宋体" w:cs="宋体"/>
                <w:sz w:val="18"/>
                <w:szCs w:val="21"/>
              </w:rPr>
              <w:t>与水泥基粘接强度</w:t>
            </w:r>
            <w:r>
              <w:rPr>
                <w:rFonts w:hint="eastAsia" w:ascii="宋体" w:hAnsi="宋体" w:cs="宋体"/>
                <w:sz w:val="18"/>
                <w:szCs w:val="21"/>
              </w:rPr>
              <w:t>（M</w:t>
            </w:r>
            <w:r>
              <w:rPr>
                <w:rFonts w:ascii="宋体" w:hAnsi="宋体" w:cs="宋体"/>
                <w:sz w:val="18"/>
                <w:szCs w:val="21"/>
              </w:rPr>
              <w:t>Pa</w:t>
            </w:r>
            <w:r>
              <w:rPr>
                <w:rFonts w:hint="eastAsia" w:ascii="宋体" w:hAnsi="宋体" w:cs="宋体"/>
                <w:sz w:val="18"/>
                <w:szCs w:val="21"/>
              </w:rPr>
              <w:t>）</w:t>
            </w:r>
          </w:p>
        </w:tc>
        <w:tc>
          <w:tcPr>
            <w:tcW w:w="2794" w:type="dxa"/>
            <w:gridSpan w:val="2"/>
          </w:tcPr>
          <w:p w14:paraId="6A2EB25F">
            <w:pPr>
              <w:jc w:val="center"/>
              <w:rPr>
                <w:rFonts w:ascii="宋体" w:hAnsi="宋体" w:cs="宋体"/>
                <w:sz w:val="18"/>
                <w:szCs w:val="21"/>
              </w:rPr>
            </w:pPr>
            <w:r>
              <w:rPr>
                <w:rFonts w:ascii="宋体" w:hAnsi="宋体" w:cs="宋体"/>
                <w:sz w:val="18"/>
                <w:szCs w:val="21"/>
              </w:rPr>
              <w:t>剪切状态下的粘合性</w:t>
            </w:r>
            <w:r>
              <w:rPr>
                <w:rFonts w:hint="eastAsia" w:ascii="宋体" w:hAnsi="宋体" w:cs="宋体"/>
                <w:sz w:val="18"/>
                <w:szCs w:val="21"/>
              </w:rPr>
              <w:t>（N</w:t>
            </w:r>
            <w:r>
              <w:rPr>
                <w:rFonts w:ascii="宋体" w:hAnsi="宋体" w:cs="宋体"/>
                <w:sz w:val="18"/>
                <w:szCs w:val="21"/>
              </w:rPr>
              <w:t>/mm</w:t>
            </w:r>
            <w:r>
              <w:rPr>
                <w:rFonts w:hint="eastAsia" w:ascii="宋体" w:hAnsi="宋体" w:cs="宋体"/>
                <w:sz w:val="18"/>
                <w:szCs w:val="21"/>
              </w:rPr>
              <w:t>）</w:t>
            </w:r>
          </w:p>
        </w:tc>
        <w:tc>
          <w:tcPr>
            <w:tcW w:w="1398" w:type="dxa"/>
            <w:vMerge w:val="restart"/>
          </w:tcPr>
          <w:p w14:paraId="5523A8A7">
            <w:pPr>
              <w:jc w:val="center"/>
              <w:rPr>
                <w:rFonts w:ascii="宋体" w:hAnsi="宋体" w:cs="宋体"/>
                <w:sz w:val="18"/>
                <w:szCs w:val="21"/>
              </w:rPr>
            </w:pPr>
            <w:r>
              <w:rPr>
                <w:rFonts w:ascii="宋体" w:hAnsi="宋体" w:cs="宋体"/>
                <w:sz w:val="18"/>
                <w:szCs w:val="21"/>
              </w:rPr>
              <w:t>抗渗性能</w:t>
            </w:r>
          </w:p>
          <w:p w14:paraId="6011BDFE">
            <w:pPr>
              <w:jc w:val="center"/>
              <w:rPr>
                <w:rFonts w:ascii="宋体" w:hAnsi="宋体" w:cs="宋体"/>
                <w:sz w:val="18"/>
                <w:szCs w:val="21"/>
              </w:rPr>
            </w:pPr>
            <w:r>
              <w:rPr>
                <w:rFonts w:hint="eastAsia" w:ascii="宋体" w:hAnsi="宋体" w:cs="宋体"/>
                <w:sz w:val="18"/>
                <w:szCs w:val="21"/>
              </w:rPr>
              <w:t>（M</w:t>
            </w:r>
            <w:r>
              <w:rPr>
                <w:rFonts w:ascii="宋体" w:hAnsi="宋体" w:cs="宋体"/>
                <w:sz w:val="18"/>
                <w:szCs w:val="21"/>
              </w:rPr>
              <w:t>Pa,7d</w:t>
            </w:r>
            <w:r>
              <w:rPr>
                <w:rFonts w:hint="eastAsia" w:ascii="宋体" w:hAnsi="宋体" w:cs="宋体"/>
                <w:sz w:val="18"/>
                <w:szCs w:val="21"/>
              </w:rPr>
              <w:t>）</w:t>
            </w:r>
          </w:p>
        </w:tc>
        <w:tc>
          <w:tcPr>
            <w:tcW w:w="1398" w:type="dxa"/>
            <w:vMerge w:val="restart"/>
          </w:tcPr>
          <w:p w14:paraId="44FA78A9">
            <w:pPr>
              <w:jc w:val="center"/>
              <w:rPr>
                <w:rFonts w:ascii="宋体" w:hAnsi="宋体" w:cs="宋体"/>
                <w:sz w:val="18"/>
                <w:szCs w:val="21"/>
              </w:rPr>
            </w:pPr>
            <w:r>
              <w:rPr>
                <w:rFonts w:ascii="宋体" w:hAnsi="宋体" w:cs="宋体"/>
                <w:sz w:val="18"/>
                <w:szCs w:val="21"/>
              </w:rPr>
              <w:t>抗压强度</w:t>
            </w:r>
          </w:p>
          <w:p w14:paraId="4A0AB8C6">
            <w:pPr>
              <w:pStyle w:val="11"/>
            </w:pPr>
            <w:r>
              <w:rPr>
                <w:rFonts w:hint="eastAsia"/>
              </w:rPr>
              <w:t>（M</w:t>
            </w:r>
            <w:r>
              <w:t>Pa</w:t>
            </w:r>
            <w:r>
              <w:rPr>
                <w:rFonts w:hint="eastAsia"/>
              </w:rPr>
              <w:t>，7</w:t>
            </w:r>
            <w:r>
              <w:t>d</w:t>
            </w:r>
            <w:r>
              <w:rPr>
                <w:rFonts w:hint="eastAsia"/>
              </w:rPr>
              <w:t>）</w:t>
            </w:r>
          </w:p>
        </w:tc>
      </w:tr>
      <w:tr w14:paraId="7158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91" w:type="dxa"/>
            <w:vMerge w:val="continue"/>
          </w:tcPr>
          <w:p w14:paraId="2D5A21D7">
            <w:pPr>
              <w:jc w:val="center"/>
              <w:rPr>
                <w:rFonts w:ascii="宋体" w:hAnsi="宋体" w:cs="宋体"/>
                <w:sz w:val="18"/>
                <w:szCs w:val="21"/>
              </w:rPr>
            </w:pPr>
          </w:p>
        </w:tc>
        <w:tc>
          <w:tcPr>
            <w:tcW w:w="1397" w:type="dxa"/>
            <w:vMerge w:val="continue"/>
          </w:tcPr>
          <w:p w14:paraId="6F8341D3">
            <w:pPr>
              <w:jc w:val="center"/>
              <w:rPr>
                <w:rFonts w:ascii="宋体" w:hAnsi="宋体" w:cs="宋体"/>
                <w:sz w:val="18"/>
                <w:szCs w:val="21"/>
              </w:rPr>
            </w:pPr>
          </w:p>
        </w:tc>
        <w:tc>
          <w:tcPr>
            <w:tcW w:w="1397" w:type="dxa"/>
          </w:tcPr>
          <w:p w14:paraId="7CB0EA4E">
            <w:pPr>
              <w:jc w:val="center"/>
              <w:rPr>
                <w:rFonts w:ascii="宋体" w:hAnsi="宋体" w:cs="宋体"/>
                <w:sz w:val="18"/>
                <w:szCs w:val="21"/>
              </w:rPr>
            </w:pPr>
            <w:r>
              <w:rPr>
                <w:rFonts w:ascii="宋体" w:hAnsi="宋体" w:cs="宋体"/>
                <w:sz w:val="18"/>
                <w:szCs w:val="21"/>
              </w:rPr>
              <w:t>卷材</w:t>
            </w:r>
            <w:r>
              <w:rPr>
                <w:rFonts w:hint="eastAsia" w:ascii="宋体" w:hAnsi="宋体" w:cs="宋体"/>
                <w:sz w:val="18"/>
                <w:szCs w:val="21"/>
              </w:rPr>
              <w:t>-</w:t>
            </w:r>
            <w:r>
              <w:rPr>
                <w:rFonts w:ascii="宋体" w:hAnsi="宋体" w:cs="宋体"/>
                <w:sz w:val="18"/>
                <w:szCs w:val="21"/>
              </w:rPr>
              <w:t>基层</w:t>
            </w:r>
          </w:p>
        </w:tc>
        <w:tc>
          <w:tcPr>
            <w:tcW w:w="1397" w:type="dxa"/>
          </w:tcPr>
          <w:p w14:paraId="48F70F1B">
            <w:pPr>
              <w:jc w:val="center"/>
              <w:rPr>
                <w:rFonts w:ascii="宋体" w:hAnsi="宋体" w:cs="宋体"/>
                <w:sz w:val="18"/>
                <w:szCs w:val="21"/>
              </w:rPr>
            </w:pPr>
            <w:r>
              <w:rPr>
                <w:rFonts w:ascii="宋体" w:hAnsi="宋体" w:cs="宋体"/>
                <w:sz w:val="18"/>
                <w:szCs w:val="21"/>
              </w:rPr>
              <w:t>卷材</w:t>
            </w:r>
            <w:r>
              <w:rPr>
                <w:rFonts w:hint="eastAsia" w:ascii="宋体" w:hAnsi="宋体" w:cs="宋体"/>
                <w:sz w:val="18"/>
                <w:szCs w:val="21"/>
              </w:rPr>
              <w:t>-</w:t>
            </w:r>
            <w:r>
              <w:rPr>
                <w:rFonts w:ascii="宋体" w:hAnsi="宋体" w:cs="宋体"/>
                <w:sz w:val="18"/>
                <w:szCs w:val="21"/>
              </w:rPr>
              <w:t>卷材</w:t>
            </w:r>
          </w:p>
        </w:tc>
        <w:tc>
          <w:tcPr>
            <w:tcW w:w="1398" w:type="dxa"/>
            <w:vMerge w:val="continue"/>
          </w:tcPr>
          <w:p w14:paraId="3E0A044A">
            <w:pPr>
              <w:jc w:val="center"/>
              <w:rPr>
                <w:rFonts w:ascii="宋体" w:hAnsi="宋体" w:cs="宋体"/>
                <w:sz w:val="18"/>
                <w:szCs w:val="21"/>
              </w:rPr>
            </w:pPr>
          </w:p>
        </w:tc>
        <w:tc>
          <w:tcPr>
            <w:tcW w:w="1398" w:type="dxa"/>
            <w:vMerge w:val="continue"/>
          </w:tcPr>
          <w:p w14:paraId="7FEED76B">
            <w:pPr>
              <w:jc w:val="center"/>
              <w:rPr>
                <w:rFonts w:ascii="宋体" w:hAnsi="宋体" w:cs="宋体"/>
                <w:sz w:val="18"/>
                <w:szCs w:val="21"/>
              </w:rPr>
            </w:pPr>
          </w:p>
        </w:tc>
      </w:tr>
      <w:tr w14:paraId="471D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291" w:type="dxa"/>
          </w:tcPr>
          <w:p w14:paraId="1E92E888">
            <w:pPr>
              <w:jc w:val="center"/>
              <w:rPr>
                <w:rFonts w:ascii="宋体" w:hAnsi="宋体" w:cs="宋体"/>
                <w:sz w:val="18"/>
                <w:szCs w:val="21"/>
              </w:rPr>
            </w:pPr>
            <w:r>
              <w:rPr>
                <w:rFonts w:ascii="宋体" w:hAnsi="宋体" w:cs="宋体"/>
                <w:sz w:val="18"/>
                <w:szCs w:val="21"/>
              </w:rPr>
              <w:t>性能要求</w:t>
            </w:r>
          </w:p>
        </w:tc>
        <w:tc>
          <w:tcPr>
            <w:tcW w:w="1397" w:type="dxa"/>
          </w:tcPr>
          <w:p w14:paraId="32E901D0">
            <w:pPr>
              <w:jc w:val="center"/>
              <w:rPr>
                <w:rFonts w:ascii="宋体" w:hAnsi="宋体" w:cs="宋体"/>
                <w:sz w:val="18"/>
                <w:szCs w:val="21"/>
              </w:rPr>
            </w:pPr>
            <w:r>
              <w:rPr>
                <w:rFonts w:hint="eastAsia" w:ascii="宋体" w:hAnsi="宋体" w:cs="宋体"/>
                <w:sz w:val="18"/>
                <w:szCs w:val="21"/>
              </w:rPr>
              <w:t>≥</w:t>
            </w:r>
            <w:r>
              <w:rPr>
                <w:rFonts w:ascii="宋体" w:hAnsi="宋体" w:cs="宋体"/>
                <w:sz w:val="18"/>
                <w:szCs w:val="21"/>
              </w:rPr>
              <w:t>0.4</w:t>
            </w:r>
          </w:p>
        </w:tc>
        <w:tc>
          <w:tcPr>
            <w:tcW w:w="1397" w:type="dxa"/>
          </w:tcPr>
          <w:p w14:paraId="0DC7E054">
            <w:pPr>
              <w:jc w:val="center"/>
              <w:rPr>
                <w:rFonts w:ascii="宋体" w:hAnsi="宋体" w:cs="宋体"/>
                <w:sz w:val="18"/>
                <w:szCs w:val="21"/>
              </w:rPr>
            </w:pPr>
            <w:r>
              <w:rPr>
                <w:rFonts w:hint="eastAsia" w:ascii="宋体" w:hAnsi="宋体" w:cs="宋体"/>
                <w:sz w:val="18"/>
                <w:szCs w:val="21"/>
              </w:rPr>
              <w:t>≥</w:t>
            </w:r>
            <w:r>
              <w:rPr>
                <w:rFonts w:ascii="宋体" w:hAnsi="宋体" w:cs="宋体"/>
                <w:sz w:val="18"/>
                <w:szCs w:val="21"/>
              </w:rPr>
              <w:t>1.8</w:t>
            </w:r>
          </w:p>
        </w:tc>
        <w:tc>
          <w:tcPr>
            <w:tcW w:w="1397" w:type="dxa"/>
          </w:tcPr>
          <w:p w14:paraId="7B310DA2">
            <w:pPr>
              <w:jc w:val="center"/>
              <w:rPr>
                <w:rFonts w:ascii="宋体" w:hAnsi="宋体" w:cs="宋体"/>
                <w:sz w:val="18"/>
                <w:szCs w:val="21"/>
              </w:rPr>
            </w:pPr>
            <w:r>
              <w:rPr>
                <w:rFonts w:hint="eastAsia" w:ascii="宋体" w:hAnsi="宋体" w:cs="宋体"/>
                <w:sz w:val="18"/>
                <w:szCs w:val="21"/>
              </w:rPr>
              <w:t>≥</w:t>
            </w:r>
            <w:r>
              <w:rPr>
                <w:rFonts w:ascii="宋体" w:hAnsi="宋体" w:cs="宋体"/>
                <w:sz w:val="18"/>
                <w:szCs w:val="21"/>
              </w:rPr>
              <w:t>2.0</w:t>
            </w:r>
          </w:p>
        </w:tc>
        <w:tc>
          <w:tcPr>
            <w:tcW w:w="1398" w:type="dxa"/>
          </w:tcPr>
          <w:p w14:paraId="54FC7904">
            <w:pPr>
              <w:jc w:val="center"/>
              <w:rPr>
                <w:rFonts w:ascii="宋体" w:hAnsi="宋体" w:cs="宋体"/>
                <w:sz w:val="18"/>
                <w:szCs w:val="21"/>
              </w:rPr>
            </w:pPr>
            <w:r>
              <w:rPr>
                <w:rFonts w:hint="eastAsia" w:ascii="宋体" w:hAnsi="宋体" w:cs="宋体"/>
                <w:sz w:val="18"/>
                <w:szCs w:val="21"/>
              </w:rPr>
              <w:t>≥</w:t>
            </w:r>
            <w:r>
              <w:rPr>
                <w:rFonts w:ascii="宋体" w:hAnsi="宋体" w:cs="宋体"/>
                <w:sz w:val="18"/>
                <w:szCs w:val="21"/>
              </w:rPr>
              <w:t>1.0</w:t>
            </w:r>
          </w:p>
        </w:tc>
        <w:tc>
          <w:tcPr>
            <w:tcW w:w="1398" w:type="dxa"/>
          </w:tcPr>
          <w:p w14:paraId="29D7A9F3">
            <w:pPr>
              <w:jc w:val="center"/>
              <w:rPr>
                <w:rFonts w:ascii="宋体" w:hAnsi="宋体" w:cs="宋体"/>
                <w:sz w:val="18"/>
                <w:szCs w:val="21"/>
              </w:rPr>
            </w:pPr>
            <w:r>
              <w:rPr>
                <w:rFonts w:hint="eastAsia" w:ascii="宋体" w:hAnsi="宋体" w:cs="宋体"/>
                <w:sz w:val="18"/>
                <w:szCs w:val="21"/>
              </w:rPr>
              <w:t>≥</w:t>
            </w:r>
            <w:r>
              <w:rPr>
                <w:rFonts w:ascii="宋体" w:hAnsi="宋体" w:cs="宋体"/>
                <w:sz w:val="18"/>
                <w:szCs w:val="21"/>
              </w:rPr>
              <w:t>0.9</w:t>
            </w:r>
          </w:p>
        </w:tc>
      </w:tr>
    </w:tbl>
    <w:p w14:paraId="68EEE0EC">
      <w:pPr>
        <w:spacing w:line="480" w:lineRule="exact"/>
        <w:rPr>
          <w:rFonts w:ascii="宋体" w:hAnsi="宋体" w:cs="宋体"/>
        </w:rPr>
      </w:pPr>
      <w:r>
        <w:rPr>
          <w:rFonts w:hint="eastAsia" w:ascii="宋体" w:hAnsi="宋体" w:cs="宋体"/>
        </w:rPr>
        <w:t>4.2.</w:t>
      </w:r>
      <w:r>
        <w:rPr>
          <w:rFonts w:ascii="宋体" w:hAnsi="宋体" w:cs="宋体"/>
        </w:rPr>
        <w:t>7</w:t>
      </w:r>
      <w:r>
        <w:rPr>
          <w:rFonts w:hint="eastAsia" w:ascii="宋体" w:hAnsi="宋体" w:cs="宋体"/>
        </w:rPr>
        <w:t xml:space="preserve">  三元乙丙橡胶防水卷材的厚度不应小于1.2mm，其主要物理性能应符合《高分子防水材料 第1部分：片材》GB/T 18173.1中JLI及表4.</w:t>
      </w:r>
      <w:r>
        <w:rPr>
          <w:rFonts w:ascii="宋体" w:hAnsi="宋体" w:cs="宋体"/>
        </w:rPr>
        <w:t>2</w:t>
      </w:r>
      <w:r>
        <w:rPr>
          <w:rFonts w:hint="eastAsia" w:ascii="宋体" w:hAnsi="宋体" w:cs="宋体"/>
        </w:rPr>
        <w:t>.</w:t>
      </w:r>
      <w:r>
        <w:rPr>
          <w:rFonts w:ascii="宋体" w:hAnsi="宋体" w:cs="宋体"/>
        </w:rPr>
        <w:t>7</w:t>
      </w:r>
      <w:r>
        <w:rPr>
          <w:rFonts w:hint="eastAsia" w:ascii="宋体" w:hAnsi="宋体" w:cs="宋体"/>
        </w:rPr>
        <w:t>-1的要求，卷材搭接胶带主要性能应符合表4.</w:t>
      </w:r>
      <w:r>
        <w:rPr>
          <w:rFonts w:ascii="宋体" w:hAnsi="宋体" w:cs="宋体"/>
        </w:rPr>
        <w:t>2</w:t>
      </w:r>
      <w:r>
        <w:rPr>
          <w:rFonts w:hint="eastAsia" w:ascii="宋体" w:hAnsi="宋体" w:cs="宋体"/>
        </w:rPr>
        <w:t>.</w:t>
      </w:r>
      <w:r>
        <w:rPr>
          <w:rFonts w:ascii="宋体" w:hAnsi="宋体" w:cs="宋体"/>
        </w:rPr>
        <w:t>7</w:t>
      </w:r>
      <w:r>
        <w:rPr>
          <w:rFonts w:hint="eastAsia" w:ascii="宋体" w:hAnsi="宋体" w:cs="宋体"/>
        </w:rPr>
        <w:t>-2的规定。</w:t>
      </w:r>
    </w:p>
    <w:p w14:paraId="397268B4">
      <w:pPr>
        <w:spacing w:line="480" w:lineRule="exact"/>
        <w:jc w:val="center"/>
        <w:rPr>
          <w:rFonts w:ascii="宋体" w:hAnsi="宋体" w:cs="宋体"/>
        </w:rPr>
      </w:pPr>
      <w:r>
        <w:rPr>
          <w:rFonts w:hint="eastAsia" w:ascii="宋体" w:hAnsi="宋体" w:cs="宋体"/>
        </w:rPr>
        <w:t>表4.2.</w:t>
      </w:r>
      <w:r>
        <w:rPr>
          <w:rFonts w:ascii="宋体" w:hAnsi="宋体" w:cs="宋体"/>
        </w:rPr>
        <w:t>7</w:t>
      </w:r>
      <w:r>
        <w:rPr>
          <w:rFonts w:hint="eastAsia" w:ascii="宋体" w:hAnsi="宋体" w:cs="宋体"/>
        </w:rPr>
        <w:t>-1  三元乙丙橡胶防水卷材主要性能</w:t>
      </w:r>
    </w:p>
    <w:tbl>
      <w:tblPr>
        <w:tblStyle w:val="16"/>
        <w:tblW w:w="8298"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850"/>
        <w:gridCol w:w="731"/>
        <w:gridCol w:w="731"/>
        <w:gridCol w:w="821"/>
        <w:gridCol w:w="1277"/>
        <w:gridCol w:w="1131"/>
        <w:gridCol w:w="1231"/>
        <w:gridCol w:w="908"/>
      </w:tblGrid>
      <w:tr w14:paraId="4659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18" w:type="dxa"/>
            <w:vMerge w:val="restart"/>
            <w:vAlign w:val="center"/>
          </w:tcPr>
          <w:p w14:paraId="1065AC62">
            <w:pPr>
              <w:jc w:val="center"/>
              <w:rPr>
                <w:rFonts w:ascii="宋体" w:hAnsi="宋体" w:cs="宋体"/>
                <w:sz w:val="18"/>
                <w:szCs w:val="21"/>
              </w:rPr>
            </w:pPr>
            <w:r>
              <w:rPr>
                <w:rFonts w:hint="eastAsia" w:ascii="宋体" w:hAnsi="宋体" w:cs="宋体"/>
                <w:sz w:val="18"/>
                <w:szCs w:val="21"/>
              </w:rPr>
              <w:t>项目</w:t>
            </w:r>
          </w:p>
        </w:tc>
        <w:tc>
          <w:tcPr>
            <w:tcW w:w="3133" w:type="dxa"/>
            <w:gridSpan w:val="4"/>
            <w:vAlign w:val="center"/>
          </w:tcPr>
          <w:p w14:paraId="0F86B6C4">
            <w:pPr>
              <w:jc w:val="center"/>
              <w:rPr>
                <w:rFonts w:ascii="宋体" w:hAnsi="宋体" w:cs="宋体"/>
                <w:sz w:val="18"/>
                <w:szCs w:val="21"/>
              </w:rPr>
            </w:pPr>
            <w:r>
              <w:rPr>
                <w:rFonts w:hint="eastAsia" w:ascii="宋体" w:hAnsi="宋体" w:cs="宋体"/>
                <w:sz w:val="18"/>
                <w:szCs w:val="21"/>
              </w:rPr>
              <w:t>基本性能</w:t>
            </w:r>
          </w:p>
        </w:tc>
        <w:tc>
          <w:tcPr>
            <w:tcW w:w="3639" w:type="dxa"/>
            <w:gridSpan w:val="3"/>
            <w:vAlign w:val="center"/>
          </w:tcPr>
          <w:p w14:paraId="0DDF4255">
            <w:pPr>
              <w:jc w:val="center"/>
              <w:rPr>
                <w:rFonts w:ascii="宋体" w:hAnsi="宋体" w:cs="宋体"/>
                <w:sz w:val="18"/>
                <w:szCs w:val="21"/>
              </w:rPr>
            </w:pPr>
            <w:r>
              <w:rPr>
                <w:rFonts w:hint="eastAsia" w:ascii="宋体" w:hAnsi="宋体" w:cs="宋体"/>
                <w:sz w:val="18"/>
                <w:szCs w:val="21"/>
              </w:rPr>
              <w:t>应用性能</w:t>
            </w:r>
          </w:p>
        </w:tc>
        <w:tc>
          <w:tcPr>
            <w:tcW w:w="908" w:type="dxa"/>
            <w:vMerge w:val="restart"/>
            <w:vAlign w:val="center"/>
          </w:tcPr>
          <w:p w14:paraId="55C1D49A">
            <w:pPr>
              <w:jc w:val="center"/>
              <w:rPr>
                <w:rFonts w:ascii="宋体" w:hAnsi="宋体" w:cs="宋体"/>
                <w:sz w:val="18"/>
                <w:szCs w:val="21"/>
              </w:rPr>
            </w:pPr>
            <w:r>
              <w:rPr>
                <w:rFonts w:hint="eastAsia" w:ascii="宋体" w:hAnsi="宋体" w:cs="宋体"/>
                <w:sz w:val="18"/>
                <w:szCs w:val="21"/>
              </w:rPr>
              <w:t>耐根穿刺性能测试</w:t>
            </w:r>
          </w:p>
        </w:tc>
      </w:tr>
      <w:tr w14:paraId="38D2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18" w:type="dxa"/>
            <w:vMerge w:val="continue"/>
            <w:vAlign w:val="center"/>
          </w:tcPr>
          <w:p w14:paraId="12CB912A">
            <w:pPr>
              <w:jc w:val="center"/>
              <w:rPr>
                <w:rFonts w:ascii="宋体" w:hAnsi="宋体" w:cs="宋体"/>
                <w:sz w:val="18"/>
                <w:szCs w:val="21"/>
              </w:rPr>
            </w:pPr>
          </w:p>
        </w:tc>
        <w:tc>
          <w:tcPr>
            <w:tcW w:w="850" w:type="dxa"/>
            <w:vMerge w:val="restart"/>
            <w:vAlign w:val="center"/>
          </w:tcPr>
          <w:p w14:paraId="7DF34983">
            <w:pPr>
              <w:jc w:val="center"/>
              <w:rPr>
                <w:rFonts w:ascii="宋体" w:hAnsi="宋体" w:cs="宋体"/>
                <w:sz w:val="18"/>
                <w:szCs w:val="21"/>
              </w:rPr>
            </w:pPr>
            <w:r>
              <w:rPr>
                <w:rFonts w:hint="eastAsia" w:ascii="宋体" w:hAnsi="宋体" w:cs="宋体"/>
                <w:sz w:val="18"/>
                <w:szCs w:val="21"/>
              </w:rPr>
              <w:t>拉伸</w:t>
            </w:r>
          </w:p>
          <w:p w14:paraId="301DDC66">
            <w:pPr>
              <w:jc w:val="center"/>
              <w:rPr>
                <w:rFonts w:ascii="宋体" w:hAnsi="宋体" w:cs="宋体"/>
                <w:sz w:val="18"/>
                <w:szCs w:val="21"/>
              </w:rPr>
            </w:pPr>
            <w:r>
              <w:rPr>
                <w:rFonts w:hint="eastAsia" w:ascii="宋体" w:hAnsi="宋体" w:cs="宋体"/>
                <w:sz w:val="18"/>
                <w:szCs w:val="21"/>
              </w:rPr>
              <w:t>强度</w:t>
            </w:r>
          </w:p>
          <w:p w14:paraId="558A77E0">
            <w:pPr>
              <w:jc w:val="center"/>
              <w:rPr>
                <w:rFonts w:ascii="宋体" w:hAnsi="宋体" w:cs="宋体"/>
                <w:sz w:val="18"/>
                <w:szCs w:val="21"/>
              </w:rPr>
            </w:pPr>
            <w:r>
              <w:rPr>
                <w:rFonts w:hint="eastAsia" w:ascii="宋体" w:hAnsi="宋体" w:cs="宋体"/>
                <w:sz w:val="18"/>
                <w:szCs w:val="21"/>
              </w:rPr>
              <w:t>（MPa）</w:t>
            </w:r>
          </w:p>
        </w:tc>
        <w:tc>
          <w:tcPr>
            <w:tcW w:w="731" w:type="dxa"/>
            <w:vMerge w:val="restart"/>
            <w:vAlign w:val="center"/>
          </w:tcPr>
          <w:p w14:paraId="319ED9FB">
            <w:pPr>
              <w:jc w:val="center"/>
              <w:rPr>
                <w:rFonts w:ascii="宋体" w:hAnsi="宋体" w:cs="宋体"/>
                <w:sz w:val="18"/>
                <w:szCs w:val="21"/>
              </w:rPr>
            </w:pPr>
            <w:r>
              <w:rPr>
                <w:rFonts w:hint="eastAsia" w:ascii="宋体" w:hAnsi="宋体" w:cs="宋体"/>
                <w:sz w:val="18"/>
                <w:szCs w:val="21"/>
              </w:rPr>
              <w:t>断裂延伸率</w:t>
            </w:r>
          </w:p>
          <w:p w14:paraId="79CBEE34">
            <w:pPr>
              <w:jc w:val="center"/>
              <w:rPr>
                <w:rFonts w:ascii="宋体" w:hAnsi="宋体" w:cs="宋体"/>
                <w:sz w:val="18"/>
                <w:szCs w:val="21"/>
              </w:rPr>
            </w:pPr>
            <w:r>
              <w:rPr>
                <w:rFonts w:hint="eastAsia" w:ascii="宋体" w:hAnsi="宋体" w:cs="宋体"/>
                <w:sz w:val="18"/>
                <w:szCs w:val="21"/>
              </w:rPr>
              <w:t>（%）</w:t>
            </w:r>
          </w:p>
        </w:tc>
        <w:tc>
          <w:tcPr>
            <w:tcW w:w="731" w:type="dxa"/>
            <w:vMerge w:val="restart"/>
            <w:vAlign w:val="center"/>
          </w:tcPr>
          <w:p w14:paraId="01E3B25B">
            <w:pPr>
              <w:jc w:val="center"/>
              <w:rPr>
                <w:rFonts w:ascii="宋体" w:hAnsi="宋体" w:cs="宋体"/>
                <w:sz w:val="18"/>
                <w:szCs w:val="21"/>
              </w:rPr>
            </w:pPr>
            <w:r>
              <w:rPr>
                <w:rFonts w:hint="eastAsia" w:ascii="宋体" w:hAnsi="宋体" w:cs="宋体"/>
                <w:sz w:val="18"/>
                <w:szCs w:val="21"/>
              </w:rPr>
              <w:t>低温弯折性</w:t>
            </w:r>
          </w:p>
          <w:p w14:paraId="6BC8A460">
            <w:pPr>
              <w:jc w:val="center"/>
              <w:rPr>
                <w:rFonts w:ascii="宋体" w:hAnsi="宋体" w:cs="宋体"/>
                <w:sz w:val="18"/>
                <w:szCs w:val="21"/>
              </w:rPr>
            </w:pPr>
            <w:r>
              <w:rPr>
                <w:rFonts w:hint="eastAsia" w:ascii="宋体" w:hAnsi="宋体" w:cs="宋体"/>
                <w:sz w:val="18"/>
                <w:szCs w:val="21"/>
              </w:rPr>
              <w:t>（℃）</w:t>
            </w:r>
          </w:p>
        </w:tc>
        <w:tc>
          <w:tcPr>
            <w:tcW w:w="821" w:type="dxa"/>
            <w:vMerge w:val="restart"/>
            <w:vAlign w:val="center"/>
          </w:tcPr>
          <w:p w14:paraId="4EE81E92">
            <w:pPr>
              <w:jc w:val="center"/>
              <w:rPr>
                <w:rFonts w:ascii="宋体" w:hAnsi="宋体" w:cs="宋体"/>
                <w:sz w:val="18"/>
                <w:szCs w:val="21"/>
              </w:rPr>
            </w:pPr>
            <w:r>
              <w:rPr>
                <w:rFonts w:hint="eastAsia" w:ascii="宋体" w:hAnsi="宋体" w:cs="宋体"/>
                <w:sz w:val="18"/>
                <w:szCs w:val="21"/>
              </w:rPr>
              <w:t>加热伸缩量（mm）</w:t>
            </w:r>
          </w:p>
        </w:tc>
        <w:tc>
          <w:tcPr>
            <w:tcW w:w="1277" w:type="dxa"/>
            <w:vMerge w:val="restart"/>
            <w:vAlign w:val="center"/>
          </w:tcPr>
          <w:p w14:paraId="26DE3B71">
            <w:pPr>
              <w:jc w:val="center"/>
              <w:rPr>
                <w:rFonts w:ascii="宋体" w:hAnsi="宋体" w:cs="宋体"/>
                <w:sz w:val="18"/>
                <w:szCs w:val="21"/>
              </w:rPr>
            </w:pPr>
            <w:r>
              <w:rPr>
                <w:rFonts w:hint="eastAsia" w:ascii="宋体" w:hAnsi="宋体" w:cs="宋体"/>
                <w:sz w:val="18"/>
                <w:szCs w:val="21"/>
              </w:rPr>
              <w:t>耐霉菌腐蚀性</w:t>
            </w:r>
          </w:p>
          <w:p w14:paraId="14177388">
            <w:pPr>
              <w:jc w:val="center"/>
              <w:rPr>
                <w:rFonts w:ascii="宋体" w:hAnsi="宋体" w:cs="宋体"/>
                <w:sz w:val="18"/>
                <w:szCs w:val="21"/>
              </w:rPr>
            </w:pPr>
            <w:r>
              <w:rPr>
                <w:rFonts w:hint="eastAsia" w:ascii="宋体" w:hAnsi="宋体" w:cs="宋体"/>
                <w:sz w:val="18"/>
                <w:szCs w:val="21"/>
              </w:rPr>
              <w:t>（防霉等级）</w:t>
            </w:r>
          </w:p>
        </w:tc>
        <w:tc>
          <w:tcPr>
            <w:tcW w:w="2362" w:type="dxa"/>
            <w:gridSpan w:val="2"/>
            <w:vAlign w:val="center"/>
          </w:tcPr>
          <w:p w14:paraId="52051ED2">
            <w:pPr>
              <w:jc w:val="center"/>
              <w:rPr>
                <w:rFonts w:ascii="宋体" w:hAnsi="宋体" w:cs="宋体"/>
                <w:sz w:val="18"/>
                <w:szCs w:val="21"/>
              </w:rPr>
            </w:pPr>
            <w:r>
              <w:rPr>
                <w:rFonts w:hint="eastAsia" w:ascii="宋体" w:hAnsi="宋体" w:cs="宋体"/>
                <w:sz w:val="18"/>
                <w:szCs w:val="21"/>
              </w:rPr>
              <w:t>接缝剥离强度</w:t>
            </w:r>
          </w:p>
        </w:tc>
        <w:tc>
          <w:tcPr>
            <w:tcW w:w="908" w:type="dxa"/>
            <w:vMerge w:val="continue"/>
            <w:vAlign w:val="center"/>
          </w:tcPr>
          <w:p w14:paraId="71EB2BCD">
            <w:pPr>
              <w:jc w:val="center"/>
              <w:rPr>
                <w:rFonts w:ascii="宋体" w:hAnsi="宋体" w:cs="宋体"/>
                <w:sz w:val="18"/>
                <w:szCs w:val="21"/>
              </w:rPr>
            </w:pPr>
          </w:p>
        </w:tc>
      </w:tr>
      <w:tr w14:paraId="5293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618" w:type="dxa"/>
            <w:vMerge w:val="continue"/>
            <w:vAlign w:val="center"/>
          </w:tcPr>
          <w:p w14:paraId="06E1DE35">
            <w:pPr>
              <w:jc w:val="center"/>
              <w:rPr>
                <w:rFonts w:ascii="宋体" w:hAnsi="宋体" w:cs="宋体"/>
                <w:sz w:val="18"/>
                <w:szCs w:val="21"/>
              </w:rPr>
            </w:pPr>
          </w:p>
        </w:tc>
        <w:tc>
          <w:tcPr>
            <w:tcW w:w="850" w:type="dxa"/>
            <w:vMerge w:val="continue"/>
            <w:vAlign w:val="center"/>
          </w:tcPr>
          <w:p w14:paraId="7A5B2BA1">
            <w:pPr>
              <w:jc w:val="center"/>
              <w:rPr>
                <w:rFonts w:ascii="宋体" w:hAnsi="宋体" w:cs="宋体"/>
                <w:sz w:val="18"/>
                <w:szCs w:val="21"/>
              </w:rPr>
            </w:pPr>
          </w:p>
        </w:tc>
        <w:tc>
          <w:tcPr>
            <w:tcW w:w="731" w:type="dxa"/>
            <w:vMerge w:val="continue"/>
            <w:vAlign w:val="center"/>
          </w:tcPr>
          <w:p w14:paraId="6DB9BD3D">
            <w:pPr>
              <w:jc w:val="center"/>
              <w:rPr>
                <w:rFonts w:ascii="宋体" w:hAnsi="宋体" w:cs="宋体"/>
                <w:sz w:val="18"/>
                <w:szCs w:val="21"/>
              </w:rPr>
            </w:pPr>
          </w:p>
        </w:tc>
        <w:tc>
          <w:tcPr>
            <w:tcW w:w="731" w:type="dxa"/>
            <w:vMerge w:val="continue"/>
            <w:vAlign w:val="center"/>
          </w:tcPr>
          <w:p w14:paraId="699BF5B4">
            <w:pPr>
              <w:jc w:val="center"/>
              <w:rPr>
                <w:rFonts w:ascii="宋体" w:hAnsi="宋体" w:cs="宋体"/>
                <w:sz w:val="18"/>
                <w:szCs w:val="21"/>
              </w:rPr>
            </w:pPr>
          </w:p>
        </w:tc>
        <w:tc>
          <w:tcPr>
            <w:tcW w:w="821" w:type="dxa"/>
            <w:vMerge w:val="continue"/>
            <w:vAlign w:val="center"/>
          </w:tcPr>
          <w:p w14:paraId="39181BD6">
            <w:pPr>
              <w:jc w:val="center"/>
              <w:rPr>
                <w:rFonts w:ascii="宋体" w:hAnsi="宋体" w:cs="宋体"/>
                <w:sz w:val="18"/>
                <w:szCs w:val="21"/>
              </w:rPr>
            </w:pPr>
          </w:p>
        </w:tc>
        <w:tc>
          <w:tcPr>
            <w:tcW w:w="1277" w:type="dxa"/>
            <w:vMerge w:val="continue"/>
            <w:vAlign w:val="center"/>
          </w:tcPr>
          <w:p w14:paraId="0E754A71">
            <w:pPr>
              <w:jc w:val="center"/>
              <w:rPr>
                <w:rFonts w:ascii="宋体" w:hAnsi="宋体" w:cs="宋体"/>
                <w:sz w:val="18"/>
                <w:szCs w:val="21"/>
              </w:rPr>
            </w:pPr>
          </w:p>
        </w:tc>
        <w:tc>
          <w:tcPr>
            <w:tcW w:w="1131" w:type="dxa"/>
            <w:vAlign w:val="center"/>
          </w:tcPr>
          <w:p w14:paraId="0EF5B625">
            <w:pPr>
              <w:jc w:val="center"/>
              <w:rPr>
                <w:rFonts w:ascii="宋体" w:hAnsi="宋体" w:cs="宋体"/>
                <w:sz w:val="18"/>
                <w:szCs w:val="21"/>
              </w:rPr>
            </w:pPr>
            <w:r>
              <w:rPr>
                <w:rFonts w:hint="eastAsia" w:ascii="宋体" w:hAnsi="宋体" w:cs="宋体"/>
                <w:sz w:val="18"/>
                <w:szCs w:val="21"/>
              </w:rPr>
              <w:t>无处理（N/mm）</w:t>
            </w:r>
          </w:p>
        </w:tc>
        <w:tc>
          <w:tcPr>
            <w:tcW w:w="1231" w:type="dxa"/>
            <w:vAlign w:val="center"/>
          </w:tcPr>
          <w:p w14:paraId="40C5F93F">
            <w:pPr>
              <w:jc w:val="center"/>
              <w:rPr>
                <w:rFonts w:ascii="宋体" w:hAnsi="宋体" w:cs="宋体"/>
                <w:sz w:val="18"/>
                <w:szCs w:val="21"/>
              </w:rPr>
            </w:pPr>
            <w:r>
              <w:rPr>
                <w:rFonts w:hint="eastAsia" w:ascii="宋体" w:hAnsi="宋体" w:cs="宋体"/>
                <w:sz w:val="18"/>
                <w:szCs w:val="21"/>
              </w:rPr>
              <w:t>热老化处理后保持率（%）</w:t>
            </w:r>
          </w:p>
        </w:tc>
        <w:tc>
          <w:tcPr>
            <w:tcW w:w="908" w:type="dxa"/>
            <w:vMerge w:val="continue"/>
            <w:vAlign w:val="center"/>
          </w:tcPr>
          <w:p w14:paraId="1D1516A3">
            <w:pPr>
              <w:jc w:val="center"/>
              <w:rPr>
                <w:rFonts w:ascii="宋体" w:hAnsi="宋体" w:cs="宋体"/>
                <w:sz w:val="18"/>
                <w:szCs w:val="21"/>
              </w:rPr>
            </w:pPr>
          </w:p>
        </w:tc>
      </w:tr>
      <w:tr w14:paraId="2672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618" w:type="dxa"/>
            <w:vAlign w:val="center"/>
          </w:tcPr>
          <w:p w14:paraId="2FC18EDB">
            <w:pPr>
              <w:rPr>
                <w:rFonts w:ascii="宋体" w:hAnsi="宋体" w:cs="宋体"/>
                <w:sz w:val="18"/>
                <w:szCs w:val="21"/>
              </w:rPr>
            </w:pPr>
            <w:r>
              <w:rPr>
                <w:rFonts w:hint="eastAsia" w:ascii="宋体" w:hAnsi="宋体" w:cs="宋体"/>
                <w:sz w:val="18"/>
                <w:szCs w:val="21"/>
              </w:rPr>
              <w:t>性能要求</w:t>
            </w:r>
          </w:p>
        </w:tc>
        <w:tc>
          <w:tcPr>
            <w:tcW w:w="850" w:type="dxa"/>
            <w:vAlign w:val="center"/>
          </w:tcPr>
          <w:p w14:paraId="28BC709C">
            <w:pPr>
              <w:jc w:val="center"/>
              <w:rPr>
                <w:rFonts w:ascii="宋体" w:hAnsi="宋体" w:cs="宋体"/>
                <w:sz w:val="18"/>
                <w:szCs w:val="21"/>
              </w:rPr>
            </w:pPr>
            <w:r>
              <w:rPr>
                <w:rFonts w:hint="eastAsia" w:ascii="宋体" w:hAnsi="宋体" w:cs="宋体"/>
                <w:sz w:val="18"/>
                <w:szCs w:val="21"/>
              </w:rPr>
              <w:t>≥7.5</w:t>
            </w:r>
          </w:p>
        </w:tc>
        <w:tc>
          <w:tcPr>
            <w:tcW w:w="731" w:type="dxa"/>
            <w:vAlign w:val="center"/>
          </w:tcPr>
          <w:p w14:paraId="7D77676D">
            <w:pPr>
              <w:jc w:val="center"/>
              <w:rPr>
                <w:rFonts w:ascii="宋体" w:hAnsi="宋体" w:cs="宋体"/>
                <w:sz w:val="18"/>
                <w:szCs w:val="21"/>
              </w:rPr>
            </w:pPr>
            <w:r>
              <w:rPr>
                <w:rFonts w:hint="eastAsia" w:ascii="宋体" w:hAnsi="宋体" w:cs="宋体"/>
                <w:sz w:val="18"/>
                <w:szCs w:val="21"/>
              </w:rPr>
              <w:t>≥450</w:t>
            </w:r>
          </w:p>
        </w:tc>
        <w:tc>
          <w:tcPr>
            <w:tcW w:w="731" w:type="dxa"/>
            <w:vAlign w:val="center"/>
          </w:tcPr>
          <w:p w14:paraId="4F8CF788">
            <w:pPr>
              <w:jc w:val="center"/>
              <w:rPr>
                <w:rFonts w:ascii="宋体" w:hAnsi="宋体" w:cs="宋体"/>
                <w:sz w:val="18"/>
                <w:szCs w:val="21"/>
              </w:rPr>
            </w:pPr>
            <w:r>
              <w:rPr>
                <w:rFonts w:hint="eastAsia" w:ascii="宋体" w:hAnsi="宋体" w:cs="宋体"/>
                <w:sz w:val="18"/>
                <w:szCs w:val="21"/>
              </w:rPr>
              <w:t>-40，无裂纹</w:t>
            </w:r>
          </w:p>
        </w:tc>
        <w:tc>
          <w:tcPr>
            <w:tcW w:w="821" w:type="dxa"/>
            <w:vAlign w:val="center"/>
          </w:tcPr>
          <w:p w14:paraId="7846C487">
            <w:pPr>
              <w:jc w:val="center"/>
            </w:pPr>
            <w:r>
              <w:rPr>
                <w:rFonts w:hint="eastAsia"/>
              </w:rPr>
              <w:t>+2，</w:t>
            </w:r>
            <w:r>
              <w:rPr>
                <w:rFonts w:hint="eastAsia" w:ascii="宋体" w:hAnsi="宋体" w:cs="宋体"/>
                <w:sz w:val="18"/>
                <w:szCs w:val="21"/>
              </w:rPr>
              <w:t>-4</w:t>
            </w:r>
          </w:p>
        </w:tc>
        <w:tc>
          <w:tcPr>
            <w:tcW w:w="1277" w:type="dxa"/>
            <w:vAlign w:val="center"/>
          </w:tcPr>
          <w:p w14:paraId="5ED496EF">
            <w:pPr>
              <w:jc w:val="center"/>
              <w:rPr>
                <w:rFonts w:ascii="宋体" w:hAnsi="宋体" w:cs="宋体"/>
                <w:sz w:val="18"/>
                <w:szCs w:val="21"/>
              </w:rPr>
            </w:pPr>
            <w:r>
              <w:rPr>
                <w:rFonts w:hint="eastAsia" w:ascii="宋体" w:hAnsi="宋体" w:cs="宋体"/>
                <w:sz w:val="18"/>
                <w:szCs w:val="21"/>
              </w:rPr>
              <w:t>0级或</w:t>
            </w:r>
          </w:p>
          <w:p w14:paraId="2A592B78">
            <w:pPr>
              <w:jc w:val="center"/>
              <w:rPr>
                <w:rFonts w:ascii="宋体" w:hAnsi="宋体" w:cs="宋体"/>
                <w:sz w:val="18"/>
                <w:szCs w:val="21"/>
              </w:rPr>
            </w:pPr>
            <w:r>
              <w:rPr>
                <w:rFonts w:hint="eastAsia" w:ascii="宋体" w:hAnsi="宋体" w:cs="宋体"/>
                <w:sz w:val="18"/>
                <w:szCs w:val="21"/>
              </w:rPr>
              <w:t>Ⅰ级</w:t>
            </w:r>
          </w:p>
        </w:tc>
        <w:tc>
          <w:tcPr>
            <w:tcW w:w="1131" w:type="dxa"/>
            <w:vAlign w:val="center"/>
          </w:tcPr>
          <w:p w14:paraId="77602762">
            <w:pPr>
              <w:jc w:val="center"/>
              <w:rPr>
                <w:rFonts w:ascii="宋体" w:hAnsi="宋体" w:cs="宋体"/>
                <w:sz w:val="18"/>
                <w:szCs w:val="21"/>
              </w:rPr>
            </w:pPr>
            <w:r>
              <w:rPr>
                <w:rFonts w:hint="eastAsia" w:ascii="宋体" w:hAnsi="宋体" w:cs="宋体"/>
                <w:sz w:val="18"/>
                <w:szCs w:val="21"/>
              </w:rPr>
              <w:t>≥1.5</w:t>
            </w:r>
          </w:p>
        </w:tc>
        <w:tc>
          <w:tcPr>
            <w:tcW w:w="1231" w:type="dxa"/>
            <w:vAlign w:val="center"/>
          </w:tcPr>
          <w:p w14:paraId="5E3D958A">
            <w:pPr>
              <w:jc w:val="center"/>
              <w:rPr>
                <w:rFonts w:ascii="宋体" w:hAnsi="宋体" w:cs="宋体"/>
                <w:sz w:val="18"/>
                <w:szCs w:val="21"/>
              </w:rPr>
            </w:pPr>
            <w:r>
              <w:rPr>
                <w:rFonts w:hint="eastAsia" w:ascii="宋体" w:hAnsi="宋体" w:cs="宋体"/>
                <w:sz w:val="18"/>
                <w:szCs w:val="21"/>
              </w:rPr>
              <w:t>≥80或卷材破坏</w:t>
            </w:r>
          </w:p>
        </w:tc>
        <w:tc>
          <w:tcPr>
            <w:tcW w:w="908" w:type="dxa"/>
            <w:vAlign w:val="center"/>
          </w:tcPr>
          <w:p w14:paraId="4BF6DFCD">
            <w:pPr>
              <w:jc w:val="center"/>
              <w:rPr>
                <w:rFonts w:ascii="宋体" w:hAnsi="宋体" w:cs="宋体"/>
                <w:sz w:val="18"/>
                <w:szCs w:val="21"/>
              </w:rPr>
            </w:pPr>
            <w:r>
              <w:rPr>
                <w:rFonts w:hint="eastAsia" w:ascii="宋体" w:hAnsi="宋体" w:cs="宋体"/>
                <w:sz w:val="18"/>
                <w:szCs w:val="21"/>
              </w:rPr>
              <w:t>通过</w:t>
            </w:r>
          </w:p>
        </w:tc>
      </w:tr>
    </w:tbl>
    <w:p w14:paraId="1B7F1EB5">
      <w:pPr>
        <w:spacing w:line="480" w:lineRule="exact"/>
        <w:jc w:val="center"/>
        <w:rPr>
          <w:rFonts w:ascii="宋体" w:hAnsi="宋体" w:cs="宋体"/>
        </w:rPr>
      </w:pPr>
      <w:r>
        <w:rPr>
          <w:rFonts w:hint="eastAsia" w:ascii="宋体" w:hAnsi="宋体" w:cs="宋体"/>
        </w:rPr>
        <w:t>表4.2.</w:t>
      </w:r>
      <w:r>
        <w:rPr>
          <w:rFonts w:ascii="宋体" w:hAnsi="宋体" w:cs="宋体"/>
        </w:rPr>
        <w:t>7</w:t>
      </w:r>
      <w:r>
        <w:rPr>
          <w:rFonts w:hint="eastAsia" w:ascii="宋体" w:hAnsi="宋体" w:cs="宋体"/>
        </w:rPr>
        <w:t>-1  三元乙丙橡胶防水卷材搭接胶带主要性能</w:t>
      </w:r>
    </w:p>
    <w:tbl>
      <w:tblPr>
        <w:tblStyle w:val="16"/>
        <w:tblW w:w="8296"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1239"/>
        <w:gridCol w:w="1078"/>
        <w:gridCol w:w="1299"/>
        <w:gridCol w:w="1140"/>
        <w:gridCol w:w="963"/>
        <w:gridCol w:w="1435"/>
      </w:tblGrid>
      <w:tr w14:paraId="2D3A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1151" w:type="dxa"/>
            <w:vAlign w:val="center"/>
          </w:tcPr>
          <w:p w14:paraId="160BD5DC">
            <w:pPr>
              <w:pStyle w:val="11"/>
              <w:jc w:val="center"/>
              <w:rPr>
                <w:rFonts w:ascii="宋体" w:hAnsi="宋体" w:cs="宋体"/>
                <w:sz w:val="18"/>
                <w:szCs w:val="21"/>
              </w:rPr>
            </w:pPr>
            <w:r>
              <w:rPr>
                <w:rFonts w:hint="eastAsia" w:ascii="宋体" w:hAnsi="宋体" w:cs="宋体"/>
                <w:sz w:val="18"/>
                <w:szCs w:val="21"/>
              </w:rPr>
              <w:t>项目</w:t>
            </w:r>
          </w:p>
        </w:tc>
        <w:tc>
          <w:tcPr>
            <w:tcW w:w="1239" w:type="dxa"/>
            <w:vAlign w:val="center"/>
          </w:tcPr>
          <w:p w14:paraId="1C52CDA8">
            <w:pPr>
              <w:pStyle w:val="11"/>
              <w:jc w:val="center"/>
              <w:rPr>
                <w:rFonts w:ascii="宋体" w:hAnsi="宋体" w:cs="宋体"/>
                <w:sz w:val="18"/>
                <w:szCs w:val="21"/>
              </w:rPr>
            </w:pPr>
            <w:r>
              <w:rPr>
                <w:rFonts w:hint="eastAsia" w:ascii="宋体" w:hAnsi="宋体" w:cs="宋体"/>
                <w:sz w:val="18"/>
                <w:szCs w:val="21"/>
              </w:rPr>
              <w:t>耐热性</w:t>
            </w:r>
          </w:p>
          <w:p w14:paraId="2FFAD710">
            <w:pPr>
              <w:pStyle w:val="11"/>
              <w:jc w:val="center"/>
              <w:rPr>
                <w:rFonts w:ascii="宋体" w:hAnsi="宋体" w:cs="宋体"/>
                <w:sz w:val="18"/>
                <w:szCs w:val="21"/>
              </w:rPr>
            </w:pPr>
            <w:r>
              <w:rPr>
                <w:rFonts w:hint="eastAsia" w:ascii="宋体" w:hAnsi="宋体" w:cs="宋体"/>
                <w:sz w:val="18"/>
                <w:szCs w:val="21"/>
              </w:rPr>
              <w:t>（8</w:t>
            </w:r>
            <w:r>
              <w:rPr>
                <w:rFonts w:ascii="宋体" w:hAnsi="宋体" w:cs="宋体"/>
                <w:sz w:val="18"/>
                <w:szCs w:val="21"/>
              </w:rPr>
              <w:t>0</w:t>
            </w:r>
            <w:r>
              <w:rPr>
                <w:rFonts w:hint="eastAsia" w:ascii="宋体" w:hAnsi="宋体" w:cs="宋体"/>
                <w:sz w:val="18"/>
                <w:szCs w:val="21"/>
              </w:rPr>
              <w:t>℃,2</w:t>
            </w:r>
            <w:r>
              <w:rPr>
                <w:rFonts w:ascii="宋体" w:hAnsi="宋体" w:cs="宋体"/>
                <w:sz w:val="18"/>
                <w:szCs w:val="21"/>
              </w:rPr>
              <w:t>h</w:t>
            </w:r>
            <w:r>
              <w:rPr>
                <w:rFonts w:hint="eastAsia" w:ascii="宋体" w:hAnsi="宋体" w:cs="宋体"/>
                <w:sz w:val="18"/>
                <w:szCs w:val="21"/>
              </w:rPr>
              <w:t>）</w:t>
            </w:r>
          </w:p>
        </w:tc>
        <w:tc>
          <w:tcPr>
            <w:tcW w:w="1079" w:type="dxa"/>
            <w:vAlign w:val="center"/>
          </w:tcPr>
          <w:p w14:paraId="462E461E">
            <w:pPr>
              <w:pStyle w:val="11"/>
              <w:jc w:val="center"/>
              <w:rPr>
                <w:rFonts w:ascii="宋体" w:hAnsi="宋体" w:cs="宋体"/>
                <w:sz w:val="18"/>
                <w:szCs w:val="21"/>
              </w:rPr>
            </w:pPr>
            <w:r>
              <w:rPr>
                <w:rFonts w:hint="eastAsia" w:ascii="宋体" w:hAnsi="宋体" w:cs="宋体"/>
                <w:sz w:val="18"/>
                <w:szCs w:val="21"/>
              </w:rPr>
              <w:t>低温柔性</w:t>
            </w:r>
          </w:p>
          <w:p w14:paraId="2B2E69CF">
            <w:pPr>
              <w:pStyle w:val="11"/>
              <w:jc w:val="center"/>
              <w:rPr>
                <w:rFonts w:ascii="宋体" w:hAnsi="宋体" w:cs="宋体"/>
                <w:sz w:val="18"/>
                <w:szCs w:val="21"/>
              </w:rPr>
            </w:pPr>
            <w:r>
              <w:rPr>
                <w:rFonts w:hint="eastAsia" w:ascii="宋体" w:hAnsi="宋体" w:cs="宋体"/>
                <w:sz w:val="18"/>
                <w:szCs w:val="21"/>
              </w:rPr>
              <w:t>（-40℃）</w:t>
            </w:r>
          </w:p>
        </w:tc>
        <w:tc>
          <w:tcPr>
            <w:tcW w:w="1304" w:type="dxa"/>
            <w:vAlign w:val="center"/>
          </w:tcPr>
          <w:p w14:paraId="292B8DE9">
            <w:pPr>
              <w:pStyle w:val="11"/>
              <w:jc w:val="center"/>
              <w:rPr>
                <w:rFonts w:ascii="宋体" w:hAnsi="宋体" w:cs="宋体"/>
                <w:sz w:val="18"/>
                <w:szCs w:val="21"/>
              </w:rPr>
            </w:pPr>
            <w:r>
              <w:rPr>
                <w:rFonts w:hint="eastAsia" w:ascii="宋体" w:hAnsi="宋体" w:cs="宋体"/>
                <w:sz w:val="18"/>
                <w:szCs w:val="21"/>
              </w:rPr>
              <w:t>剪切状态下粘合性（卷材）（N/mm）</w:t>
            </w:r>
          </w:p>
        </w:tc>
        <w:tc>
          <w:tcPr>
            <w:tcW w:w="1143" w:type="dxa"/>
            <w:vAlign w:val="center"/>
          </w:tcPr>
          <w:p w14:paraId="1A178D9C">
            <w:pPr>
              <w:pStyle w:val="11"/>
              <w:jc w:val="center"/>
              <w:rPr>
                <w:rFonts w:ascii="宋体" w:hAnsi="宋体" w:cs="宋体"/>
                <w:sz w:val="18"/>
                <w:szCs w:val="21"/>
              </w:rPr>
            </w:pPr>
            <w:r>
              <w:rPr>
                <w:rFonts w:hint="eastAsia" w:ascii="宋体" w:hAnsi="宋体" w:cs="宋体"/>
                <w:sz w:val="18"/>
                <w:szCs w:val="21"/>
              </w:rPr>
              <w:t>接缝剥离强度</w:t>
            </w:r>
          </w:p>
          <w:p w14:paraId="65EA422E">
            <w:pPr>
              <w:pStyle w:val="11"/>
              <w:jc w:val="center"/>
              <w:rPr>
                <w:rFonts w:ascii="宋体" w:hAnsi="宋体" w:cs="宋体"/>
                <w:sz w:val="18"/>
                <w:szCs w:val="21"/>
              </w:rPr>
            </w:pPr>
            <w:r>
              <w:rPr>
                <w:rFonts w:hint="eastAsia" w:ascii="宋体" w:hAnsi="宋体" w:cs="宋体"/>
                <w:sz w:val="18"/>
                <w:szCs w:val="21"/>
              </w:rPr>
              <w:t>（卷材）</w:t>
            </w:r>
          </w:p>
          <w:p w14:paraId="17981ECC">
            <w:pPr>
              <w:pStyle w:val="11"/>
              <w:jc w:val="center"/>
              <w:rPr>
                <w:rFonts w:ascii="宋体" w:hAnsi="宋体" w:cs="宋体"/>
                <w:sz w:val="18"/>
                <w:szCs w:val="21"/>
              </w:rPr>
            </w:pPr>
            <w:r>
              <w:rPr>
                <w:rFonts w:hint="eastAsia" w:ascii="宋体" w:hAnsi="宋体" w:cs="宋体"/>
                <w:sz w:val="18"/>
                <w:szCs w:val="21"/>
              </w:rPr>
              <w:t>（N/mm）</w:t>
            </w:r>
          </w:p>
        </w:tc>
        <w:tc>
          <w:tcPr>
            <w:tcW w:w="939" w:type="dxa"/>
            <w:vAlign w:val="center"/>
          </w:tcPr>
          <w:p w14:paraId="3031F9AB">
            <w:pPr>
              <w:pStyle w:val="11"/>
              <w:jc w:val="center"/>
              <w:rPr>
                <w:rFonts w:ascii="宋体" w:hAnsi="宋体" w:cs="宋体"/>
                <w:sz w:val="18"/>
                <w:szCs w:val="21"/>
              </w:rPr>
            </w:pPr>
            <w:r>
              <w:rPr>
                <w:rFonts w:hint="eastAsia" w:ascii="宋体" w:hAnsi="宋体" w:cs="宋体"/>
                <w:sz w:val="18"/>
                <w:szCs w:val="21"/>
              </w:rPr>
              <w:t>持粘性</w:t>
            </w:r>
          </w:p>
          <w:p w14:paraId="5E99BA91">
            <w:r>
              <w:rPr>
                <w:rFonts w:hint="eastAsia"/>
              </w:rPr>
              <w:t>（</w:t>
            </w:r>
            <w:r>
              <w:t>min</w:t>
            </w:r>
            <w:r>
              <w:rPr>
                <w:rFonts w:hint="eastAsia"/>
              </w:rPr>
              <w:t>）</w:t>
            </w:r>
          </w:p>
        </w:tc>
        <w:tc>
          <w:tcPr>
            <w:tcW w:w="1441" w:type="dxa"/>
            <w:vAlign w:val="center"/>
          </w:tcPr>
          <w:p w14:paraId="519F1182">
            <w:pPr>
              <w:pStyle w:val="11"/>
              <w:jc w:val="center"/>
              <w:rPr>
                <w:rFonts w:ascii="宋体" w:hAnsi="宋体" w:cs="宋体"/>
                <w:sz w:val="18"/>
                <w:szCs w:val="21"/>
              </w:rPr>
            </w:pPr>
            <w:r>
              <w:rPr>
                <w:rFonts w:hint="eastAsia" w:ascii="宋体" w:hAnsi="宋体" w:cs="宋体"/>
                <w:sz w:val="18"/>
                <w:szCs w:val="21"/>
              </w:rPr>
              <w:t>热处理剥离强度保持率</w:t>
            </w:r>
          </w:p>
          <w:p w14:paraId="534F3A1D">
            <w:pPr>
              <w:pStyle w:val="11"/>
              <w:jc w:val="center"/>
              <w:rPr>
                <w:rFonts w:ascii="宋体" w:hAnsi="宋体" w:cs="宋体"/>
                <w:sz w:val="18"/>
                <w:szCs w:val="21"/>
              </w:rPr>
            </w:pPr>
            <w:r>
              <w:rPr>
                <w:rFonts w:hint="eastAsia" w:ascii="宋体" w:hAnsi="宋体" w:cs="宋体"/>
                <w:sz w:val="18"/>
                <w:szCs w:val="21"/>
              </w:rPr>
              <w:t>（卷材）（80℃，168h）（%）</w:t>
            </w:r>
          </w:p>
        </w:tc>
      </w:tr>
      <w:tr w14:paraId="354E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151" w:type="dxa"/>
            <w:vAlign w:val="center"/>
          </w:tcPr>
          <w:p w14:paraId="363F65FA">
            <w:pPr>
              <w:pStyle w:val="11"/>
              <w:jc w:val="center"/>
              <w:rPr>
                <w:rFonts w:ascii="宋体" w:hAnsi="宋体" w:cs="宋体"/>
                <w:sz w:val="18"/>
                <w:szCs w:val="21"/>
              </w:rPr>
            </w:pPr>
            <w:r>
              <w:rPr>
                <w:rFonts w:hint="eastAsia" w:ascii="宋体" w:hAnsi="宋体" w:cs="宋体"/>
                <w:sz w:val="18"/>
                <w:szCs w:val="21"/>
              </w:rPr>
              <w:t>性能要求</w:t>
            </w:r>
          </w:p>
        </w:tc>
        <w:tc>
          <w:tcPr>
            <w:tcW w:w="1239" w:type="dxa"/>
            <w:vAlign w:val="center"/>
          </w:tcPr>
          <w:p w14:paraId="469A94C0">
            <w:pPr>
              <w:pStyle w:val="11"/>
              <w:ind w:firstLine="180" w:firstLineChars="100"/>
              <w:rPr>
                <w:rFonts w:ascii="宋体" w:hAnsi="宋体" w:cs="宋体"/>
                <w:sz w:val="18"/>
                <w:szCs w:val="21"/>
              </w:rPr>
            </w:pPr>
            <w:r>
              <w:rPr>
                <w:rFonts w:hint="eastAsia" w:ascii="宋体" w:hAnsi="宋体" w:cs="宋体"/>
                <w:sz w:val="18"/>
                <w:szCs w:val="21"/>
              </w:rPr>
              <w:t>无流淌</w:t>
            </w:r>
          </w:p>
          <w:p w14:paraId="73C7C5DA">
            <w:pPr>
              <w:pStyle w:val="11"/>
              <w:jc w:val="center"/>
              <w:rPr>
                <w:rFonts w:ascii="宋体" w:hAnsi="宋体" w:cs="宋体"/>
                <w:sz w:val="18"/>
                <w:szCs w:val="21"/>
              </w:rPr>
            </w:pPr>
            <w:r>
              <w:rPr>
                <w:rFonts w:hint="eastAsia" w:ascii="宋体" w:hAnsi="宋体" w:cs="宋体"/>
                <w:sz w:val="18"/>
                <w:szCs w:val="21"/>
              </w:rPr>
              <w:t>龟裂、变形</w:t>
            </w:r>
          </w:p>
        </w:tc>
        <w:tc>
          <w:tcPr>
            <w:tcW w:w="1079" w:type="dxa"/>
            <w:vAlign w:val="center"/>
          </w:tcPr>
          <w:p w14:paraId="53F9AAB7">
            <w:pPr>
              <w:pStyle w:val="11"/>
              <w:jc w:val="center"/>
              <w:rPr>
                <w:rFonts w:ascii="宋体" w:hAnsi="宋体" w:cs="宋体"/>
                <w:sz w:val="18"/>
                <w:szCs w:val="21"/>
              </w:rPr>
            </w:pPr>
            <w:r>
              <w:rPr>
                <w:rFonts w:hint="eastAsia" w:ascii="宋体" w:hAnsi="宋体" w:cs="宋体"/>
                <w:sz w:val="18"/>
                <w:szCs w:val="21"/>
              </w:rPr>
              <w:t>无裂纹</w:t>
            </w:r>
          </w:p>
        </w:tc>
        <w:tc>
          <w:tcPr>
            <w:tcW w:w="1304" w:type="dxa"/>
            <w:vAlign w:val="center"/>
          </w:tcPr>
          <w:p w14:paraId="672662C1">
            <w:pPr>
              <w:pStyle w:val="11"/>
              <w:jc w:val="center"/>
              <w:rPr>
                <w:rFonts w:ascii="宋体" w:hAnsi="宋体" w:cs="宋体"/>
                <w:sz w:val="18"/>
                <w:szCs w:val="21"/>
              </w:rPr>
            </w:pPr>
            <w:r>
              <w:rPr>
                <w:rFonts w:hint="eastAsia" w:ascii="宋体" w:hAnsi="宋体" w:cs="宋体"/>
                <w:sz w:val="18"/>
                <w:szCs w:val="21"/>
              </w:rPr>
              <w:t>≥2.0</w:t>
            </w:r>
          </w:p>
        </w:tc>
        <w:tc>
          <w:tcPr>
            <w:tcW w:w="1143" w:type="dxa"/>
            <w:vAlign w:val="center"/>
          </w:tcPr>
          <w:p w14:paraId="502D1373">
            <w:pPr>
              <w:pStyle w:val="11"/>
              <w:jc w:val="center"/>
              <w:rPr>
                <w:rFonts w:ascii="宋体" w:hAnsi="宋体" w:cs="宋体"/>
                <w:sz w:val="18"/>
                <w:szCs w:val="21"/>
              </w:rPr>
            </w:pPr>
            <w:r>
              <w:rPr>
                <w:rFonts w:hint="eastAsia" w:ascii="宋体" w:hAnsi="宋体" w:cs="宋体"/>
                <w:sz w:val="18"/>
                <w:szCs w:val="21"/>
              </w:rPr>
              <w:t>≥0.5</w:t>
            </w:r>
          </w:p>
        </w:tc>
        <w:tc>
          <w:tcPr>
            <w:tcW w:w="939" w:type="dxa"/>
            <w:vAlign w:val="center"/>
          </w:tcPr>
          <w:p w14:paraId="1FE81F1D">
            <w:pPr>
              <w:pStyle w:val="11"/>
              <w:jc w:val="center"/>
              <w:rPr>
                <w:rFonts w:ascii="宋体" w:hAnsi="宋体" w:cs="宋体"/>
                <w:sz w:val="18"/>
                <w:szCs w:val="21"/>
              </w:rPr>
            </w:pPr>
            <w:r>
              <w:rPr>
                <w:rFonts w:hint="eastAsia" w:ascii="宋体" w:hAnsi="宋体" w:cs="宋体"/>
                <w:sz w:val="18"/>
                <w:szCs w:val="21"/>
              </w:rPr>
              <w:t>≥20</w:t>
            </w:r>
          </w:p>
        </w:tc>
        <w:tc>
          <w:tcPr>
            <w:tcW w:w="1441" w:type="dxa"/>
            <w:vAlign w:val="center"/>
          </w:tcPr>
          <w:p w14:paraId="26762082">
            <w:pPr>
              <w:pStyle w:val="11"/>
              <w:ind w:firstLine="360" w:firstLineChars="200"/>
              <w:rPr>
                <w:rFonts w:ascii="宋体" w:hAnsi="宋体" w:cs="宋体"/>
                <w:sz w:val="18"/>
                <w:szCs w:val="21"/>
              </w:rPr>
            </w:pPr>
            <w:r>
              <w:rPr>
                <w:rFonts w:hint="eastAsia" w:ascii="宋体" w:hAnsi="宋体" w:cs="宋体"/>
                <w:sz w:val="18"/>
                <w:szCs w:val="21"/>
              </w:rPr>
              <w:t>≥80</w:t>
            </w:r>
          </w:p>
        </w:tc>
      </w:tr>
    </w:tbl>
    <w:p w14:paraId="51138EDC">
      <w:pPr>
        <w:spacing w:line="480" w:lineRule="exact"/>
        <w:jc w:val="center"/>
        <w:outlineLvl w:val="1"/>
      </w:pPr>
      <w:bookmarkStart w:id="27" w:name="_Toc13645"/>
      <w:r>
        <w:rPr>
          <w:rFonts w:hint="eastAsia" w:ascii="黑体" w:hAnsi="黑体" w:eastAsia="黑体" w:cs="黑体"/>
        </w:rPr>
        <w:t>4.3  塑料排（蓄）水材料</w:t>
      </w:r>
      <w:bookmarkEnd w:id="27"/>
    </w:p>
    <w:p w14:paraId="06942AAE">
      <w:pPr>
        <w:spacing w:line="480" w:lineRule="exact"/>
        <w:rPr>
          <w:rFonts w:ascii="宋体" w:hAnsi="宋体" w:cs="宋体"/>
        </w:rPr>
      </w:pPr>
      <w:r>
        <w:rPr>
          <w:rFonts w:hint="eastAsia" w:ascii="宋体" w:hAnsi="宋体" w:cs="宋体"/>
        </w:rPr>
        <w:t>4.3.1  凹凸型排（蓄）水板的凹凸高度不小于12mm，其主要物理性能应符合现行国家标准《高分子防水材料 第1部分：片材》GB</w:t>
      </w:r>
      <w:r>
        <w:rPr>
          <w:rFonts w:ascii="宋体" w:hAnsi="宋体" w:cs="宋体"/>
        </w:rPr>
        <w:t xml:space="preserve"> </w:t>
      </w:r>
      <w:r>
        <w:rPr>
          <w:rFonts w:hint="eastAsia" w:ascii="宋体" w:hAnsi="宋体" w:cs="宋体"/>
        </w:rPr>
        <w:t>18173.1中异形片及表4.3.1的要求。</w:t>
      </w:r>
    </w:p>
    <w:p w14:paraId="29A8BAC5">
      <w:pPr>
        <w:spacing w:line="480" w:lineRule="exact"/>
        <w:jc w:val="center"/>
        <w:rPr>
          <w:rFonts w:ascii="宋体" w:hAnsi="宋体" w:cs="宋体"/>
        </w:rPr>
      </w:pPr>
      <w:r>
        <w:rPr>
          <w:rFonts w:hint="eastAsia" w:ascii="宋体" w:hAnsi="宋体" w:cs="宋体"/>
        </w:rPr>
        <w:t>表4.3.1  凹凸型排（蓄）水板主要性能指标</w:t>
      </w:r>
    </w:p>
    <w:tbl>
      <w:tblPr>
        <w:tblStyle w:val="16"/>
        <w:tblW w:w="835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1139"/>
        <w:gridCol w:w="1139"/>
        <w:gridCol w:w="801"/>
        <w:gridCol w:w="986"/>
        <w:gridCol w:w="957"/>
        <w:gridCol w:w="822"/>
        <w:gridCol w:w="820"/>
        <w:gridCol w:w="1094"/>
      </w:tblGrid>
      <w:tr w14:paraId="1D29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598" w:type="dxa"/>
            <w:vMerge w:val="restart"/>
            <w:vAlign w:val="center"/>
          </w:tcPr>
          <w:p w14:paraId="126CAEE1">
            <w:pPr>
              <w:jc w:val="center"/>
              <w:rPr>
                <w:rFonts w:ascii="宋体" w:hAnsi="宋体" w:cs="宋体"/>
                <w:sz w:val="18"/>
                <w:szCs w:val="21"/>
              </w:rPr>
            </w:pPr>
            <w:r>
              <w:rPr>
                <w:rFonts w:hint="eastAsia" w:ascii="宋体" w:hAnsi="宋体" w:cs="宋体"/>
                <w:sz w:val="18"/>
                <w:szCs w:val="21"/>
              </w:rPr>
              <w:t>项目</w:t>
            </w:r>
          </w:p>
        </w:tc>
        <w:tc>
          <w:tcPr>
            <w:tcW w:w="1139" w:type="dxa"/>
            <w:vMerge w:val="restart"/>
            <w:vAlign w:val="center"/>
          </w:tcPr>
          <w:p w14:paraId="33F0136A">
            <w:pPr>
              <w:jc w:val="center"/>
              <w:rPr>
                <w:rFonts w:ascii="宋体" w:hAnsi="宋体" w:cs="宋体"/>
                <w:sz w:val="18"/>
                <w:szCs w:val="21"/>
              </w:rPr>
            </w:pPr>
            <w:r>
              <w:rPr>
                <w:rFonts w:hint="eastAsia" w:ascii="宋体" w:hAnsi="宋体" w:cs="宋体"/>
                <w:sz w:val="18"/>
                <w:szCs w:val="21"/>
              </w:rPr>
              <w:t>伸长率10%时拉力（N/100mm）</w:t>
            </w:r>
          </w:p>
        </w:tc>
        <w:tc>
          <w:tcPr>
            <w:tcW w:w="1139" w:type="dxa"/>
            <w:vMerge w:val="restart"/>
            <w:vAlign w:val="center"/>
          </w:tcPr>
          <w:p w14:paraId="7C183A32">
            <w:pPr>
              <w:jc w:val="center"/>
              <w:rPr>
                <w:rFonts w:ascii="宋体" w:hAnsi="宋体" w:cs="宋体"/>
                <w:sz w:val="18"/>
                <w:szCs w:val="21"/>
              </w:rPr>
            </w:pPr>
            <w:r>
              <w:rPr>
                <w:rFonts w:hint="eastAsia" w:ascii="宋体" w:hAnsi="宋体" w:cs="宋体"/>
                <w:sz w:val="18"/>
                <w:szCs w:val="21"/>
              </w:rPr>
              <w:t>最大拉力</w:t>
            </w:r>
          </w:p>
          <w:p w14:paraId="03EA8625">
            <w:pPr>
              <w:pStyle w:val="11"/>
              <w:jc w:val="center"/>
              <w:rPr>
                <w:rFonts w:ascii="宋体" w:hAnsi="宋体" w:cs="宋体"/>
                <w:sz w:val="18"/>
                <w:szCs w:val="21"/>
              </w:rPr>
            </w:pPr>
            <w:r>
              <w:rPr>
                <w:rFonts w:hint="eastAsia" w:ascii="宋体" w:hAnsi="宋体" w:cs="宋体"/>
                <w:sz w:val="18"/>
                <w:szCs w:val="21"/>
              </w:rPr>
              <w:t>（N/100mm）</w:t>
            </w:r>
          </w:p>
        </w:tc>
        <w:tc>
          <w:tcPr>
            <w:tcW w:w="801" w:type="dxa"/>
            <w:vMerge w:val="restart"/>
            <w:vAlign w:val="center"/>
          </w:tcPr>
          <w:p w14:paraId="27819A44">
            <w:pPr>
              <w:jc w:val="center"/>
              <w:rPr>
                <w:rFonts w:ascii="宋体" w:hAnsi="宋体" w:cs="宋体"/>
                <w:sz w:val="18"/>
                <w:szCs w:val="21"/>
              </w:rPr>
            </w:pPr>
            <w:r>
              <w:rPr>
                <w:rFonts w:hint="eastAsia" w:ascii="宋体" w:hAnsi="宋体" w:cs="宋体"/>
                <w:sz w:val="18"/>
                <w:szCs w:val="21"/>
              </w:rPr>
              <w:t>断裂伸长率</w:t>
            </w:r>
          </w:p>
          <w:p w14:paraId="45F746A3">
            <w:pPr>
              <w:pStyle w:val="11"/>
              <w:jc w:val="center"/>
              <w:rPr>
                <w:rFonts w:ascii="宋体" w:hAnsi="宋体" w:cs="宋体"/>
                <w:sz w:val="18"/>
                <w:szCs w:val="21"/>
              </w:rPr>
            </w:pPr>
            <w:r>
              <w:rPr>
                <w:rFonts w:hint="eastAsia" w:ascii="宋体" w:hAnsi="宋体" w:cs="宋体"/>
                <w:sz w:val="18"/>
                <w:szCs w:val="21"/>
              </w:rPr>
              <w:t>（%）</w:t>
            </w:r>
          </w:p>
        </w:tc>
        <w:tc>
          <w:tcPr>
            <w:tcW w:w="986" w:type="dxa"/>
            <w:vMerge w:val="restart"/>
            <w:vAlign w:val="center"/>
          </w:tcPr>
          <w:p w14:paraId="70CCBD52">
            <w:pPr>
              <w:jc w:val="center"/>
              <w:rPr>
                <w:rFonts w:ascii="宋体" w:hAnsi="宋体" w:cs="宋体"/>
                <w:sz w:val="18"/>
                <w:szCs w:val="21"/>
              </w:rPr>
            </w:pPr>
            <w:r>
              <w:rPr>
                <w:rFonts w:hint="eastAsia" w:ascii="宋体" w:hAnsi="宋体" w:cs="宋体"/>
                <w:sz w:val="18"/>
                <w:szCs w:val="21"/>
              </w:rPr>
              <w:t>撕裂性能</w:t>
            </w:r>
          </w:p>
          <w:p w14:paraId="37BC1552">
            <w:pPr>
              <w:pStyle w:val="11"/>
              <w:jc w:val="center"/>
              <w:rPr>
                <w:rFonts w:ascii="宋体" w:hAnsi="宋体" w:cs="宋体"/>
                <w:sz w:val="18"/>
                <w:szCs w:val="21"/>
              </w:rPr>
            </w:pPr>
            <w:r>
              <w:rPr>
                <w:rFonts w:hint="eastAsia" w:ascii="宋体" w:hAnsi="宋体" w:cs="宋体"/>
                <w:sz w:val="18"/>
                <w:szCs w:val="21"/>
              </w:rPr>
              <w:t>（N）</w:t>
            </w:r>
          </w:p>
        </w:tc>
        <w:tc>
          <w:tcPr>
            <w:tcW w:w="1779" w:type="dxa"/>
            <w:gridSpan w:val="2"/>
            <w:vAlign w:val="center"/>
          </w:tcPr>
          <w:p w14:paraId="4F1A3EA3">
            <w:pPr>
              <w:jc w:val="center"/>
              <w:rPr>
                <w:rFonts w:ascii="宋体" w:hAnsi="宋体" w:cs="宋体"/>
                <w:sz w:val="18"/>
                <w:szCs w:val="21"/>
              </w:rPr>
            </w:pPr>
            <w:r>
              <w:rPr>
                <w:rFonts w:hint="eastAsia" w:ascii="宋体" w:hAnsi="宋体" w:cs="宋体"/>
                <w:sz w:val="18"/>
                <w:szCs w:val="21"/>
              </w:rPr>
              <w:t>压缩性能</w:t>
            </w:r>
          </w:p>
        </w:tc>
        <w:tc>
          <w:tcPr>
            <w:tcW w:w="820" w:type="dxa"/>
            <w:vMerge w:val="restart"/>
            <w:vAlign w:val="center"/>
          </w:tcPr>
          <w:p w14:paraId="0A64C03C">
            <w:pPr>
              <w:jc w:val="center"/>
              <w:rPr>
                <w:rFonts w:ascii="宋体" w:hAnsi="宋体" w:cs="宋体"/>
                <w:sz w:val="18"/>
                <w:szCs w:val="21"/>
              </w:rPr>
            </w:pPr>
            <w:r>
              <w:rPr>
                <w:rFonts w:hint="eastAsia" w:ascii="宋体" w:hAnsi="宋体" w:cs="宋体"/>
                <w:sz w:val="18"/>
                <w:szCs w:val="21"/>
              </w:rPr>
              <w:t>低温柔度</w:t>
            </w:r>
          </w:p>
        </w:tc>
        <w:tc>
          <w:tcPr>
            <w:tcW w:w="1094" w:type="dxa"/>
            <w:vMerge w:val="restart"/>
            <w:vAlign w:val="center"/>
          </w:tcPr>
          <w:p w14:paraId="078DBCDF">
            <w:pPr>
              <w:jc w:val="center"/>
              <w:rPr>
                <w:rFonts w:ascii="宋体" w:hAnsi="宋体" w:cs="宋体"/>
                <w:sz w:val="18"/>
                <w:szCs w:val="21"/>
              </w:rPr>
            </w:pPr>
            <w:r>
              <w:rPr>
                <w:rFonts w:hint="eastAsia" w:ascii="宋体" w:hAnsi="宋体" w:cs="宋体"/>
                <w:sz w:val="18"/>
                <w:szCs w:val="21"/>
              </w:rPr>
              <w:t>纵向通水量（侧压力150kPa）</w:t>
            </w:r>
          </w:p>
          <w:p w14:paraId="56C4FFC9">
            <w:pPr>
              <w:pStyle w:val="11"/>
              <w:jc w:val="center"/>
              <w:rPr>
                <w:rFonts w:ascii="宋体" w:hAnsi="宋体" w:cs="宋体"/>
                <w:sz w:val="18"/>
                <w:szCs w:val="21"/>
              </w:rPr>
            </w:pPr>
            <w:r>
              <w:rPr>
                <w:rFonts w:hint="eastAsia" w:ascii="宋体" w:hAnsi="宋体" w:cs="宋体"/>
                <w:sz w:val="18"/>
                <w:szCs w:val="21"/>
              </w:rPr>
              <w:t>（cm</w:t>
            </w:r>
            <w:r>
              <w:rPr>
                <w:rFonts w:ascii="宋体" w:hAnsi="宋体" w:cs="宋体"/>
                <w:sz w:val="18"/>
                <w:szCs w:val="21"/>
                <w:vertAlign w:val="superscript"/>
              </w:rPr>
              <w:t>3</w:t>
            </w:r>
            <w:r>
              <w:rPr>
                <w:rFonts w:hint="eastAsia" w:ascii="宋体" w:hAnsi="宋体" w:cs="宋体"/>
                <w:sz w:val="18"/>
                <w:szCs w:val="21"/>
              </w:rPr>
              <w:t>/s）</w:t>
            </w:r>
          </w:p>
        </w:tc>
      </w:tr>
      <w:tr w14:paraId="0346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598" w:type="dxa"/>
            <w:vMerge w:val="continue"/>
            <w:vAlign w:val="center"/>
          </w:tcPr>
          <w:p w14:paraId="1375B6F8">
            <w:pPr>
              <w:jc w:val="center"/>
              <w:rPr>
                <w:rFonts w:ascii="宋体" w:hAnsi="宋体" w:cs="宋体"/>
                <w:sz w:val="18"/>
                <w:szCs w:val="21"/>
              </w:rPr>
            </w:pPr>
          </w:p>
        </w:tc>
        <w:tc>
          <w:tcPr>
            <w:tcW w:w="1139" w:type="dxa"/>
            <w:vMerge w:val="continue"/>
            <w:vAlign w:val="center"/>
          </w:tcPr>
          <w:p w14:paraId="77486C91">
            <w:pPr>
              <w:jc w:val="center"/>
              <w:rPr>
                <w:rFonts w:ascii="宋体" w:hAnsi="宋体" w:cs="宋体"/>
                <w:sz w:val="18"/>
                <w:szCs w:val="21"/>
              </w:rPr>
            </w:pPr>
          </w:p>
        </w:tc>
        <w:tc>
          <w:tcPr>
            <w:tcW w:w="1139" w:type="dxa"/>
            <w:vMerge w:val="continue"/>
            <w:vAlign w:val="center"/>
          </w:tcPr>
          <w:p w14:paraId="478586A4">
            <w:pPr>
              <w:jc w:val="center"/>
              <w:rPr>
                <w:rFonts w:ascii="宋体" w:hAnsi="宋体" w:cs="宋体"/>
                <w:sz w:val="18"/>
                <w:szCs w:val="21"/>
              </w:rPr>
            </w:pPr>
          </w:p>
        </w:tc>
        <w:tc>
          <w:tcPr>
            <w:tcW w:w="801" w:type="dxa"/>
            <w:vMerge w:val="continue"/>
            <w:vAlign w:val="center"/>
          </w:tcPr>
          <w:p w14:paraId="0F6581B8">
            <w:pPr>
              <w:jc w:val="center"/>
              <w:rPr>
                <w:rFonts w:ascii="宋体" w:hAnsi="宋体" w:cs="宋体"/>
                <w:sz w:val="18"/>
                <w:szCs w:val="21"/>
              </w:rPr>
            </w:pPr>
          </w:p>
        </w:tc>
        <w:tc>
          <w:tcPr>
            <w:tcW w:w="986" w:type="dxa"/>
            <w:vMerge w:val="continue"/>
            <w:vAlign w:val="center"/>
          </w:tcPr>
          <w:p w14:paraId="4B919333">
            <w:pPr>
              <w:jc w:val="center"/>
              <w:rPr>
                <w:rFonts w:ascii="宋体" w:hAnsi="宋体" w:cs="宋体"/>
                <w:sz w:val="18"/>
                <w:szCs w:val="21"/>
              </w:rPr>
            </w:pPr>
          </w:p>
        </w:tc>
        <w:tc>
          <w:tcPr>
            <w:tcW w:w="957" w:type="dxa"/>
            <w:vAlign w:val="center"/>
          </w:tcPr>
          <w:p w14:paraId="24BF0CDD">
            <w:pPr>
              <w:jc w:val="center"/>
              <w:rPr>
                <w:rFonts w:ascii="宋体" w:hAnsi="宋体" w:cs="宋体"/>
                <w:sz w:val="18"/>
                <w:szCs w:val="21"/>
              </w:rPr>
            </w:pPr>
            <w:r>
              <w:rPr>
                <w:rFonts w:hint="eastAsia" w:ascii="宋体" w:hAnsi="宋体" w:cs="宋体"/>
                <w:sz w:val="18"/>
                <w:szCs w:val="21"/>
              </w:rPr>
              <w:t>压缩率为20%时最大强度</w:t>
            </w:r>
          </w:p>
          <w:p w14:paraId="1D8C25F0">
            <w:pPr>
              <w:jc w:val="center"/>
              <w:rPr>
                <w:rFonts w:ascii="宋体" w:hAnsi="宋体" w:cs="宋体"/>
                <w:sz w:val="18"/>
                <w:szCs w:val="21"/>
              </w:rPr>
            </w:pPr>
            <w:r>
              <w:rPr>
                <w:rFonts w:hint="eastAsia" w:ascii="宋体" w:hAnsi="宋体" w:cs="宋体"/>
                <w:sz w:val="18"/>
                <w:szCs w:val="21"/>
              </w:rPr>
              <w:t>（kPa）</w:t>
            </w:r>
          </w:p>
        </w:tc>
        <w:tc>
          <w:tcPr>
            <w:tcW w:w="822" w:type="dxa"/>
            <w:vAlign w:val="center"/>
          </w:tcPr>
          <w:p w14:paraId="75843BE3">
            <w:pPr>
              <w:jc w:val="center"/>
              <w:rPr>
                <w:rFonts w:ascii="宋体" w:hAnsi="宋体" w:cs="宋体"/>
                <w:sz w:val="18"/>
                <w:szCs w:val="21"/>
              </w:rPr>
            </w:pPr>
            <w:r>
              <w:rPr>
                <w:rFonts w:hint="eastAsia" w:ascii="宋体" w:hAnsi="宋体" w:cs="宋体"/>
                <w:sz w:val="18"/>
                <w:szCs w:val="21"/>
              </w:rPr>
              <w:t>极限压缩现象</w:t>
            </w:r>
          </w:p>
        </w:tc>
        <w:tc>
          <w:tcPr>
            <w:tcW w:w="820" w:type="dxa"/>
            <w:vMerge w:val="continue"/>
            <w:vAlign w:val="center"/>
          </w:tcPr>
          <w:p w14:paraId="6C2B806C">
            <w:pPr>
              <w:jc w:val="center"/>
              <w:rPr>
                <w:rFonts w:ascii="宋体" w:hAnsi="宋体" w:cs="宋体"/>
                <w:sz w:val="18"/>
                <w:szCs w:val="21"/>
              </w:rPr>
            </w:pPr>
          </w:p>
        </w:tc>
        <w:tc>
          <w:tcPr>
            <w:tcW w:w="1094" w:type="dxa"/>
            <w:vMerge w:val="continue"/>
            <w:vAlign w:val="center"/>
          </w:tcPr>
          <w:p w14:paraId="1C18E5A0">
            <w:pPr>
              <w:pStyle w:val="11"/>
              <w:jc w:val="center"/>
              <w:rPr>
                <w:rFonts w:ascii="宋体" w:hAnsi="宋体" w:cs="宋体"/>
                <w:sz w:val="18"/>
                <w:szCs w:val="21"/>
              </w:rPr>
            </w:pPr>
          </w:p>
        </w:tc>
      </w:tr>
      <w:tr w14:paraId="56D4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598" w:type="dxa"/>
            <w:vAlign w:val="center"/>
          </w:tcPr>
          <w:p w14:paraId="02FA5CF7">
            <w:pPr>
              <w:jc w:val="center"/>
              <w:rPr>
                <w:rFonts w:ascii="宋体" w:hAnsi="宋体" w:cs="宋体"/>
                <w:sz w:val="18"/>
                <w:szCs w:val="21"/>
              </w:rPr>
            </w:pPr>
            <w:r>
              <w:rPr>
                <w:rFonts w:hint="eastAsia" w:ascii="宋体" w:hAnsi="宋体" w:cs="宋体"/>
                <w:sz w:val="18"/>
                <w:szCs w:val="21"/>
              </w:rPr>
              <w:t>性能要求</w:t>
            </w:r>
          </w:p>
        </w:tc>
        <w:tc>
          <w:tcPr>
            <w:tcW w:w="1139" w:type="dxa"/>
            <w:vAlign w:val="center"/>
          </w:tcPr>
          <w:p w14:paraId="0B117964">
            <w:pPr>
              <w:jc w:val="center"/>
              <w:rPr>
                <w:rFonts w:ascii="宋体" w:hAnsi="宋体" w:cs="宋体"/>
                <w:sz w:val="18"/>
                <w:szCs w:val="21"/>
              </w:rPr>
            </w:pPr>
            <w:r>
              <w:rPr>
                <w:rFonts w:hint="eastAsia" w:ascii="宋体" w:hAnsi="宋体" w:cs="宋体"/>
                <w:sz w:val="18"/>
                <w:szCs w:val="21"/>
              </w:rPr>
              <w:t>≥350</w:t>
            </w:r>
          </w:p>
        </w:tc>
        <w:tc>
          <w:tcPr>
            <w:tcW w:w="1139" w:type="dxa"/>
            <w:vAlign w:val="center"/>
          </w:tcPr>
          <w:p w14:paraId="7CBD77D4">
            <w:pPr>
              <w:jc w:val="center"/>
              <w:rPr>
                <w:rFonts w:ascii="宋体" w:hAnsi="宋体" w:cs="宋体"/>
                <w:sz w:val="18"/>
                <w:szCs w:val="21"/>
              </w:rPr>
            </w:pPr>
            <w:r>
              <w:rPr>
                <w:rFonts w:hint="eastAsia" w:ascii="宋体" w:hAnsi="宋体" w:cs="宋体"/>
                <w:sz w:val="18"/>
                <w:szCs w:val="21"/>
              </w:rPr>
              <w:t>≥600</w:t>
            </w:r>
          </w:p>
        </w:tc>
        <w:tc>
          <w:tcPr>
            <w:tcW w:w="801" w:type="dxa"/>
            <w:vAlign w:val="center"/>
          </w:tcPr>
          <w:p w14:paraId="7448080F">
            <w:pPr>
              <w:jc w:val="center"/>
              <w:rPr>
                <w:rFonts w:ascii="宋体" w:hAnsi="宋体" w:cs="宋体"/>
                <w:sz w:val="18"/>
                <w:szCs w:val="21"/>
              </w:rPr>
            </w:pPr>
            <w:r>
              <w:rPr>
                <w:rFonts w:hint="eastAsia" w:ascii="宋体" w:hAnsi="宋体" w:cs="宋体"/>
                <w:sz w:val="18"/>
                <w:szCs w:val="21"/>
              </w:rPr>
              <w:t>≥25</w:t>
            </w:r>
          </w:p>
        </w:tc>
        <w:tc>
          <w:tcPr>
            <w:tcW w:w="986" w:type="dxa"/>
            <w:vAlign w:val="center"/>
          </w:tcPr>
          <w:p w14:paraId="62003967">
            <w:pPr>
              <w:jc w:val="center"/>
              <w:rPr>
                <w:rFonts w:ascii="宋体" w:hAnsi="宋体" w:cs="宋体"/>
                <w:sz w:val="18"/>
                <w:szCs w:val="21"/>
              </w:rPr>
            </w:pPr>
            <w:r>
              <w:rPr>
                <w:rFonts w:hint="eastAsia" w:ascii="宋体" w:hAnsi="宋体" w:cs="宋体"/>
                <w:sz w:val="18"/>
                <w:szCs w:val="21"/>
              </w:rPr>
              <w:t>≥100</w:t>
            </w:r>
          </w:p>
        </w:tc>
        <w:tc>
          <w:tcPr>
            <w:tcW w:w="957" w:type="dxa"/>
            <w:vAlign w:val="center"/>
          </w:tcPr>
          <w:p w14:paraId="7D63DF80">
            <w:pPr>
              <w:jc w:val="center"/>
              <w:rPr>
                <w:rFonts w:ascii="宋体" w:hAnsi="宋体" w:cs="宋体"/>
                <w:sz w:val="18"/>
                <w:szCs w:val="21"/>
              </w:rPr>
            </w:pPr>
            <w:r>
              <w:rPr>
                <w:rFonts w:hint="eastAsia" w:ascii="宋体" w:hAnsi="宋体" w:cs="宋体"/>
                <w:sz w:val="18"/>
                <w:szCs w:val="21"/>
              </w:rPr>
              <w:t>≥150</w:t>
            </w:r>
          </w:p>
        </w:tc>
        <w:tc>
          <w:tcPr>
            <w:tcW w:w="822" w:type="dxa"/>
            <w:vAlign w:val="center"/>
          </w:tcPr>
          <w:p w14:paraId="6004714C">
            <w:pPr>
              <w:jc w:val="center"/>
              <w:rPr>
                <w:rFonts w:ascii="宋体" w:hAnsi="宋体" w:cs="宋体"/>
                <w:sz w:val="18"/>
                <w:szCs w:val="21"/>
              </w:rPr>
            </w:pPr>
            <w:r>
              <w:rPr>
                <w:rFonts w:hint="eastAsia" w:ascii="宋体" w:hAnsi="宋体" w:cs="宋体"/>
                <w:sz w:val="18"/>
                <w:szCs w:val="21"/>
              </w:rPr>
              <w:t>无破裂</w:t>
            </w:r>
          </w:p>
        </w:tc>
        <w:tc>
          <w:tcPr>
            <w:tcW w:w="820" w:type="dxa"/>
            <w:vAlign w:val="center"/>
          </w:tcPr>
          <w:p w14:paraId="75C21215">
            <w:pPr>
              <w:jc w:val="center"/>
              <w:rPr>
                <w:rFonts w:ascii="宋体" w:hAnsi="宋体" w:cs="宋体"/>
                <w:sz w:val="18"/>
                <w:szCs w:val="21"/>
              </w:rPr>
            </w:pPr>
            <w:r>
              <w:rPr>
                <w:rFonts w:hint="eastAsia" w:ascii="宋体" w:hAnsi="宋体" w:cs="宋体"/>
                <w:sz w:val="18"/>
                <w:szCs w:val="21"/>
              </w:rPr>
              <w:t>-10℃无破裂</w:t>
            </w:r>
          </w:p>
        </w:tc>
        <w:tc>
          <w:tcPr>
            <w:tcW w:w="1094" w:type="dxa"/>
            <w:vAlign w:val="center"/>
          </w:tcPr>
          <w:p w14:paraId="550970E8">
            <w:pPr>
              <w:jc w:val="center"/>
              <w:rPr>
                <w:rFonts w:ascii="宋体" w:hAnsi="宋体" w:cs="宋体"/>
                <w:sz w:val="18"/>
                <w:szCs w:val="21"/>
              </w:rPr>
            </w:pPr>
            <w:r>
              <w:rPr>
                <w:rFonts w:hint="eastAsia" w:ascii="宋体" w:hAnsi="宋体" w:cs="宋体"/>
                <w:sz w:val="18"/>
                <w:szCs w:val="21"/>
              </w:rPr>
              <w:t>≥10</w:t>
            </w:r>
          </w:p>
        </w:tc>
      </w:tr>
    </w:tbl>
    <w:p w14:paraId="458FC738">
      <w:pPr>
        <w:spacing w:line="480" w:lineRule="exact"/>
        <w:rPr>
          <w:rFonts w:ascii="宋体" w:hAnsi="宋体" w:cs="宋体"/>
        </w:rPr>
      </w:pPr>
      <w:r>
        <w:rPr>
          <w:rFonts w:hint="eastAsia" w:ascii="宋体" w:hAnsi="宋体" w:cs="宋体"/>
        </w:rPr>
        <w:t>4.3.2  凸台型排水板的主材厚度不应小于0.8mm，凸台高度不小于8 mm，其主要物理性能应符合现行行业标准《塑料防护排水板》JC/T 2112及表4.3.2的要求。</w:t>
      </w:r>
    </w:p>
    <w:p w14:paraId="296F8828">
      <w:pPr>
        <w:spacing w:line="480" w:lineRule="exact"/>
        <w:jc w:val="center"/>
        <w:rPr>
          <w:rFonts w:ascii="宋体" w:hAnsi="宋体" w:cs="宋体"/>
        </w:rPr>
      </w:pPr>
      <w:r>
        <w:rPr>
          <w:rFonts w:hint="eastAsia" w:ascii="宋体" w:hAnsi="宋体" w:cs="宋体"/>
        </w:rPr>
        <w:t>表4.3.2  凸台型排水板主要性能指标</w:t>
      </w:r>
    </w:p>
    <w:tbl>
      <w:tblPr>
        <w:tblStyle w:val="16"/>
        <w:tblW w:w="829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131"/>
        <w:gridCol w:w="1131"/>
        <w:gridCol w:w="795"/>
        <w:gridCol w:w="979"/>
        <w:gridCol w:w="950"/>
        <w:gridCol w:w="816"/>
        <w:gridCol w:w="814"/>
        <w:gridCol w:w="1086"/>
      </w:tblGrid>
      <w:tr w14:paraId="035E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restart"/>
            <w:vAlign w:val="center"/>
          </w:tcPr>
          <w:p w14:paraId="3DE393AC">
            <w:pPr>
              <w:jc w:val="center"/>
              <w:rPr>
                <w:rFonts w:ascii="宋体" w:hAnsi="宋体" w:cs="宋体"/>
                <w:sz w:val="18"/>
                <w:szCs w:val="21"/>
              </w:rPr>
            </w:pPr>
            <w:r>
              <w:rPr>
                <w:rFonts w:hint="eastAsia" w:ascii="宋体" w:hAnsi="宋体" w:cs="宋体"/>
                <w:sz w:val="18"/>
                <w:szCs w:val="21"/>
              </w:rPr>
              <w:t>项目</w:t>
            </w:r>
          </w:p>
        </w:tc>
        <w:tc>
          <w:tcPr>
            <w:tcW w:w="1131" w:type="dxa"/>
            <w:vMerge w:val="restart"/>
            <w:vAlign w:val="center"/>
          </w:tcPr>
          <w:p w14:paraId="28E339D3">
            <w:pPr>
              <w:jc w:val="center"/>
              <w:rPr>
                <w:rFonts w:ascii="宋体" w:hAnsi="宋体" w:cs="宋体"/>
                <w:sz w:val="18"/>
                <w:szCs w:val="21"/>
              </w:rPr>
            </w:pPr>
            <w:r>
              <w:rPr>
                <w:rFonts w:hint="eastAsia" w:ascii="宋体" w:hAnsi="宋体" w:cs="宋体"/>
                <w:sz w:val="18"/>
                <w:szCs w:val="21"/>
              </w:rPr>
              <w:t>伸长率10%时拉力（N/100mm）</w:t>
            </w:r>
          </w:p>
        </w:tc>
        <w:tc>
          <w:tcPr>
            <w:tcW w:w="1131" w:type="dxa"/>
            <w:vMerge w:val="restart"/>
            <w:vAlign w:val="center"/>
          </w:tcPr>
          <w:p w14:paraId="26A7C04A">
            <w:pPr>
              <w:jc w:val="center"/>
              <w:rPr>
                <w:rFonts w:ascii="宋体" w:hAnsi="宋体" w:cs="宋体"/>
                <w:sz w:val="18"/>
                <w:szCs w:val="21"/>
              </w:rPr>
            </w:pPr>
            <w:r>
              <w:rPr>
                <w:rFonts w:hint="eastAsia" w:ascii="宋体" w:hAnsi="宋体" w:cs="宋体"/>
                <w:sz w:val="18"/>
                <w:szCs w:val="21"/>
              </w:rPr>
              <w:t>最大拉力</w:t>
            </w:r>
          </w:p>
          <w:p w14:paraId="0AB1E0EC">
            <w:pPr>
              <w:pStyle w:val="11"/>
              <w:jc w:val="center"/>
              <w:rPr>
                <w:rFonts w:ascii="宋体" w:hAnsi="宋体" w:cs="宋体"/>
                <w:sz w:val="18"/>
                <w:szCs w:val="21"/>
              </w:rPr>
            </w:pPr>
            <w:r>
              <w:rPr>
                <w:rFonts w:hint="eastAsia" w:ascii="宋体" w:hAnsi="宋体" w:cs="宋体"/>
                <w:sz w:val="18"/>
                <w:szCs w:val="21"/>
              </w:rPr>
              <w:t>（N/100mm）</w:t>
            </w:r>
          </w:p>
        </w:tc>
        <w:tc>
          <w:tcPr>
            <w:tcW w:w="795" w:type="dxa"/>
            <w:vMerge w:val="restart"/>
            <w:vAlign w:val="center"/>
          </w:tcPr>
          <w:p w14:paraId="48E98A66">
            <w:pPr>
              <w:jc w:val="center"/>
              <w:rPr>
                <w:rFonts w:ascii="宋体" w:hAnsi="宋体" w:cs="宋体"/>
                <w:sz w:val="18"/>
                <w:szCs w:val="21"/>
              </w:rPr>
            </w:pPr>
            <w:r>
              <w:rPr>
                <w:rFonts w:hint="eastAsia" w:ascii="宋体" w:hAnsi="宋体" w:cs="宋体"/>
                <w:sz w:val="18"/>
                <w:szCs w:val="21"/>
              </w:rPr>
              <w:t>断裂伸长率</w:t>
            </w:r>
          </w:p>
          <w:p w14:paraId="645EE882">
            <w:pPr>
              <w:pStyle w:val="11"/>
              <w:jc w:val="center"/>
              <w:rPr>
                <w:rFonts w:ascii="宋体" w:hAnsi="宋体" w:cs="宋体"/>
                <w:sz w:val="18"/>
                <w:szCs w:val="21"/>
              </w:rPr>
            </w:pPr>
            <w:r>
              <w:rPr>
                <w:rFonts w:hint="eastAsia" w:ascii="宋体" w:hAnsi="宋体" w:cs="宋体"/>
                <w:sz w:val="18"/>
                <w:szCs w:val="21"/>
              </w:rPr>
              <w:t>（%）</w:t>
            </w:r>
          </w:p>
        </w:tc>
        <w:tc>
          <w:tcPr>
            <w:tcW w:w="979" w:type="dxa"/>
            <w:vMerge w:val="restart"/>
            <w:vAlign w:val="center"/>
          </w:tcPr>
          <w:p w14:paraId="2535E76D">
            <w:pPr>
              <w:jc w:val="center"/>
              <w:rPr>
                <w:rFonts w:ascii="宋体" w:hAnsi="宋体" w:cs="宋体"/>
                <w:sz w:val="18"/>
                <w:szCs w:val="21"/>
              </w:rPr>
            </w:pPr>
            <w:r>
              <w:rPr>
                <w:rFonts w:hint="eastAsia" w:ascii="宋体" w:hAnsi="宋体" w:cs="宋体"/>
                <w:sz w:val="18"/>
                <w:szCs w:val="21"/>
              </w:rPr>
              <w:t>撕裂性能</w:t>
            </w:r>
          </w:p>
          <w:p w14:paraId="39FF07B8">
            <w:pPr>
              <w:pStyle w:val="11"/>
              <w:jc w:val="center"/>
              <w:rPr>
                <w:rFonts w:ascii="宋体" w:hAnsi="宋体" w:cs="宋体"/>
                <w:sz w:val="18"/>
                <w:szCs w:val="21"/>
              </w:rPr>
            </w:pPr>
            <w:r>
              <w:rPr>
                <w:rFonts w:hint="eastAsia" w:ascii="宋体" w:hAnsi="宋体" w:cs="宋体"/>
                <w:sz w:val="18"/>
                <w:szCs w:val="21"/>
              </w:rPr>
              <w:t>（N）</w:t>
            </w:r>
          </w:p>
        </w:tc>
        <w:tc>
          <w:tcPr>
            <w:tcW w:w="1766" w:type="dxa"/>
            <w:gridSpan w:val="2"/>
            <w:vAlign w:val="center"/>
          </w:tcPr>
          <w:p w14:paraId="7465CFC1">
            <w:pPr>
              <w:jc w:val="center"/>
              <w:rPr>
                <w:rFonts w:ascii="宋体" w:hAnsi="宋体" w:cs="宋体"/>
                <w:sz w:val="18"/>
                <w:szCs w:val="21"/>
              </w:rPr>
            </w:pPr>
            <w:r>
              <w:rPr>
                <w:rFonts w:hint="eastAsia" w:ascii="宋体" w:hAnsi="宋体" w:cs="宋体"/>
                <w:sz w:val="18"/>
                <w:szCs w:val="21"/>
              </w:rPr>
              <w:t>压缩性能</w:t>
            </w:r>
          </w:p>
        </w:tc>
        <w:tc>
          <w:tcPr>
            <w:tcW w:w="814" w:type="dxa"/>
            <w:vMerge w:val="restart"/>
            <w:vAlign w:val="center"/>
          </w:tcPr>
          <w:p w14:paraId="3219D221">
            <w:pPr>
              <w:jc w:val="center"/>
              <w:rPr>
                <w:rFonts w:ascii="宋体" w:hAnsi="宋体" w:cs="宋体"/>
                <w:sz w:val="18"/>
                <w:szCs w:val="21"/>
              </w:rPr>
            </w:pPr>
            <w:r>
              <w:rPr>
                <w:rFonts w:hint="eastAsia" w:ascii="宋体" w:hAnsi="宋体" w:cs="宋体"/>
                <w:sz w:val="18"/>
                <w:szCs w:val="21"/>
              </w:rPr>
              <w:t>低温柔度</w:t>
            </w:r>
          </w:p>
        </w:tc>
        <w:tc>
          <w:tcPr>
            <w:tcW w:w="1086" w:type="dxa"/>
            <w:vMerge w:val="restart"/>
            <w:vAlign w:val="center"/>
          </w:tcPr>
          <w:p w14:paraId="69CE7348">
            <w:pPr>
              <w:jc w:val="center"/>
              <w:rPr>
                <w:rFonts w:ascii="宋体" w:hAnsi="宋体" w:cs="宋体"/>
                <w:sz w:val="18"/>
                <w:szCs w:val="21"/>
              </w:rPr>
            </w:pPr>
            <w:r>
              <w:rPr>
                <w:rFonts w:hint="eastAsia" w:ascii="宋体" w:hAnsi="宋体" w:cs="宋体"/>
                <w:sz w:val="18"/>
                <w:szCs w:val="21"/>
              </w:rPr>
              <w:t>纵向通水量（侧压力150kPa）</w:t>
            </w:r>
          </w:p>
          <w:p w14:paraId="44C16EEB">
            <w:pPr>
              <w:pStyle w:val="11"/>
              <w:jc w:val="center"/>
              <w:rPr>
                <w:rFonts w:ascii="宋体" w:hAnsi="宋体" w:cs="宋体"/>
                <w:sz w:val="18"/>
                <w:szCs w:val="21"/>
              </w:rPr>
            </w:pPr>
            <w:r>
              <w:rPr>
                <w:rFonts w:hint="eastAsia" w:ascii="宋体" w:hAnsi="宋体" w:cs="宋体"/>
                <w:sz w:val="18"/>
                <w:szCs w:val="21"/>
              </w:rPr>
              <w:t>（cm</w:t>
            </w:r>
            <w:r>
              <w:rPr>
                <w:rFonts w:ascii="宋体" w:hAnsi="宋体" w:cs="宋体"/>
                <w:sz w:val="18"/>
                <w:szCs w:val="21"/>
                <w:vertAlign w:val="superscript"/>
              </w:rPr>
              <w:t>3</w:t>
            </w:r>
            <w:r>
              <w:rPr>
                <w:rFonts w:hint="eastAsia" w:ascii="宋体" w:hAnsi="宋体" w:cs="宋体"/>
                <w:sz w:val="18"/>
                <w:szCs w:val="21"/>
              </w:rPr>
              <w:t>/s）</w:t>
            </w:r>
          </w:p>
        </w:tc>
      </w:tr>
      <w:tr w14:paraId="6A74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Merge w:val="continue"/>
            <w:vAlign w:val="center"/>
          </w:tcPr>
          <w:p w14:paraId="16EB96DA">
            <w:pPr>
              <w:jc w:val="center"/>
              <w:rPr>
                <w:rFonts w:ascii="宋体" w:hAnsi="宋体" w:cs="宋体"/>
                <w:sz w:val="18"/>
                <w:szCs w:val="21"/>
              </w:rPr>
            </w:pPr>
          </w:p>
        </w:tc>
        <w:tc>
          <w:tcPr>
            <w:tcW w:w="1131" w:type="dxa"/>
            <w:vMerge w:val="continue"/>
            <w:vAlign w:val="center"/>
          </w:tcPr>
          <w:p w14:paraId="7536C9A1">
            <w:pPr>
              <w:jc w:val="center"/>
              <w:rPr>
                <w:rFonts w:ascii="宋体" w:hAnsi="宋体" w:cs="宋体"/>
                <w:sz w:val="18"/>
                <w:szCs w:val="21"/>
              </w:rPr>
            </w:pPr>
          </w:p>
        </w:tc>
        <w:tc>
          <w:tcPr>
            <w:tcW w:w="1131" w:type="dxa"/>
            <w:vMerge w:val="continue"/>
            <w:vAlign w:val="center"/>
          </w:tcPr>
          <w:p w14:paraId="74D204D0">
            <w:pPr>
              <w:jc w:val="center"/>
              <w:rPr>
                <w:rFonts w:ascii="宋体" w:hAnsi="宋体" w:cs="宋体"/>
                <w:sz w:val="18"/>
                <w:szCs w:val="21"/>
              </w:rPr>
            </w:pPr>
          </w:p>
        </w:tc>
        <w:tc>
          <w:tcPr>
            <w:tcW w:w="795" w:type="dxa"/>
            <w:vMerge w:val="continue"/>
            <w:vAlign w:val="center"/>
          </w:tcPr>
          <w:p w14:paraId="23AAC5F5">
            <w:pPr>
              <w:jc w:val="center"/>
              <w:rPr>
                <w:rFonts w:ascii="宋体" w:hAnsi="宋体" w:cs="宋体"/>
                <w:sz w:val="18"/>
                <w:szCs w:val="21"/>
              </w:rPr>
            </w:pPr>
          </w:p>
        </w:tc>
        <w:tc>
          <w:tcPr>
            <w:tcW w:w="979" w:type="dxa"/>
            <w:vMerge w:val="continue"/>
            <w:vAlign w:val="center"/>
          </w:tcPr>
          <w:p w14:paraId="4703656F">
            <w:pPr>
              <w:jc w:val="center"/>
              <w:rPr>
                <w:rFonts w:ascii="宋体" w:hAnsi="宋体" w:cs="宋体"/>
                <w:sz w:val="18"/>
                <w:szCs w:val="21"/>
              </w:rPr>
            </w:pPr>
          </w:p>
        </w:tc>
        <w:tc>
          <w:tcPr>
            <w:tcW w:w="950" w:type="dxa"/>
            <w:vAlign w:val="center"/>
          </w:tcPr>
          <w:p w14:paraId="19D8540C">
            <w:pPr>
              <w:jc w:val="center"/>
              <w:rPr>
                <w:rFonts w:ascii="宋体" w:hAnsi="宋体" w:cs="宋体"/>
                <w:sz w:val="18"/>
                <w:szCs w:val="21"/>
              </w:rPr>
            </w:pPr>
            <w:r>
              <w:rPr>
                <w:rFonts w:hint="eastAsia" w:ascii="宋体" w:hAnsi="宋体" w:cs="宋体"/>
                <w:sz w:val="18"/>
                <w:szCs w:val="21"/>
              </w:rPr>
              <w:t>压缩率为20%时最大强度</w:t>
            </w:r>
          </w:p>
          <w:p w14:paraId="542B9665">
            <w:pPr>
              <w:jc w:val="center"/>
              <w:rPr>
                <w:rFonts w:ascii="宋体" w:hAnsi="宋体" w:cs="宋体"/>
                <w:sz w:val="18"/>
                <w:szCs w:val="21"/>
              </w:rPr>
            </w:pPr>
            <w:r>
              <w:rPr>
                <w:rFonts w:hint="eastAsia" w:ascii="宋体" w:hAnsi="宋体" w:cs="宋体"/>
                <w:sz w:val="18"/>
                <w:szCs w:val="21"/>
              </w:rPr>
              <w:t>（kPa）</w:t>
            </w:r>
          </w:p>
        </w:tc>
        <w:tc>
          <w:tcPr>
            <w:tcW w:w="816" w:type="dxa"/>
            <w:vAlign w:val="center"/>
          </w:tcPr>
          <w:p w14:paraId="548360B3">
            <w:pPr>
              <w:jc w:val="center"/>
              <w:rPr>
                <w:rFonts w:ascii="宋体" w:hAnsi="宋体" w:cs="宋体"/>
                <w:sz w:val="18"/>
                <w:szCs w:val="21"/>
              </w:rPr>
            </w:pPr>
            <w:r>
              <w:rPr>
                <w:rFonts w:hint="eastAsia" w:ascii="宋体" w:hAnsi="宋体" w:cs="宋体"/>
                <w:sz w:val="18"/>
                <w:szCs w:val="21"/>
              </w:rPr>
              <w:t>极限压缩现象</w:t>
            </w:r>
          </w:p>
        </w:tc>
        <w:tc>
          <w:tcPr>
            <w:tcW w:w="814" w:type="dxa"/>
            <w:vMerge w:val="continue"/>
            <w:vAlign w:val="center"/>
          </w:tcPr>
          <w:p w14:paraId="11174175">
            <w:pPr>
              <w:jc w:val="center"/>
              <w:rPr>
                <w:rFonts w:ascii="宋体" w:hAnsi="宋体" w:cs="宋体"/>
                <w:sz w:val="18"/>
                <w:szCs w:val="21"/>
              </w:rPr>
            </w:pPr>
          </w:p>
        </w:tc>
        <w:tc>
          <w:tcPr>
            <w:tcW w:w="1086" w:type="dxa"/>
            <w:vMerge w:val="continue"/>
            <w:vAlign w:val="center"/>
          </w:tcPr>
          <w:p w14:paraId="3E65D51F">
            <w:pPr>
              <w:pStyle w:val="11"/>
              <w:jc w:val="center"/>
              <w:rPr>
                <w:rFonts w:ascii="宋体" w:hAnsi="宋体" w:cs="宋体"/>
                <w:sz w:val="18"/>
                <w:szCs w:val="21"/>
              </w:rPr>
            </w:pPr>
          </w:p>
        </w:tc>
      </w:tr>
      <w:tr w14:paraId="3E2B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7FE6E208">
            <w:pPr>
              <w:jc w:val="center"/>
              <w:rPr>
                <w:rFonts w:ascii="宋体" w:hAnsi="宋体" w:cs="宋体"/>
                <w:sz w:val="18"/>
                <w:szCs w:val="21"/>
              </w:rPr>
            </w:pPr>
            <w:r>
              <w:rPr>
                <w:rFonts w:hint="eastAsia" w:ascii="宋体" w:hAnsi="宋体" w:cs="宋体"/>
                <w:sz w:val="18"/>
                <w:szCs w:val="21"/>
              </w:rPr>
              <w:t>性能要求</w:t>
            </w:r>
          </w:p>
        </w:tc>
        <w:tc>
          <w:tcPr>
            <w:tcW w:w="1131" w:type="dxa"/>
            <w:vAlign w:val="center"/>
          </w:tcPr>
          <w:p w14:paraId="1E230DC6">
            <w:pPr>
              <w:jc w:val="center"/>
              <w:rPr>
                <w:rFonts w:ascii="宋体" w:hAnsi="宋体" w:cs="宋体"/>
                <w:sz w:val="18"/>
                <w:szCs w:val="21"/>
              </w:rPr>
            </w:pPr>
            <w:r>
              <w:rPr>
                <w:rFonts w:hint="eastAsia" w:ascii="宋体" w:hAnsi="宋体" w:cs="宋体"/>
                <w:sz w:val="18"/>
                <w:szCs w:val="21"/>
              </w:rPr>
              <w:t>≥350</w:t>
            </w:r>
          </w:p>
        </w:tc>
        <w:tc>
          <w:tcPr>
            <w:tcW w:w="1131" w:type="dxa"/>
            <w:vAlign w:val="center"/>
          </w:tcPr>
          <w:p w14:paraId="757F43A2">
            <w:pPr>
              <w:jc w:val="center"/>
              <w:rPr>
                <w:rFonts w:ascii="宋体" w:hAnsi="宋体" w:cs="宋体"/>
                <w:sz w:val="18"/>
                <w:szCs w:val="21"/>
              </w:rPr>
            </w:pPr>
            <w:r>
              <w:rPr>
                <w:rFonts w:hint="eastAsia" w:ascii="宋体" w:hAnsi="宋体" w:cs="宋体"/>
                <w:sz w:val="18"/>
                <w:szCs w:val="21"/>
              </w:rPr>
              <w:t>≥600</w:t>
            </w:r>
          </w:p>
        </w:tc>
        <w:tc>
          <w:tcPr>
            <w:tcW w:w="795" w:type="dxa"/>
            <w:vAlign w:val="center"/>
          </w:tcPr>
          <w:p w14:paraId="7006043A">
            <w:pPr>
              <w:jc w:val="center"/>
              <w:rPr>
                <w:rFonts w:ascii="宋体" w:hAnsi="宋体" w:cs="宋体"/>
                <w:sz w:val="18"/>
                <w:szCs w:val="21"/>
              </w:rPr>
            </w:pPr>
            <w:r>
              <w:rPr>
                <w:rFonts w:hint="eastAsia" w:ascii="宋体" w:hAnsi="宋体" w:cs="宋体"/>
                <w:sz w:val="18"/>
                <w:szCs w:val="21"/>
              </w:rPr>
              <w:t>≥25</w:t>
            </w:r>
          </w:p>
        </w:tc>
        <w:tc>
          <w:tcPr>
            <w:tcW w:w="979" w:type="dxa"/>
            <w:vAlign w:val="center"/>
          </w:tcPr>
          <w:p w14:paraId="302EDDE3">
            <w:pPr>
              <w:jc w:val="center"/>
              <w:rPr>
                <w:rFonts w:ascii="宋体" w:hAnsi="宋体" w:cs="宋体"/>
                <w:sz w:val="18"/>
                <w:szCs w:val="21"/>
              </w:rPr>
            </w:pPr>
            <w:r>
              <w:rPr>
                <w:rFonts w:hint="eastAsia" w:ascii="宋体" w:hAnsi="宋体" w:cs="宋体"/>
                <w:sz w:val="18"/>
                <w:szCs w:val="21"/>
              </w:rPr>
              <w:t>≥100</w:t>
            </w:r>
          </w:p>
        </w:tc>
        <w:tc>
          <w:tcPr>
            <w:tcW w:w="950" w:type="dxa"/>
            <w:vAlign w:val="center"/>
          </w:tcPr>
          <w:p w14:paraId="78A265A3">
            <w:pPr>
              <w:jc w:val="center"/>
              <w:rPr>
                <w:rFonts w:ascii="宋体" w:hAnsi="宋体" w:cs="宋体"/>
                <w:sz w:val="18"/>
                <w:szCs w:val="21"/>
              </w:rPr>
            </w:pPr>
            <w:r>
              <w:rPr>
                <w:rFonts w:hint="eastAsia" w:ascii="宋体" w:hAnsi="宋体" w:cs="宋体"/>
                <w:sz w:val="18"/>
                <w:szCs w:val="21"/>
              </w:rPr>
              <w:t>≥150</w:t>
            </w:r>
          </w:p>
        </w:tc>
        <w:tc>
          <w:tcPr>
            <w:tcW w:w="816" w:type="dxa"/>
            <w:vAlign w:val="center"/>
          </w:tcPr>
          <w:p w14:paraId="177F39BE">
            <w:pPr>
              <w:jc w:val="center"/>
              <w:rPr>
                <w:rFonts w:ascii="宋体" w:hAnsi="宋体" w:cs="宋体"/>
                <w:sz w:val="18"/>
                <w:szCs w:val="21"/>
              </w:rPr>
            </w:pPr>
            <w:r>
              <w:rPr>
                <w:rFonts w:hint="eastAsia" w:ascii="宋体" w:hAnsi="宋体" w:cs="宋体"/>
                <w:sz w:val="18"/>
                <w:szCs w:val="21"/>
              </w:rPr>
              <w:t>无破裂</w:t>
            </w:r>
          </w:p>
        </w:tc>
        <w:tc>
          <w:tcPr>
            <w:tcW w:w="814" w:type="dxa"/>
            <w:vAlign w:val="center"/>
          </w:tcPr>
          <w:p w14:paraId="2F1048E8">
            <w:pPr>
              <w:jc w:val="center"/>
              <w:rPr>
                <w:rFonts w:ascii="宋体" w:hAnsi="宋体" w:cs="宋体"/>
                <w:sz w:val="18"/>
                <w:szCs w:val="21"/>
              </w:rPr>
            </w:pPr>
            <w:r>
              <w:rPr>
                <w:rFonts w:hint="eastAsia" w:ascii="宋体" w:hAnsi="宋体" w:cs="宋体"/>
                <w:sz w:val="18"/>
                <w:szCs w:val="21"/>
              </w:rPr>
              <w:t>-10℃无破裂</w:t>
            </w:r>
          </w:p>
        </w:tc>
        <w:tc>
          <w:tcPr>
            <w:tcW w:w="1086" w:type="dxa"/>
            <w:vAlign w:val="center"/>
          </w:tcPr>
          <w:p w14:paraId="38FB6440">
            <w:pPr>
              <w:jc w:val="center"/>
              <w:rPr>
                <w:rFonts w:ascii="宋体" w:hAnsi="宋体" w:cs="宋体"/>
                <w:sz w:val="18"/>
                <w:szCs w:val="21"/>
              </w:rPr>
            </w:pPr>
            <w:r>
              <w:rPr>
                <w:rFonts w:hint="eastAsia" w:ascii="宋体" w:hAnsi="宋体" w:cs="宋体"/>
                <w:sz w:val="18"/>
                <w:szCs w:val="21"/>
              </w:rPr>
              <w:t>≥10</w:t>
            </w:r>
          </w:p>
        </w:tc>
      </w:tr>
    </w:tbl>
    <w:p w14:paraId="2121D66D">
      <w:pPr>
        <w:spacing w:line="480" w:lineRule="exact"/>
        <w:rPr>
          <w:rFonts w:ascii="宋体" w:hAnsi="宋体" w:cs="宋体"/>
        </w:rPr>
      </w:pPr>
      <w:r>
        <w:rPr>
          <w:rFonts w:hint="eastAsia" w:ascii="宋体" w:hAnsi="宋体" w:cs="宋体"/>
        </w:rPr>
        <w:t>4.3.3  网状结构排水板的厚度不小于20mm，其主要物理性能应符合表4.3.3的要求。</w:t>
      </w:r>
    </w:p>
    <w:p w14:paraId="635871A7">
      <w:pPr>
        <w:spacing w:line="480" w:lineRule="exact"/>
        <w:jc w:val="center"/>
        <w:rPr>
          <w:rFonts w:ascii="宋体" w:hAnsi="宋体" w:cs="宋体"/>
        </w:rPr>
      </w:pPr>
      <w:r>
        <w:rPr>
          <w:rFonts w:hint="eastAsia" w:ascii="宋体" w:hAnsi="宋体" w:cs="宋体"/>
        </w:rPr>
        <w:t>表4.3.3  网状结构排水板主要性能指标</w:t>
      </w:r>
    </w:p>
    <w:tbl>
      <w:tblPr>
        <w:tblStyle w:val="16"/>
        <w:tblW w:w="8330"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680"/>
        <w:gridCol w:w="1490"/>
        <w:gridCol w:w="1310"/>
        <w:gridCol w:w="1440"/>
        <w:gridCol w:w="1280"/>
      </w:tblGrid>
      <w:tr w14:paraId="514B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14:paraId="36CBD688">
            <w:pPr>
              <w:spacing w:line="480" w:lineRule="exact"/>
              <w:jc w:val="center"/>
              <w:rPr>
                <w:rFonts w:ascii="宋体" w:hAnsi="宋体" w:cs="宋体"/>
                <w:sz w:val="18"/>
                <w:szCs w:val="21"/>
              </w:rPr>
            </w:pPr>
            <w:r>
              <w:rPr>
                <w:rFonts w:hint="eastAsia" w:ascii="宋体" w:hAnsi="宋体" w:cs="宋体"/>
                <w:sz w:val="18"/>
                <w:szCs w:val="21"/>
              </w:rPr>
              <w:t>项目</w:t>
            </w:r>
          </w:p>
        </w:tc>
        <w:tc>
          <w:tcPr>
            <w:tcW w:w="1680" w:type="dxa"/>
            <w:vAlign w:val="center"/>
          </w:tcPr>
          <w:p w14:paraId="7F899CC2">
            <w:pPr>
              <w:spacing w:line="480" w:lineRule="exact"/>
              <w:jc w:val="center"/>
              <w:rPr>
                <w:sz w:val="18"/>
                <w:szCs w:val="21"/>
              </w:rPr>
            </w:pPr>
            <w:r>
              <w:rPr>
                <w:rFonts w:hint="eastAsia"/>
                <w:sz w:val="18"/>
                <w:szCs w:val="21"/>
              </w:rPr>
              <w:t>抗压强度</w:t>
            </w:r>
          </w:p>
          <w:p w14:paraId="0200C7AE">
            <w:pPr>
              <w:pStyle w:val="11"/>
              <w:jc w:val="center"/>
              <w:rPr>
                <w:sz w:val="18"/>
                <w:szCs w:val="21"/>
              </w:rPr>
            </w:pPr>
            <w:r>
              <w:rPr>
                <w:rFonts w:hint="eastAsia" w:ascii="宋体" w:hAnsi="宋体" w:cs="宋体"/>
                <w:sz w:val="18"/>
                <w:szCs w:val="21"/>
              </w:rPr>
              <w:t>（kN/㎡）</w:t>
            </w:r>
          </w:p>
        </w:tc>
        <w:tc>
          <w:tcPr>
            <w:tcW w:w="1490" w:type="dxa"/>
            <w:vAlign w:val="center"/>
          </w:tcPr>
          <w:p w14:paraId="2D18C145">
            <w:pPr>
              <w:spacing w:line="480" w:lineRule="exact"/>
              <w:jc w:val="center"/>
              <w:rPr>
                <w:sz w:val="18"/>
                <w:szCs w:val="21"/>
              </w:rPr>
            </w:pPr>
            <w:r>
              <w:rPr>
                <w:rFonts w:hint="eastAsia"/>
                <w:sz w:val="18"/>
                <w:szCs w:val="21"/>
              </w:rPr>
              <w:t>表面开孔率</w:t>
            </w:r>
          </w:p>
          <w:p w14:paraId="4C9AEF80">
            <w:pPr>
              <w:pStyle w:val="11"/>
              <w:jc w:val="center"/>
              <w:rPr>
                <w:sz w:val="18"/>
                <w:szCs w:val="21"/>
              </w:rPr>
            </w:pPr>
            <w:r>
              <w:rPr>
                <w:rFonts w:hint="eastAsia" w:ascii="宋体" w:hAnsi="宋体" w:cs="宋体"/>
                <w:sz w:val="18"/>
                <w:szCs w:val="21"/>
              </w:rPr>
              <w:t>（%）</w:t>
            </w:r>
          </w:p>
        </w:tc>
        <w:tc>
          <w:tcPr>
            <w:tcW w:w="1310" w:type="dxa"/>
            <w:vAlign w:val="center"/>
          </w:tcPr>
          <w:p w14:paraId="71B9E757">
            <w:pPr>
              <w:spacing w:line="480" w:lineRule="exact"/>
              <w:jc w:val="center"/>
              <w:rPr>
                <w:sz w:val="18"/>
                <w:szCs w:val="21"/>
              </w:rPr>
            </w:pPr>
            <w:r>
              <w:rPr>
                <w:rFonts w:hint="eastAsia"/>
                <w:sz w:val="18"/>
                <w:szCs w:val="21"/>
              </w:rPr>
              <w:t>空隙率</w:t>
            </w:r>
          </w:p>
          <w:p w14:paraId="7A42A8A9">
            <w:pPr>
              <w:pStyle w:val="11"/>
              <w:jc w:val="center"/>
              <w:rPr>
                <w:sz w:val="18"/>
                <w:szCs w:val="21"/>
              </w:rPr>
            </w:pPr>
            <w:r>
              <w:rPr>
                <w:rFonts w:hint="eastAsia" w:ascii="宋体" w:hAnsi="宋体" w:cs="宋体"/>
                <w:sz w:val="18"/>
                <w:szCs w:val="21"/>
              </w:rPr>
              <w:t>（%）</w:t>
            </w:r>
          </w:p>
        </w:tc>
        <w:tc>
          <w:tcPr>
            <w:tcW w:w="1440" w:type="dxa"/>
            <w:vAlign w:val="center"/>
          </w:tcPr>
          <w:p w14:paraId="3AD040CB">
            <w:pPr>
              <w:spacing w:line="480" w:lineRule="exact"/>
              <w:jc w:val="center"/>
              <w:rPr>
                <w:sz w:val="18"/>
                <w:szCs w:val="21"/>
              </w:rPr>
            </w:pPr>
            <w:r>
              <w:rPr>
                <w:rFonts w:hint="eastAsia"/>
                <w:sz w:val="18"/>
                <w:szCs w:val="21"/>
              </w:rPr>
              <w:t>通水量</w:t>
            </w:r>
          </w:p>
          <w:p w14:paraId="3E55DE9C">
            <w:pPr>
              <w:pStyle w:val="11"/>
              <w:jc w:val="center"/>
              <w:rPr>
                <w:sz w:val="18"/>
                <w:szCs w:val="21"/>
              </w:rPr>
            </w:pPr>
            <w:r>
              <w:rPr>
                <w:rFonts w:hint="eastAsia" w:ascii="宋体" w:hAnsi="宋体" w:cs="宋体"/>
                <w:sz w:val="18"/>
                <w:szCs w:val="21"/>
              </w:rPr>
              <w:t>（cm³/s）</w:t>
            </w:r>
          </w:p>
        </w:tc>
        <w:tc>
          <w:tcPr>
            <w:tcW w:w="1280" w:type="dxa"/>
            <w:vAlign w:val="center"/>
          </w:tcPr>
          <w:p w14:paraId="2F2F592F">
            <w:pPr>
              <w:pStyle w:val="11"/>
              <w:jc w:val="center"/>
              <w:rPr>
                <w:rFonts w:ascii="宋体" w:hAnsi="宋体" w:cs="宋体"/>
                <w:sz w:val="18"/>
                <w:szCs w:val="21"/>
              </w:rPr>
            </w:pPr>
            <w:r>
              <w:rPr>
                <w:rFonts w:hint="eastAsia" w:ascii="宋体" w:hAnsi="宋体" w:cs="宋体"/>
                <w:sz w:val="18"/>
                <w:szCs w:val="21"/>
              </w:rPr>
              <w:t>耐酸碱性</w:t>
            </w:r>
          </w:p>
        </w:tc>
      </w:tr>
      <w:tr w14:paraId="1DDE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14:paraId="25375067">
            <w:pPr>
              <w:spacing w:line="480" w:lineRule="exact"/>
              <w:jc w:val="center"/>
              <w:rPr>
                <w:rFonts w:ascii="宋体" w:hAnsi="宋体" w:cs="宋体"/>
                <w:sz w:val="18"/>
                <w:szCs w:val="21"/>
              </w:rPr>
            </w:pPr>
            <w:r>
              <w:rPr>
                <w:rFonts w:hint="eastAsia" w:ascii="宋体" w:hAnsi="宋体" w:cs="宋体"/>
                <w:sz w:val="18"/>
                <w:szCs w:val="21"/>
              </w:rPr>
              <w:t>性能要求</w:t>
            </w:r>
          </w:p>
        </w:tc>
        <w:tc>
          <w:tcPr>
            <w:tcW w:w="1680" w:type="dxa"/>
            <w:vAlign w:val="center"/>
          </w:tcPr>
          <w:p w14:paraId="2E17D247">
            <w:pPr>
              <w:spacing w:line="480" w:lineRule="exact"/>
              <w:jc w:val="center"/>
              <w:rPr>
                <w:rFonts w:ascii="宋体" w:hAnsi="宋体" w:cs="宋体"/>
                <w:sz w:val="18"/>
                <w:szCs w:val="21"/>
              </w:rPr>
            </w:pPr>
            <w:r>
              <w:rPr>
                <w:rFonts w:hint="eastAsia" w:ascii="宋体" w:hAnsi="宋体" w:cs="宋体"/>
                <w:sz w:val="18"/>
                <w:szCs w:val="21"/>
              </w:rPr>
              <w:t>≥50</w:t>
            </w:r>
          </w:p>
        </w:tc>
        <w:tc>
          <w:tcPr>
            <w:tcW w:w="1490" w:type="dxa"/>
            <w:vAlign w:val="center"/>
          </w:tcPr>
          <w:p w14:paraId="2CF0D3C2">
            <w:pPr>
              <w:spacing w:line="480" w:lineRule="exact"/>
              <w:jc w:val="center"/>
              <w:rPr>
                <w:rFonts w:ascii="宋体" w:hAnsi="宋体" w:cs="宋体"/>
                <w:sz w:val="18"/>
                <w:szCs w:val="21"/>
              </w:rPr>
            </w:pPr>
            <w:r>
              <w:rPr>
                <w:rFonts w:hint="eastAsia" w:ascii="宋体" w:hAnsi="宋体" w:cs="宋体"/>
                <w:sz w:val="18"/>
                <w:szCs w:val="21"/>
              </w:rPr>
              <w:t>≥95</w:t>
            </w:r>
          </w:p>
        </w:tc>
        <w:tc>
          <w:tcPr>
            <w:tcW w:w="1310" w:type="dxa"/>
            <w:vAlign w:val="center"/>
          </w:tcPr>
          <w:p w14:paraId="67E68EA0">
            <w:pPr>
              <w:spacing w:line="480" w:lineRule="exact"/>
              <w:jc w:val="center"/>
              <w:rPr>
                <w:rFonts w:ascii="宋体" w:hAnsi="宋体" w:cs="宋体"/>
                <w:sz w:val="18"/>
                <w:szCs w:val="21"/>
              </w:rPr>
            </w:pPr>
            <w:r>
              <w:rPr>
                <w:rFonts w:hint="eastAsia" w:ascii="宋体" w:hAnsi="宋体" w:cs="宋体"/>
                <w:sz w:val="18"/>
                <w:szCs w:val="21"/>
              </w:rPr>
              <w:t>85-90</w:t>
            </w:r>
          </w:p>
        </w:tc>
        <w:tc>
          <w:tcPr>
            <w:tcW w:w="1440" w:type="dxa"/>
            <w:vAlign w:val="center"/>
          </w:tcPr>
          <w:p w14:paraId="0A1088D2">
            <w:pPr>
              <w:spacing w:line="480" w:lineRule="exact"/>
              <w:jc w:val="center"/>
              <w:rPr>
                <w:rFonts w:ascii="宋体" w:hAnsi="宋体" w:cs="宋体"/>
                <w:sz w:val="18"/>
                <w:szCs w:val="21"/>
              </w:rPr>
            </w:pPr>
            <w:r>
              <w:rPr>
                <w:rFonts w:hint="eastAsia" w:ascii="宋体" w:hAnsi="宋体" w:cs="宋体"/>
                <w:sz w:val="18"/>
                <w:szCs w:val="21"/>
              </w:rPr>
              <w:t>≥380</w:t>
            </w:r>
          </w:p>
        </w:tc>
        <w:tc>
          <w:tcPr>
            <w:tcW w:w="1280" w:type="dxa"/>
            <w:vAlign w:val="center"/>
          </w:tcPr>
          <w:p w14:paraId="44D1C95A">
            <w:pPr>
              <w:spacing w:line="480" w:lineRule="exact"/>
              <w:jc w:val="center"/>
              <w:rPr>
                <w:rFonts w:ascii="宋体" w:hAnsi="宋体" w:cs="宋体"/>
                <w:sz w:val="18"/>
                <w:szCs w:val="21"/>
              </w:rPr>
            </w:pPr>
            <w:r>
              <w:rPr>
                <w:rFonts w:hint="eastAsia" w:ascii="宋体" w:hAnsi="宋体" w:cs="宋体"/>
                <w:sz w:val="18"/>
                <w:szCs w:val="21"/>
              </w:rPr>
              <w:t>稳定</w:t>
            </w:r>
          </w:p>
        </w:tc>
      </w:tr>
    </w:tbl>
    <w:p w14:paraId="3E2A0559">
      <w:pPr>
        <w:spacing w:line="480" w:lineRule="exact"/>
        <w:rPr>
          <w:rFonts w:ascii="宋体" w:hAnsi="宋体" w:cs="宋体"/>
        </w:rPr>
      </w:pPr>
      <w:r>
        <w:rPr>
          <w:rFonts w:hint="eastAsia" w:ascii="宋体" w:hAnsi="宋体" w:cs="宋体"/>
        </w:rPr>
        <w:t>4.3.4  复合一体化排水板的主材厚度不宜小于0.8mm，高度不小于12 mm，其主要物理性能应符合</w:t>
      </w:r>
      <w:r>
        <w:rPr>
          <w:rStyle w:val="19"/>
          <w:rFonts w:hint="eastAsia"/>
        </w:rPr>
        <w:t>其主要物理性能应符合T/CECS XXX-201X《复合一体化塑料防护排水板及配件》中的技术要求</w:t>
      </w:r>
      <w:r>
        <w:rPr>
          <w:rFonts w:hint="eastAsia" w:ascii="宋体" w:hAnsi="宋体" w:cs="宋体"/>
        </w:rPr>
        <w:t>表4.3.4的要求。</w:t>
      </w:r>
    </w:p>
    <w:p w14:paraId="06A05910">
      <w:pPr>
        <w:spacing w:line="480" w:lineRule="exact"/>
        <w:jc w:val="center"/>
        <w:rPr>
          <w:rFonts w:ascii="宋体" w:hAnsi="宋体" w:cs="宋体"/>
          <w:highlight w:val="none"/>
        </w:rPr>
      </w:pPr>
      <w:r>
        <w:rPr>
          <w:rFonts w:hint="eastAsia" w:ascii="宋体" w:hAnsi="宋体" w:cs="宋体"/>
          <w:highlight w:val="none"/>
        </w:rPr>
        <w:t>表4.3.4 复合一体化塑料防护排水板主要性能指标</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076"/>
        <w:gridCol w:w="4082"/>
        <w:gridCol w:w="1570"/>
      </w:tblGrid>
      <w:tr w14:paraId="3BB1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50" w:type="dxa"/>
          </w:tcPr>
          <w:p w14:paraId="1158A709">
            <w:pPr>
              <w:jc w:val="center"/>
              <w:rPr>
                <w:rFonts w:ascii="宋体" w:hAnsi="宋体" w:cs="宋体"/>
                <w:szCs w:val="21"/>
              </w:rPr>
            </w:pPr>
            <w:r>
              <w:rPr>
                <w:rFonts w:hint="eastAsia" w:ascii="宋体" w:hAnsi="宋体" w:cs="宋体"/>
                <w:szCs w:val="21"/>
              </w:rPr>
              <w:t>序号</w:t>
            </w:r>
          </w:p>
        </w:tc>
        <w:tc>
          <w:tcPr>
            <w:tcW w:w="6158" w:type="dxa"/>
            <w:gridSpan w:val="2"/>
          </w:tcPr>
          <w:p w14:paraId="24A77DAB">
            <w:pPr>
              <w:jc w:val="center"/>
              <w:rPr>
                <w:rFonts w:ascii="宋体" w:hAnsi="宋体" w:cs="宋体"/>
                <w:szCs w:val="21"/>
              </w:rPr>
            </w:pPr>
            <w:r>
              <w:rPr>
                <w:rFonts w:hint="eastAsia" w:ascii="宋体" w:hAnsi="宋体" w:cs="宋体"/>
                <w:szCs w:val="21"/>
              </w:rPr>
              <w:t>项目</w:t>
            </w:r>
          </w:p>
        </w:tc>
        <w:tc>
          <w:tcPr>
            <w:tcW w:w="1570" w:type="dxa"/>
          </w:tcPr>
          <w:p w14:paraId="7519E3DE">
            <w:pPr>
              <w:jc w:val="center"/>
              <w:rPr>
                <w:rFonts w:ascii="宋体" w:hAnsi="宋体" w:cs="宋体"/>
                <w:szCs w:val="21"/>
              </w:rPr>
            </w:pPr>
            <w:r>
              <w:rPr>
                <w:rFonts w:hint="eastAsia" w:ascii="宋体" w:hAnsi="宋体" w:cs="宋体"/>
                <w:szCs w:val="21"/>
              </w:rPr>
              <w:t>指标</w:t>
            </w:r>
          </w:p>
        </w:tc>
      </w:tr>
      <w:tr w14:paraId="48C6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50" w:type="dxa"/>
          </w:tcPr>
          <w:p w14:paraId="57B2EDAA">
            <w:pPr>
              <w:jc w:val="center"/>
              <w:rPr>
                <w:rFonts w:ascii="宋体" w:hAnsi="宋体" w:cs="宋体"/>
                <w:szCs w:val="21"/>
              </w:rPr>
            </w:pPr>
            <w:r>
              <w:rPr>
                <w:rFonts w:hint="eastAsia" w:ascii="宋体" w:hAnsi="宋体" w:cs="宋体"/>
                <w:szCs w:val="21"/>
              </w:rPr>
              <w:t>1</w:t>
            </w:r>
          </w:p>
        </w:tc>
        <w:tc>
          <w:tcPr>
            <w:tcW w:w="6158" w:type="dxa"/>
            <w:gridSpan w:val="2"/>
          </w:tcPr>
          <w:p w14:paraId="03B0F1A1">
            <w:pPr>
              <w:rPr>
                <w:rFonts w:ascii="宋体" w:hAnsi="宋体" w:cs="宋体"/>
                <w:szCs w:val="21"/>
              </w:rPr>
            </w:pPr>
            <w:r>
              <w:rPr>
                <w:rFonts w:hint="eastAsia" w:ascii="宋体" w:hAnsi="宋体" w:cs="宋体"/>
                <w:szCs w:val="21"/>
              </w:rPr>
              <w:t>伸长率10%时拉力/（N/100mm）                        ≥</w:t>
            </w:r>
          </w:p>
        </w:tc>
        <w:tc>
          <w:tcPr>
            <w:tcW w:w="1570" w:type="dxa"/>
          </w:tcPr>
          <w:p w14:paraId="6BE79284">
            <w:pPr>
              <w:jc w:val="center"/>
              <w:rPr>
                <w:rFonts w:ascii="宋体" w:hAnsi="宋体" w:cs="宋体"/>
                <w:szCs w:val="21"/>
              </w:rPr>
            </w:pPr>
            <w:r>
              <w:rPr>
                <w:rFonts w:hint="eastAsia" w:ascii="宋体" w:hAnsi="宋体" w:cs="宋体"/>
                <w:szCs w:val="21"/>
              </w:rPr>
              <w:t>350</w:t>
            </w:r>
          </w:p>
        </w:tc>
      </w:tr>
      <w:tr w14:paraId="1518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50" w:type="dxa"/>
          </w:tcPr>
          <w:p w14:paraId="1454633D">
            <w:pPr>
              <w:jc w:val="center"/>
              <w:rPr>
                <w:rFonts w:ascii="宋体" w:hAnsi="宋体" w:cs="宋体"/>
                <w:szCs w:val="21"/>
              </w:rPr>
            </w:pPr>
            <w:r>
              <w:rPr>
                <w:rFonts w:hint="eastAsia" w:ascii="宋体" w:hAnsi="宋体" w:cs="宋体"/>
                <w:szCs w:val="21"/>
              </w:rPr>
              <w:t>2</w:t>
            </w:r>
          </w:p>
        </w:tc>
        <w:tc>
          <w:tcPr>
            <w:tcW w:w="6158" w:type="dxa"/>
            <w:gridSpan w:val="2"/>
          </w:tcPr>
          <w:p w14:paraId="0FD9054C">
            <w:pPr>
              <w:rPr>
                <w:rFonts w:ascii="宋体" w:hAnsi="宋体" w:cs="宋体"/>
                <w:szCs w:val="21"/>
              </w:rPr>
            </w:pPr>
            <w:r>
              <w:rPr>
                <w:rFonts w:hint="eastAsia" w:ascii="宋体" w:hAnsi="宋体" w:cs="宋体"/>
                <w:szCs w:val="21"/>
              </w:rPr>
              <w:t>最大拉力/（N/100mm）                                ≥</w:t>
            </w:r>
          </w:p>
        </w:tc>
        <w:tc>
          <w:tcPr>
            <w:tcW w:w="1570" w:type="dxa"/>
          </w:tcPr>
          <w:p w14:paraId="5B3A6F3A">
            <w:pPr>
              <w:jc w:val="center"/>
              <w:rPr>
                <w:rFonts w:ascii="宋体" w:hAnsi="宋体" w:cs="宋体"/>
                <w:szCs w:val="21"/>
              </w:rPr>
            </w:pPr>
            <w:r>
              <w:rPr>
                <w:rFonts w:hint="eastAsia" w:ascii="宋体" w:hAnsi="宋体" w:cs="宋体"/>
                <w:szCs w:val="21"/>
              </w:rPr>
              <w:t>600</w:t>
            </w:r>
          </w:p>
        </w:tc>
      </w:tr>
      <w:tr w14:paraId="7D85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50" w:type="dxa"/>
          </w:tcPr>
          <w:p w14:paraId="7B3AE7A7">
            <w:pPr>
              <w:jc w:val="center"/>
              <w:rPr>
                <w:rFonts w:ascii="宋体" w:hAnsi="宋体" w:cs="宋体"/>
                <w:szCs w:val="21"/>
              </w:rPr>
            </w:pPr>
            <w:r>
              <w:rPr>
                <w:rFonts w:hint="eastAsia" w:ascii="宋体" w:hAnsi="宋体" w:cs="宋体"/>
                <w:szCs w:val="21"/>
              </w:rPr>
              <w:t>3</w:t>
            </w:r>
          </w:p>
        </w:tc>
        <w:tc>
          <w:tcPr>
            <w:tcW w:w="6158" w:type="dxa"/>
            <w:gridSpan w:val="2"/>
          </w:tcPr>
          <w:p w14:paraId="6E1287AF">
            <w:pPr>
              <w:rPr>
                <w:rFonts w:ascii="宋体" w:hAnsi="宋体" w:cs="宋体"/>
                <w:szCs w:val="21"/>
              </w:rPr>
            </w:pPr>
            <w:r>
              <w:rPr>
                <w:rFonts w:hint="eastAsia" w:ascii="宋体" w:hAnsi="宋体" w:cs="宋体"/>
                <w:szCs w:val="21"/>
              </w:rPr>
              <w:t>断裂伸长率/%                                        ≥</w:t>
            </w:r>
          </w:p>
        </w:tc>
        <w:tc>
          <w:tcPr>
            <w:tcW w:w="1570" w:type="dxa"/>
          </w:tcPr>
          <w:p w14:paraId="6CC89DE4">
            <w:pPr>
              <w:jc w:val="center"/>
              <w:rPr>
                <w:rFonts w:ascii="宋体" w:hAnsi="宋体" w:cs="宋体"/>
                <w:szCs w:val="21"/>
              </w:rPr>
            </w:pPr>
            <w:r>
              <w:rPr>
                <w:rFonts w:hint="eastAsia" w:ascii="宋体" w:hAnsi="宋体" w:cs="宋体"/>
                <w:szCs w:val="21"/>
              </w:rPr>
              <w:t>50</w:t>
            </w:r>
          </w:p>
        </w:tc>
      </w:tr>
      <w:tr w14:paraId="6401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50" w:type="dxa"/>
          </w:tcPr>
          <w:p w14:paraId="7BFA40AA">
            <w:pPr>
              <w:jc w:val="center"/>
              <w:rPr>
                <w:rFonts w:ascii="宋体" w:hAnsi="宋体" w:cs="宋体"/>
                <w:szCs w:val="21"/>
              </w:rPr>
            </w:pPr>
            <w:r>
              <w:rPr>
                <w:rFonts w:hint="eastAsia" w:ascii="宋体" w:hAnsi="宋体" w:cs="宋体"/>
                <w:szCs w:val="21"/>
              </w:rPr>
              <w:t>4</w:t>
            </w:r>
          </w:p>
        </w:tc>
        <w:tc>
          <w:tcPr>
            <w:tcW w:w="6158" w:type="dxa"/>
            <w:gridSpan w:val="2"/>
          </w:tcPr>
          <w:p w14:paraId="3035CB8A">
            <w:pPr>
              <w:rPr>
                <w:rFonts w:ascii="宋体" w:hAnsi="宋体" w:cs="宋体"/>
                <w:szCs w:val="21"/>
              </w:rPr>
            </w:pPr>
            <w:r>
              <w:rPr>
                <w:rFonts w:hint="eastAsia" w:ascii="宋体" w:hAnsi="宋体" w:cs="宋体"/>
                <w:szCs w:val="21"/>
              </w:rPr>
              <w:t>撕裂性能/N                                          ≥</w:t>
            </w:r>
          </w:p>
        </w:tc>
        <w:tc>
          <w:tcPr>
            <w:tcW w:w="1570" w:type="dxa"/>
          </w:tcPr>
          <w:p w14:paraId="05DF648B">
            <w:pPr>
              <w:jc w:val="center"/>
              <w:rPr>
                <w:rFonts w:ascii="宋体" w:hAnsi="宋体" w:cs="宋体"/>
                <w:szCs w:val="21"/>
              </w:rPr>
            </w:pPr>
            <w:r>
              <w:rPr>
                <w:rFonts w:hint="eastAsia" w:ascii="宋体" w:hAnsi="宋体" w:cs="宋体"/>
                <w:szCs w:val="21"/>
              </w:rPr>
              <w:t>200</w:t>
            </w:r>
          </w:p>
        </w:tc>
      </w:tr>
      <w:tr w14:paraId="16D0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50" w:type="dxa"/>
            <w:vMerge w:val="restart"/>
            <w:vAlign w:val="center"/>
          </w:tcPr>
          <w:p w14:paraId="2632FCB3">
            <w:pPr>
              <w:jc w:val="center"/>
              <w:rPr>
                <w:rFonts w:ascii="宋体" w:hAnsi="宋体" w:cs="宋体"/>
                <w:szCs w:val="21"/>
              </w:rPr>
            </w:pPr>
            <w:r>
              <w:rPr>
                <w:rFonts w:hint="eastAsia" w:ascii="宋体" w:hAnsi="宋体" w:cs="宋体"/>
                <w:szCs w:val="21"/>
              </w:rPr>
              <w:t>5</w:t>
            </w:r>
          </w:p>
        </w:tc>
        <w:tc>
          <w:tcPr>
            <w:tcW w:w="2076" w:type="dxa"/>
            <w:vMerge w:val="restart"/>
            <w:vAlign w:val="center"/>
          </w:tcPr>
          <w:p w14:paraId="6C39DCC3">
            <w:pPr>
              <w:jc w:val="center"/>
              <w:rPr>
                <w:rFonts w:ascii="宋体" w:hAnsi="宋体" w:cs="宋体"/>
                <w:szCs w:val="21"/>
              </w:rPr>
            </w:pPr>
            <w:r>
              <w:rPr>
                <w:rFonts w:hint="eastAsia" w:ascii="宋体" w:hAnsi="宋体" w:cs="宋体"/>
                <w:szCs w:val="21"/>
              </w:rPr>
              <w:t>压缩性能</w:t>
            </w:r>
          </w:p>
        </w:tc>
        <w:tc>
          <w:tcPr>
            <w:tcW w:w="4082" w:type="dxa"/>
          </w:tcPr>
          <w:p w14:paraId="35D0D5E2">
            <w:pPr>
              <w:rPr>
                <w:rFonts w:ascii="宋体" w:hAnsi="宋体" w:cs="宋体"/>
                <w:szCs w:val="21"/>
              </w:rPr>
            </w:pPr>
            <w:r>
              <w:rPr>
                <w:rFonts w:hint="eastAsia" w:ascii="宋体" w:hAnsi="宋体" w:cs="宋体"/>
                <w:szCs w:val="21"/>
              </w:rPr>
              <w:t>压缩率为20%时最大强度/KPa      ≥</w:t>
            </w:r>
          </w:p>
        </w:tc>
        <w:tc>
          <w:tcPr>
            <w:tcW w:w="1570" w:type="dxa"/>
          </w:tcPr>
          <w:p w14:paraId="70503412">
            <w:pPr>
              <w:jc w:val="center"/>
              <w:rPr>
                <w:rFonts w:ascii="宋体" w:hAnsi="宋体" w:cs="宋体"/>
                <w:szCs w:val="21"/>
              </w:rPr>
            </w:pPr>
            <w:r>
              <w:rPr>
                <w:rFonts w:hint="eastAsia" w:ascii="宋体" w:hAnsi="宋体" w:cs="宋体"/>
                <w:szCs w:val="21"/>
              </w:rPr>
              <w:t>300</w:t>
            </w:r>
          </w:p>
        </w:tc>
      </w:tr>
      <w:tr w14:paraId="1D13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50" w:type="dxa"/>
            <w:vMerge w:val="continue"/>
          </w:tcPr>
          <w:p w14:paraId="3E4B32B7">
            <w:pPr>
              <w:jc w:val="center"/>
              <w:rPr>
                <w:rFonts w:ascii="宋体" w:hAnsi="宋体" w:cs="宋体"/>
                <w:szCs w:val="21"/>
              </w:rPr>
            </w:pPr>
          </w:p>
        </w:tc>
        <w:tc>
          <w:tcPr>
            <w:tcW w:w="2076" w:type="dxa"/>
            <w:vMerge w:val="continue"/>
          </w:tcPr>
          <w:p w14:paraId="63481746">
            <w:pPr>
              <w:rPr>
                <w:rFonts w:ascii="宋体" w:hAnsi="宋体" w:cs="宋体"/>
                <w:szCs w:val="21"/>
              </w:rPr>
            </w:pPr>
          </w:p>
        </w:tc>
        <w:tc>
          <w:tcPr>
            <w:tcW w:w="4082" w:type="dxa"/>
          </w:tcPr>
          <w:p w14:paraId="1F3A7F05">
            <w:pPr>
              <w:rPr>
                <w:rFonts w:ascii="宋体" w:hAnsi="宋体" w:cs="宋体"/>
                <w:szCs w:val="21"/>
              </w:rPr>
            </w:pPr>
            <w:r>
              <w:rPr>
                <w:rFonts w:hint="eastAsia" w:ascii="宋体" w:hAnsi="宋体" w:cs="宋体"/>
                <w:szCs w:val="21"/>
              </w:rPr>
              <w:t>极限压缩现象</w:t>
            </w:r>
          </w:p>
        </w:tc>
        <w:tc>
          <w:tcPr>
            <w:tcW w:w="1570" w:type="dxa"/>
          </w:tcPr>
          <w:p w14:paraId="234DC258">
            <w:pPr>
              <w:jc w:val="center"/>
              <w:rPr>
                <w:rFonts w:ascii="宋体" w:hAnsi="宋体" w:cs="宋体"/>
                <w:szCs w:val="21"/>
              </w:rPr>
            </w:pPr>
            <w:r>
              <w:rPr>
                <w:rFonts w:hint="eastAsia" w:ascii="宋体" w:hAnsi="宋体" w:cs="宋体"/>
                <w:szCs w:val="21"/>
              </w:rPr>
              <w:t>无破裂</w:t>
            </w:r>
          </w:p>
        </w:tc>
      </w:tr>
      <w:tr w14:paraId="29FA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50" w:type="dxa"/>
          </w:tcPr>
          <w:p w14:paraId="2F6F7797">
            <w:pPr>
              <w:jc w:val="center"/>
              <w:rPr>
                <w:rFonts w:ascii="宋体" w:hAnsi="宋体" w:cs="宋体"/>
                <w:szCs w:val="21"/>
              </w:rPr>
            </w:pPr>
            <w:r>
              <w:rPr>
                <w:rFonts w:hint="eastAsia" w:ascii="宋体" w:hAnsi="宋体" w:cs="宋体"/>
                <w:szCs w:val="21"/>
              </w:rPr>
              <w:t>6</w:t>
            </w:r>
          </w:p>
        </w:tc>
        <w:tc>
          <w:tcPr>
            <w:tcW w:w="6158" w:type="dxa"/>
            <w:gridSpan w:val="2"/>
          </w:tcPr>
          <w:p w14:paraId="1898E321">
            <w:pPr>
              <w:ind w:firstLine="420" w:firstLineChars="200"/>
              <w:rPr>
                <w:rFonts w:ascii="宋体" w:hAnsi="宋体" w:cs="宋体"/>
                <w:szCs w:val="21"/>
              </w:rPr>
            </w:pPr>
            <w:r>
              <w:rPr>
                <w:rFonts w:hint="eastAsia" w:ascii="宋体" w:hAnsi="宋体" w:cs="宋体"/>
                <w:szCs w:val="21"/>
              </w:rPr>
              <w:t>低温柔度                                        ≥</w:t>
            </w:r>
          </w:p>
        </w:tc>
        <w:tc>
          <w:tcPr>
            <w:tcW w:w="1570" w:type="dxa"/>
          </w:tcPr>
          <w:p w14:paraId="7AF46305">
            <w:pPr>
              <w:jc w:val="center"/>
              <w:rPr>
                <w:rFonts w:ascii="宋体" w:hAnsi="宋体" w:cs="宋体"/>
                <w:szCs w:val="21"/>
              </w:rPr>
            </w:pPr>
            <w:r>
              <w:rPr>
                <w:rFonts w:hint="eastAsia" w:ascii="宋体" w:hAnsi="宋体" w:cs="宋体"/>
                <w:szCs w:val="21"/>
              </w:rPr>
              <w:t>-10℃无裂纹</w:t>
            </w:r>
          </w:p>
        </w:tc>
      </w:tr>
      <w:tr w14:paraId="42B9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50" w:type="dxa"/>
            <w:vMerge w:val="restart"/>
            <w:vAlign w:val="center"/>
          </w:tcPr>
          <w:p w14:paraId="70EB4FC5">
            <w:pPr>
              <w:jc w:val="center"/>
              <w:rPr>
                <w:rFonts w:ascii="宋体" w:hAnsi="宋体" w:cs="宋体"/>
                <w:szCs w:val="21"/>
              </w:rPr>
            </w:pPr>
            <w:r>
              <w:rPr>
                <w:rFonts w:hint="eastAsia" w:ascii="宋体" w:hAnsi="宋体" w:cs="宋体"/>
                <w:szCs w:val="21"/>
              </w:rPr>
              <w:t>7</w:t>
            </w:r>
          </w:p>
        </w:tc>
        <w:tc>
          <w:tcPr>
            <w:tcW w:w="2076" w:type="dxa"/>
            <w:vMerge w:val="restart"/>
            <w:vAlign w:val="center"/>
          </w:tcPr>
          <w:p w14:paraId="345FF33D">
            <w:pPr>
              <w:jc w:val="center"/>
              <w:rPr>
                <w:rFonts w:ascii="宋体" w:hAnsi="宋体" w:cs="宋体"/>
                <w:szCs w:val="21"/>
              </w:rPr>
            </w:pPr>
            <w:r>
              <w:rPr>
                <w:rFonts w:hint="eastAsia" w:ascii="宋体" w:hAnsi="宋体" w:cs="宋体"/>
                <w:szCs w:val="21"/>
              </w:rPr>
              <w:t>热老化</w:t>
            </w:r>
          </w:p>
          <w:p w14:paraId="76D10D77">
            <w:pPr>
              <w:jc w:val="center"/>
              <w:rPr>
                <w:rFonts w:ascii="宋体" w:hAnsi="宋体" w:cs="宋体"/>
                <w:szCs w:val="21"/>
              </w:rPr>
            </w:pPr>
            <w:r>
              <w:rPr>
                <w:rFonts w:hint="eastAsia" w:ascii="宋体" w:hAnsi="宋体" w:cs="宋体"/>
                <w:szCs w:val="21"/>
              </w:rPr>
              <w:t>（80℃，168h）</w:t>
            </w:r>
          </w:p>
        </w:tc>
        <w:tc>
          <w:tcPr>
            <w:tcW w:w="4082" w:type="dxa"/>
            <w:vAlign w:val="center"/>
          </w:tcPr>
          <w:p w14:paraId="0C25842C">
            <w:pPr>
              <w:rPr>
                <w:rFonts w:ascii="宋体" w:hAnsi="宋体" w:cs="宋体"/>
                <w:szCs w:val="21"/>
              </w:rPr>
            </w:pPr>
            <w:r>
              <w:rPr>
                <w:rFonts w:hint="eastAsia" w:ascii="宋体" w:hAnsi="宋体" w:cs="宋体"/>
                <w:szCs w:val="21"/>
              </w:rPr>
              <w:t>伸长率10%时拉力保持率/%        ≥</w:t>
            </w:r>
          </w:p>
        </w:tc>
        <w:tc>
          <w:tcPr>
            <w:tcW w:w="1570" w:type="dxa"/>
            <w:vAlign w:val="center"/>
          </w:tcPr>
          <w:p w14:paraId="640054CC">
            <w:pPr>
              <w:jc w:val="center"/>
              <w:rPr>
                <w:rFonts w:ascii="宋体" w:hAnsi="宋体" w:cs="宋体"/>
                <w:szCs w:val="21"/>
              </w:rPr>
            </w:pPr>
            <w:r>
              <w:rPr>
                <w:rFonts w:hint="eastAsia" w:ascii="宋体" w:hAnsi="宋体" w:cs="宋体"/>
                <w:szCs w:val="21"/>
              </w:rPr>
              <w:t>80</w:t>
            </w:r>
          </w:p>
        </w:tc>
      </w:tr>
      <w:tr w14:paraId="2686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50" w:type="dxa"/>
            <w:vMerge w:val="continue"/>
            <w:vAlign w:val="center"/>
          </w:tcPr>
          <w:p w14:paraId="691405B1">
            <w:pPr>
              <w:jc w:val="center"/>
              <w:rPr>
                <w:rFonts w:ascii="宋体" w:hAnsi="宋体" w:cs="宋体"/>
                <w:szCs w:val="21"/>
              </w:rPr>
            </w:pPr>
          </w:p>
        </w:tc>
        <w:tc>
          <w:tcPr>
            <w:tcW w:w="2076" w:type="dxa"/>
            <w:vMerge w:val="continue"/>
            <w:vAlign w:val="center"/>
          </w:tcPr>
          <w:p w14:paraId="037F2BF9">
            <w:pPr>
              <w:jc w:val="center"/>
              <w:rPr>
                <w:rFonts w:ascii="宋体" w:hAnsi="宋体" w:cs="宋体"/>
                <w:szCs w:val="21"/>
              </w:rPr>
            </w:pPr>
          </w:p>
        </w:tc>
        <w:tc>
          <w:tcPr>
            <w:tcW w:w="4082" w:type="dxa"/>
            <w:vAlign w:val="center"/>
          </w:tcPr>
          <w:p w14:paraId="32B3112B">
            <w:pPr>
              <w:jc w:val="left"/>
              <w:rPr>
                <w:rFonts w:ascii="宋体" w:hAnsi="宋体" w:cs="宋体"/>
                <w:szCs w:val="21"/>
              </w:rPr>
            </w:pPr>
            <w:r>
              <w:rPr>
                <w:rFonts w:hint="eastAsia" w:ascii="宋体" w:hAnsi="宋体" w:cs="宋体"/>
                <w:szCs w:val="21"/>
              </w:rPr>
              <w:t>最大拉力保持率/%                ≥</w:t>
            </w:r>
          </w:p>
        </w:tc>
        <w:tc>
          <w:tcPr>
            <w:tcW w:w="1570" w:type="dxa"/>
            <w:vAlign w:val="center"/>
          </w:tcPr>
          <w:p w14:paraId="23B24367">
            <w:pPr>
              <w:jc w:val="center"/>
              <w:rPr>
                <w:rFonts w:ascii="宋体" w:hAnsi="宋体" w:cs="宋体"/>
                <w:szCs w:val="21"/>
              </w:rPr>
            </w:pPr>
            <w:r>
              <w:rPr>
                <w:rFonts w:hint="eastAsia" w:ascii="宋体" w:hAnsi="宋体" w:cs="宋体"/>
                <w:szCs w:val="21"/>
              </w:rPr>
              <w:t>90</w:t>
            </w:r>
          </w:p>
        </w:tc>
      </w:tr>
      <w:tr w14:paraId="7E3E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50" w:type="dxa"/>
            <w:vMerge w:val="continue"/>
            <w:vAlign w:val="center"/>
          </w:tcPr>
          <w:p w14:paraId="015181B9">
            <w:pPr>
              <w:jc w:val="center"/>
              <w:rPr>
                <w:rFonts w:ascii="宋体" w:hAnsi="宋体" w:cs="宋体"/>
                <w:szCs w:val="21"/>
              </w:rPr>
            </w:pPr>
          </w:p>
        </w:tc>
        <w:tc>
          <w:tcPr>
            <w:tcW w:w="2076" w:type="dxa"/>
            <w:vMerge w:val="continue"/>
            <w:vAlign w:val="center"/>
          </w:tcPr>
          <w:p w14:paraId="222A0833">
            <w:pPr>
              <w:jc w:val="center"/>
              <w:rPr>
                <w:rFonts w:ascii="宋体" w:hAnsi="宋体" w:cs="宋体"/>
                <w:szCs w:val="21"/>
              </w:rPr>
            </w:pPr>
          </w:p>
        </w:tc>
        <w:tc>
          <w:tcPr>
            <w:tcW w:w="4082" w:type="dxa"/>
            <w:vAlign w:val="center"/>
          </w:tcPr>
          <w:p w14:paraId="0A7FD999">
            <w:pPr>
              <w:jc w:val="left"/>
              <w:rPr>
                <w:rFonts w:ascii="宋体" w:hAnsi="宋体" w:cs="宋体"/>
                <w:szCs w:val="21"/>
              </w:rPr>
            </w:pPr>
            <w:r>
              <w:rPr>
                <w:rFonts w:hint="eastAsia" w:ascii="宋体" w:hAnsi="宋体" w:cs="宋体"/>
                <w:szCs w:val="21"/>
              </w:rPr>
              <w:t>断裂伸长率保持率/%              ≥</w:t>
            </w:r>
          </w:p>
        </w:tc>
        <w:tc>
          <w:tcPr>
            <w:tcW w:w="1570" w:type="dxa"/>
            <w:vAlign w:val="center"/>
          </w:tcPr>
          <w:p w14:paraId="5665CB65">
            <w:pPr>
              <w:jc w:val="center"/>
              <w:rPr>
                <w:rFonts w:ascii="宋体" w:hAnsi="宋体" w:cs="宋体"/>
                <w:szCs w:val="21"/>
              </w:rPr>
            </w:pPr>
            <w:r>
              <w:rPr>
                <w:rFonts w:hint="eastAsia" w:ascii="宋体" w:hAnsi="宋体" w:cs="宋体"/>
                <w:szCs w:val="21"/>
              </w:rPr>
              <w:t>70</w:t>
            </w:r>
          </w:p>
        </w:tc>
      </w:tr>
      <w:tr w14:paraId="257A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50" w:type="dxa"/>
            <w:vMerge w:val="continue"/>
            <w:vAlign w:val="center"/>
          </w:tcPr>
          <w:p w14:paraId="06E27554">
            <w:pPr>
              <w:jc w:val="center"/>
              <w:rPr>
                <w:rFonts w:ascii="宋体" w:hAnsi="宋体" w:cs="宋体"/>
                <w:szCs w:val="21"/>
              </w:rPr>
            </w:pPr>
          </w:p>
        </w:tc>
        <w:tc>
          <w:tcPr>
            <w:tcW w:w="2076" w:type="dxa"/>
            <w:vMerge w:val="continue"/>
            <w:vAlign w:val="center"/>
          </w:tcPr>
          <w:p w14:paraId="77C1D66B">
            <w:pPr>
              <w:jc w:val="center"/>
              <w:rPr>
                <w:rFonts w:ascii="宋体" w:hAnsi="宋体" w:cs="宋体"/>
                <w:szCs w:val="21"/>
              </w:rPr>
            </w:pPr>
          </w:p>
        </w:tc>
        <w:tc>
          <w:tcPr>
            <w:tcW w:w="4082" w:type="dxa"/>
            <w:vAlign w:val="center"/>
          </w:tcPr>
          <w:p w14:paraId="7F620644">
            <w:pPr>
              <w:jc w:val="left"/>
              <w:rPr>
                <w:rFonts w:ascii="宋体" w:hAnsi="宋体" w:cs="宋体"/>
                <w:szCs w:val="21"/>
              </w:rPr>
            </w:pPr>
            <w:r>
              <w:rPr>
                <w:rFonts w:hint="eastAsia" w:ascii="宋体" w:hAnsi="宋体" w:cs="宋体"/>
                <w:szCs w:val="21"/>
              </w:rPr>
              <w:t xml:space="preserve">压缩率为20%时最大强度保持率/% </w:t>
            </w:r>
            <w:r>
              <w:rPr>
                <w:rFonts w:ascii="宋体" w:hAnsi="宋体" w:cs="宋体"/>
                <w:szCs w:val="21"/>
              </w:rPr>
              <w:t xml:space="preserve"> </w:t>
            </w:r>
            <w:r>
              <w:rPr>
                <w:rFonts w:hint="eastAsia" w:ascii="宋体" w:hAnsi="宋体" w:cs="宋体"/>
                <w:szCs w:val="21"/>
              </w:rPr>
              <w:t>≥</w:t>
            </w:r>
          </w:p>
        </w:tc>
        <w:tc>
          <w:tcPr>
            <w:tcW w:w="1570" w:type="dxa"/>
            <w:vAlign w:val="center"/>
          </w:tcPr>
          <w:p w14:paraId="03401552">
            <w:pPr>
              <w:jc w:val="center"/>
              <w:rPr>
                <w:rFonts w:ascii="宋体" w:hAnsi="宋体" w:cs="宋体"/>
                <w:szCs w:val="21"/>
              </w:rPr>
            </w:pPr>
            <w:r>
              <w:rPr>
                <w:rFonts w:hint="eastAsia" w:ascii="宋体" w:hAnsi="宋体" w:cs="宋体"/>
                <w:szCs w:val="21"/>
              </w:rPr>
              <w:t>90</w:t>
            </w:r>
          </w:p>
        </w:tc>
      </w:tr>
      <w:tr w14:paraId="1156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50" w:type="dxa"/>
            <w:vMerge w:val="continue"/>
            <w:vAlign w:val="center"/>
          </w:tcPr>
          <w:p w14:paraId="23F33AD8">
            <w:pPr>
              <w:jc w:val="center"/>
              <w:rPr>
                <w:rFonts w:ascii="宋体" w:hAnsi="宋体" w:cs="宋体"/>
                <w:szCs w:val="21"/>
              </w:rPr>
            </w:pPr>
          </w:p>
        </w:tc>
        <w:tc>
          <w:tcPr>
            <w:tcW w:w="2076" w:type="dxa"/>
            <w:vMerge w:val="continue"/>
            <w:vAlign w:val="center"/>
          </w:tcPr>
          <w:p w14:paraId="4ABF44E5">
            <w:pPr>
              <w:jc w:val="center"/>
              <w:rPr>
                <w:rFonts w:ascii="宋体" w:hAnsi="宋体" w:cs="宋体"/>
                <w:szCs w:val="21"/>
              </w:rPr>
            </w:pPr>
          </w:p>
        </w:tc>
        <w:tc>
          <w:tcPr>
            <w:tcW w:w="4082" w:type="dxa"/>
            <w:vAlign w:val="center"/>
          </w:tcPr>
          <w:p w14:paraId="58CB6D07">
            <w:pPr>
              <w:jc w:val="left"/>
              <w:rPr>
                <w:rFonts w:ascii="宋体" w:hAnsi="宋体" w:cs="宋体"/>
                <w:szCs w:val="21"/>
              </w:rPr>
            </w:pPr>
            <w:r>
              <w:rPr>
                <w:rFonts w:hint="eastAsia" w:ascii="宋体" w:hAnsi="宋体" w:cs="宋体"/>
                <w:szCs w:val="21"/>
              </w:rPr>
              <w:t>极限压缩现象</w:t>
            </w:r>
          </w:p>
        </w:tc>
        <w:tc>
          <w:tcPr>
            <w:tcW w:w="1570" w:type="dxa"/>
            <w:vAlign w:val="center"/>
          </w:tcPr>
          <w:p w14:paraId="2AA739A7">
            <w:pPr>
              <w:jc w:val="center"/>
              <w:rPr>
                <w:rFonts w:ascii="宋体" w:hAnsi="宋体" w:cs="宋体"/>
                <w:szCs w:val="21"/>
              </w:rPr>
            </w:pPr>
            <w:r>
              <w:rPr>
                <w:rFonts w:hint="eastAsia" w:ascii="宋体" w:hAnsi="宋体" w:cs="宋体"/>
                <w:szCs w:val="21"/>
              </w:rPr>
              <w:t>无破裂</w:t>
            </w:r>
          </w:p>
        </w:tc>
      </w:tr>
      <w:tr w14:paraId="4C24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50" w:type="dxa"/>
            <w:vMerge w:val="continue"/>
            <w:vAlign w:val="center"/>
          </w:tcPr>
          <w:p w14:paraId="2E9DE150">
            <w:pPr>
              <w:jc w:val="center"/>
              <w:rPr>
                <w:rFonts w:ascii="宋体" w:hAnsi="宋体" w:cs="宋体"/>
                <w:szCs w:val="21"/>
              </w:rPr>
            </w:pPr>
          </w:p>
        </w:tc>
        <w:tc>
          <w:tcPr>
            <w:tcW w:w="2076" w:type="dxa"/>
            <w:vMerge w:val="continue"/>
            <w:vAlign w:val="center"/>
          </w:tcPr>
          <w:p w14:paraId="4EDF58E5">
            <w:pPr>
              <w:jc w:val="center"/>
              <w:rPr>
                <w:rFonts w:ascii="宋体" w:hAnsi="宋体" w:cs="宋体"/>
                <w:szCs w:val="21"/>
              </w:rPr>
            </w:pPr>
          </w:p>
        </w:tc>
        <w:tc>
          <w:tcPr>
            <w:tcW w:w="4082" w:type="dxa"/>
            <w:vAlign w:val="center"/>
          </w:tcPr>
          <w:p w14:paraId="6C2BFF1F">
            <w:pPr>
              <w:jc w:val="left"/>
              <w:rPr>
                <w:rFonts w:ascii="宋体" w:hAnsi="宋体" w:cs="宋体"/>
                <w:szCs w:val="21"/>
              </w:rPr>
            </w:pPr>
            <w:r>
              <w:rPr>
                <w:rFonts w:hint="eastAsia" w:ascii="宋体" w:hAnsi="宋体" w:cs="宋体"/>
                <w:szCs w:val="21"/>
              </w:rPr>
              <w:t>低温柔度</w:t>
            </w:r>
          </w:p>
        </w:tc>
        <w:tc>
          <w:tcPr>
            <w:tcW w:w="1570" w:type="dxa"/>
            <w:vAlign w:val="center"/>
          </w:tcPr>
          <w:p w14:paraId="6B888234">
            <w:pPr>
              <w:jc w:val="center"/>
              <w:rPr>
                <w:rFonts w:ascii="宋体" w:hAnsi="宋体" w:cs="宋体"/>
                <w:szCs w:val="21"/>
              </w:rPr>
            </w:pPr>
            <w:r>
              <w:rPr>
                <w:rFonts w:hint="eastAsia" w:ascii="宋体" w:hAnsi="宋体" w:cs="宋体"/>
                <w:szCs w:val="21"/>
              </w:rPr>
              <w:t>-10℃无裂纹</w:t>
            </w:r>
          </w:p>
        </w:tc>
      </w:tr>
      <w:tr w14:paraId="0CB1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50" w:type="dxa"/>
            <w:vAlign w:val="center"/>
          </w:tcPr>
          <w:p w14:paraId="2C6DBF8E">
            <w:pPr>
              <w:jc w:val="center"/>
              <w:rPr>
                <w:rFonts w:ascii="宋体" w:hAnsi="宋体" w:cs="宋体"/>
                <w:szCs w:val="21"/>
              </w:rPr>
            </w:pPr>
            <w:r>
              <w:rPr>
                <w:rFonts w:hint="eastAsia" w:ascii="宋体" w:hAnsi="宋体" w:cs="宋体"/>
                <w:szCs w:val="21"/>
              </w:rPr>
              <w:t>8</w:t>
            </w:r>
          </w:p>
        </w:tc>
        <w:tc>
          <w:tcPr>
            <w:tcW w:w="6158" w:type="dxa"/>
            <w:gridSpan w:val="2"/>
            <w:vAlign w:val="center"/>
          </w:tcPr>
          <w:p w14:paraId="51883A62">
            <w:pPr>
              <w:jc w:val="left"/>
              <w:rPr>
                <w:rFonts w:ascii="宋体" w:hAnsi="宋体" w:cs="宋体"/>
                <w:szCs w:val="21"/>
              </w:rPr>
            </w:pPr>
            <w:r>
              <w:rPr>
                <w:rFonts w:hint="eastAsia" w:ascii="宋体" w:hAnsi="宋体" w:cs="宋体"/>
                <w:szCs w:val="21"/>
              </w:rPr>
              <w:t>纵向通水量（侧压力150kPa）（cm³/s）</w:t>
            </w:r>
          </w:p>
        </w:tc>
        <w:tc>
          <w:tcPr>
            <w:tcW w:w="1570" w:type="dxa"/>
            <w:vAlign w:val="center"/>
          </w:tcPr>
          <w:p w14:paraId="24B575E7">
            <w:pPr>
              <w:jc w:val="center"/>
              <w:rPr>
                <w:rFonts w:ascii="宋体" w:hAnsi="宋体" w:cs="宋体"/>
                <w:szCs w:val="21"/>
              </w:rPr>
            </w:pPr>
            <w:r>
              <w:rPr>
                <w:rFonts w:hint="eastAsia" w:ascii="宋体" w:hAnsi="宋体" w:cs="宋体"/>
                <w:szCs w:val="21"/>
              </w:rPr>
              <w:t>10</w:t>
            </w:r>
          </w:p>
        </w:tc>
      </w:tr>
    </w:tbl>
    <w:p w14:paraId="4E56E19C">
      <w:pPr>
        <w:spacing w:line="480" w:lineRule="exact"/>
        <w:jc w:val="center"/>
        <w:outlineLvl w:val="1"/>
        <w:rPr>
          <w:rFonts w:ascii="黑体" w:hAnsi="黑体" w:eastAsia="黑体" w:cs="黑体"/>
        </w:rPr>
      </w:pPr>
      <w:bookmarkStart w:id="28" w:name="_Toc25956"/>
      <w:r>
        <w:rPr>
          <w:rFonts w:hint="eastAsia" w:ascii="黑体" w:hAnsi="黑体" w:eastAsia="黑体" w:cs="黑体"/>
        </w:rPr>
        <w:t>4.4  过滤材料</w:t>
      </w:r>
      <w:bookmarkEnd w:id="28"/>
    </w:p>
    <w:p w14:paraId="056324A1">
      <w:pPr>
        <w:spacing w:line="360" w:lineRule="auto"/>
        <w:rPr>
          <w:rFonts w:ascii="宋体" w:hAnsi="宋体" w:cs="宋体"/>
        </w:rPr>
      </w:pPr>
      <w:r>
        <w:rPr>
          <w:rFonts w:hint="eastAsia" w:ascii="宋体" w:hAnsi="宋体" w:cs="宋体"/>
        </w:rPr>
        <w:t>4.4.1  材质宜选用短纤针刺非织造土工布，单位面积质量不小于250g/㎡。</w:t>
      </w:r>
    </w:p>
    <w:p w14:paraId="3658819A">
      <w:pPr>
        <w:spacing w:line="360" w:lineRule="auto"/>
        <w:rPr>
          <w:rFonts w:ascii="宋体" w:hAnsi="宋体" w:cs="宋体"/>
        </w:rPr>
      </w:pPr>
      <w:r>
        <w:rPr>
          <w:rFonts w:hint="eastAsia" w:ascii="宋体" w:hAnsi="宋体" w:cs="宋体"/>
        </w:rPr>
        <w:t>4.4.2  主要性能应符合现行国家标准《土工合成材料 短纤针刺非织造土工布》GB/T 17638的规定。</w:t>
      </w:r>
    </w:p>
    <w:p w14:paraId="7DA55769">
      <w:pPr>
        <w:spacing w:line="360" w:lineRule="auto"/>
        <w:rPr>
          <w:rFonts w:ascii="宋体" w:hAnsi="宋体" w:cs="宋体"/>
        </w:rPr>
      </w:pPr>
      <w:r>
        <w:rPr>
          <w:rFonts w:hint="eastAsia" w:ascii="宋体" w:hAnsi="宋体" w:cs="宋体"/>
        </w:rPr>
        <w:t>4.4.3  复合防排水一体化塑料排水板与土工布的剥离强度，主要性能应符合表4.4.3的规定。</w:t>
      </w:r>
    </w:p>
    <w:p w14:paraId="61DDFE5C">
      <w:pPr>
        <w:jc w:val="center"/>
        <w:rPr>
          <w:rFonts w:ascii="宋体" w:hAnsi="宋体" w:cs="宋体"/>
        </w:rPr>
      </w:pPr>
      <w:r>
        <w:rPr>
          <w:rFonts w:hint="eastAsia" w:ascii="宋体" w:hAnsi="宋体" w:cs="宋体"/>
        </w:rPr>
        <w:t>表</w:t>
      </w:r>
      <w:r>
        <w:rPr>
          <w:rFonts w:ascii="宋体" w:hAnsi="宋体" w:cs="宋体"/>
        </w:rPr>
        <w:t>4.4.3</w:t>
      </w:r>
      <w:r>
        <w:rPr>
          <w:rFonts w:hint="eastAsia" w:ascii="宋体" w:hAnsi="宋体" w:cs="宋体"/>
        </w:rPr>
        <w:t xml:space="preserve">  复合一体化塑料防护排水板粘接土工布力学性能</w:t>
      </w:r>
    </w:p>
    <w:tbl>
      <w:tblPr>
        <w:tblStyle w:val="15"/>
        <w:tblW w:w="7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7"/>
        <w:gridCol w:w="2286"/>
      </w:tblGrid>
      <w:tr w14:paraId="013A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707" w:type="dxa"/>
          </w:tcPr>
          <w:p w14:paraId="1C4BD37F">
            <w:pPr>
              <w:jc w:val="center"/>
              <w:rPr>
                <w:rFonts w:ascii="宋体" w:hAnsi="宋体" w:cs="宋体"/>
                <w:sz w:val="18"/>
                <w:szCs w:val="21"/>
              </w:rPr>
            </w:pPr>
            <w:r>
              <w:rPr>
                <w:rFonts w:hint="eastAsia" w:ascii="宋体" w:hAnsi="宋体" w:cs="宋体"/>
                <w:sz w:val="18"/>
                <w:szCs w:val="21"/>
              </w:rPr>
              <w:t>项目名称</w:t>
            </w:r>
          </w:p>
        </w:tc>
        <w:tc>
          <w:tcPr>
            <w:tcW w:w="2286" w:type="dxa"/>
          </w:tcPr>
          <w:p w14:paraId="210DC87E">
            <w:pPr>
              <w:jc w:val="center"/>
              <w:rPr>
                <w:rFonts w:ascii="宋体" w:hAnsi="宋体" w:cs="宋体"/>
                <w:sz w:val="18"/>
                <w:szCs w:val="21"/>
              </w:rPr>
            </w:pPr>
            <w:r>
              <w:rPr>
                <w:rFonts w:hint="eastAsia" w:ascii="宋体" w:hAnsi="宋体" w:cs="宋体"/>
                <w:sz w:val="18"/>
                <w:szCs w:val="21"/>
              </w:rPr>
              <w:t>技术指标</w:t>
            </w:r>
          </w:p>
        </w:tc>
      </w:tr>
      <w:tr w14:paraId="3F7F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707" w:type="dxa"/>
            <w:vAlign w:val="center"/>
          </w:tcPr>
          <w:p w14:paraId="5097C1B3">
            <w:pPr>
              <w:jc w:val="center"/>
              <w:rPr>
                <w:rFonts w:ascii="宋体" w:hAnsi="宋体" w:cs="宋体"/>
                <w:sz w:val="18"/>
                <w:szCs w:val="21"/>
              </w:rPr>
            </w:pPr>
            <w:r>
              <w:rPr>
                <w:rFonts w:hint="eastAsia" w:ascii="宋体" w:hAnsi="宋体" w:cs="宋体"/>
                <w:sz w:val="18"/>
                <w:szCs w:val="21"/>
              </w:rPr>
              <w:t>复合一体化塑料防护排水板与土工布剥离强度，N/mm</w:t>
            </w:r>
            <w:r>
              <w:rPr>
                <w:rFonts w:ascii="宋体" w:hAnsi="宋体" w:cs="宋体"/>
                <w:sz w:val="18"/>
                <w:szCs w:val="21"/>
              </w:rPr>
              <w:t xml:space="preserve">   </w:t>
            </w:r>
            <w:r>
              <w:rPr>
                <w:rFonts w:hint="eastAsia" w:ascii="宋体" w:hAnsi="宋体" w:cs="宋体"/>
                <w:sz w:val="18"/>
                <w:szCs w:val="21"/>
              </w:rPr>
              <w:t xml:space="preserve">    ≥</w:t>
            </w:r>
          </w:p>
        </w:tc>
        <w:tc>
          <w:tcPr>
            <w:tcW w:w="2286" w:type="dxa"/>
            <w:vAlign w:val="center"/>
          </w:tcPr>
          <w:p w14:paraId="31923002">
            <w:pPr>
              <w:pStyle w:val="30"/>
              <w:tabs>
                <w:tab w:val="left" w:pos="3542"/>
              </w:tabs>
              <w:spacing w:line="240" w:lineRule="auto"/>
              <w:ind w:firstLine="0"/>
              <w:jc w:val="center"/>
              <w:rPr>
                <w:sz w:val="18"/>
                <w:szCs w:val="21"/>
                <w:lang w:val="en-US" w:eastAsia="zh-CN" w:bidi="ar-SA"/>
              </w:rPr>
            </w:pPr>
            <w:r>
              <w:rPr>
                <w:rFonts w:hint="eastAsia"/>
                <w:sz w:val="18"/>
                <w:szCs w:val="21"/>
                <w:lang w:val="en-US" w:eastAsia="zh-CN" w:bidi="ar-SA"/>
              </w:rPr>
              <w:t>0.5</w:t>
            </w:r>
          </w:p>
        </w:tc>
      </w:tr>
    </w:tbl>
    <w:p w14:paraId="7E3D3E1E"/>
    <w:p w14:paraId="75FBAF98">
      <w:pPr>
        <w:pStyle w:val="6"/>
        <w:jc w:val="center"/>
        <w:outlineLvl w:val="0"/>
        <w:rPr>
          <w:rFonts w:ascii="黑体" w:hAnsi="黑体" w:eastAsia="黑体" w:cs="黑体"/>
          <w:sz w:val="32"/>
          <w:szCs w:val="40"/>
        </w:rPr>
      </w:pPr>
      <w:bookmarkStart w:id="29" w:name="_Toc29145"/>
      <w:r>
        <w:rPr>
          <w:rFonts w:hint="eastAsia" w:ascii="黑体" w:hAnsi="黑体" w:eastAsia="黑体" w:cs="黑体"/>
          <w:sz w:val="32"/>
          <w:szCs w:val="40"/>
        </w:rPr>
        <w:t>5 设  计</w:t>
      </w:r>
      <w:bookmarkEnd w:id="29"/>
    </w:p>
    <w:p w14:paraId="56F2DFDD">
      <w:pPr>
        <w:spacing w:line="480" w:lineRule="exact"/>
        <w:jc w:val="center"/>
        <w:outlineLvl w:val="1"/>
        <w:rPr>
          <w:rFonts w:ascii="黑体" w:hAnsi="黑体" w:eastAsia="黑体" w:cs="黑体"/>
        </w:rPr>
      </w:pPr>
      <w:bookmarkStart w:id="30" w:name="_Toc5376"/>
      <w:r>
        <w:rPr>
          <w:rFonts w:hint="eastAsia" w:ascii="黑体" w:hAnsi="黑体" w:eastAsia="黑体" w:cs="黑体"/>
        </w:rPr>
        <w:t>5.1  一般规定</w:t>
      </w:r>
      <w:bookmarkEnd w:id="30"/>
    </w:p>
    <w:p w14:paraId="60906F01">
      <w:pPr>
        <w:spacing w:line="480" w:lineRule="exact"/>
        <w:rPr>
          <w:rFonts w:ascii="宋体" w:hAnsi="宋体" w:cs="宋体"/>
        </w:rPr>
      </w:pPr>
      <w:r>
        <w:rPr>
          <w:rFonts w:hint="eastAsia" w:ascii="宋体" w:hAnsi="宋体" w:cs="宋体"/>
        </w:rPr>
        <w:t xml:space="preserve">5.1.1 </w:t>
      </w:r>
      <w:r>
        <w:rPr>
          <w:rFonts w:ascii="宋体" w:hAnsi="宋体" w:cs="宋体"/>
        </w:rPr>
        <w:t xml:space="preserve"> </w:t>
      </w:r>
      <w:r>
        <w:rPr>
          <w:rFonts w:hint="eastAsia" w:ascii="宋体" w:hAnsi="宋体" w:cs="宋体"/>
        </w:rPr>
        <w:t>种植屋面防排水工程应进行专项设计。</w:t>
      </w:r>
    </w:p>
    <w:p w14:paraId="32D34EFF">
      <w:pPr>
        <w:spacing w:line="480" w:lineRule="exact"/>
        <w:rPr>
          <w:rFonts w:ascii="宋体" w:hAnsi="宋体" w:cs="宋体"/>
        </w:rPr>
      </w:pPr>
      <w:r>
        <w:rPr>
          <w:rFonts w:hint="eastAsia" w:ascii="宋体" w:hAnsi="宋体" w:cs="宋体"/>
        </w:rPr>
        <w:t xml:space="preserve">5.1.2 </w:t>
      </w:r>
      <w:r>
        <w:rPr>
          <w:rFonts w:ascii="宋体" w:hAnsi="宋体" w:cs="宋体"/>
        </w:rPr>
        <w:t xml:space="preserve"> </w:t>
      </w:r>
      <w:r>
        <w:rPr>
          <w:rFonts w:hint="eastAsia" w:ascii="宋体" w:hAnsi="宋体" w:cs="宋体"/>
        </w:rPr>
        <w:t>种植屋面防排水设计应综合考虑项目当地的水文、气候环境等条件，并与雨水排放规划、雨水利用要求和相关附属设施相协调。</w:t>
      </w:r>
    </w:p>
    <w:p w14:paraId="2A83C715">
      <w:pPr>
        <w:spacing w:line="480" w:lineRule="exact"/>
        <w:rPr>
          <w:rFonts w:ascii="宋体" w:hAnsi="宋体" w:cs="宋体"/>
        </w:rPr>
      </w:pPr>
      <w:r>
        <w:rPr>
          <w:rFonts w:hint="eastAsia" w:ascii="宋体" w:hAnsi="宋体" w:cs="宋体"/>
        </w:rPr>
        <w:t xml:space="preserve">5.1.3 </w:t>
      </w:r>
      <w:r>
        <w:rPr>
          <w:rFonts w:ascii="宋体" w:hAnsi="宋体" w:cs="宋体"/>
        </w:rPr>
        <w:t xml:space="preserve"> </w:t>
      </w:r>
      <w:r>
        <w:rPr>
          <w:rFonts w:hint="eastAsia" w:ascii="宋体" w:hAnsi="宋体" w:cs="宋体"/>
        </w:rPr>
        <w:t>种植屋面防排水设计应根据建筑高度、屋面荷载、屋面大小、屋面坡度、风荷载等因素确定。</w:t>
      </w:r>
    </w:p>
    <w:p w14:paraId="04F02DC5">
      <w:pPr>
        <w:spacing w:line="480" w:lineRule="exact"/>
        <w:rPr>
          <w:rFonts w:ascii="宋体" w:hAnsi="宋体" w:cs="宋体"/>
        </w:rPr>
      </w:pPr>
      <w:r>
        <w:rPr>
          <w:rFonts w:hint="eastAsia" w:ascii="宋体" w:hAnsi="宋体" w:cs="宋体"/>
        </w:rPr>
        <w:t xml:space="preserve">5.1.4 </w:t>
      </w:r>
      <w:r>
        <w:rPr>
          <w:rFonts w:ascii="宋体" w:hAnsi="宋体" w:cs="宋体"/>
        </w:rPr>
        <w:t xml:space="preserve"> </w:t>
      </w:r>
      <w:r>
        <w:rPr>
          <w:rFonts w:hint="eastAsia" w:ascii="宋体" w:hAnsi="宋体" w:cs="宋体"/>
        </w:rPr>
        <w:t>种植屋面防排水设计应满足防水、排水、蓄水等使用功能和耐久性的要求。</w:t>
      </w:r>
    </w:p>
    <w:p w14:paraId="74DD357E">
      <w:pPr>
        <w:spacing w:line="480" w:lineRule="exact"/>
        <w:rPr>
          <w:rFonts w:ascii="宋体" w:hAnsi="宋体" w:cs="宋体"/>
        </w:rPr>
      </w:pPr>
      <w:r>
        <w:rPr>
          <w:rFonts w:hint="eastAsia" w:ascii="宋体" w:hAnsi="宋体" w:cs="宋体"/>
        </w:rPr>
        <w:t xml:space="preserve">5.1.5 </w:t>
      </w:r>
      <w:r>
        <w:rPr>
          <w:rFonts w:ascii="宋体" w:hAnsi="宋体" w:cs="宋体"/>
        </w:rPr>
        <w:t xml:space="preserve"> </w:t>
      </w:r>
      <w:r>
        <w:rPr>
          <w:rFonts w:hint="eastAsia" w:ascii="宋体" w:hAnsi="宋体" w:cs="宋体"/>
        </w:rPr>
        <w:t>种植屋面防排水设计应包括下列内容：</w:t>
      </w:r>
    </w:p>
    <w:p w14:paraId="3893E5C7">
      <w:pPr>
        <w:spacing w:line="480" w:lineRule="exact"/>
        <w:ind w:firstLine="420" w:firstLineChars="200"/>
        <w:rPr>
          <w:rFonts w:ascii="宋体" w:hAnsi="宋体" w:cs="宋体"/>
        </w:rPr>
      </w:pPr>
      <w:r>
        <w:rPr>
          <w:rFonts w:hint="eastAsia" w:ascii="宋体" w:hAnsi="宋体" w:cs="宋体"/>
        </w:rPr>
        <w:t>1 计算屋面结构荷载；</w:t>
      </w:r>
    </w:p>
    <w:p w14:paraId="47C72561">
      <w:pPr>
        <w:spacing w:line="480" w:lineRule="exact"/>
        <w:ind w:firstLine="420" w:firstLineChars="200"/>
        <w:rPr>
          <w:rFonts w:ascii="宋体" w:hAnsi="宋体" w:cs="宋体"/>
        </w:rPr>
      </w:pPr>
      <w:r>
        <w:rPr>
          <w:rFonts w:ascii="宋体" w:hAnsi="宋体" w:cs="宋体"/>
        </w:rPr>
        <w:t>2</w:t>
      </w:r>
      <w:r>
        <w:rPr>
          <w:rFonts w:hint="eastAsia" w:ascii="宋体" w:hAnsi="宋体" w:cs="宋体"/>
        </w:rPr>
        <w:t xml:space="preserve"> 确定屋面构造层次；</w:t>
      </w:r>
    </w:p>
    <w:p w14:paraId="4CB06CE3">
      <w:pPr>
        <w:spacing w:line="480" w:lineRule="exact"/>
        <w:ind w:firstLine="420" w:firstLineChars="200"/>
        <w:rPr>
          <w:rFonts w:ascii="宋体" w:hAnsi="宋体" w:cs="宋体"/>
        </w:rPr>
      </w:pPr>
      <w:r>
        <w:rPr>
          <w:rFonts w:ascii="宋体" w:hAnsi="宋体" w:cs="宋体"/>
        </w:rPr>
        <w:t>3</w:t>
      </w:r>
      <w:r>
        <w:rPr>
          <w:rFonts w:hint="eastAsia" w:ascii="宋体" w:hAnsi="宋体" w:cs="宋体"/>
        </w:rPr>
        <w:t xml:space="preserve"> 绝热层设计，确定绝热材料的品种规格和性能；</w:t>
      </w:r>
    </w:p>
    <w:p w14:paraId="620B83CC">
      <w:pPr>
        <w:spacing w:line="480" w:lineRule="exact"/>
        <w:ind w:firstLine="420" w:firstLineChars="200"/>
        <w:rPr>
          <w:rFonts w:ascii="宋体" w:hAnsi="宋体" w:cs="宋体"/>
        </w:rPr>
      </w:pPr>
      <w:r>
        <w:rPr>
          <w:rFonts w:ascii="宋体" w:hAnsi="宋体" w:cs="宋体"/>
        </w:rPr>
        <w:t>4</w:t>
      </w:r>
      <w:r>
        <w:rPr>
          <w:rFonts w:hint="eastAsia" w:ascii="宋体" w:hAnsi="宋体" w:cs="宋体"/>
        </w:rPr>
        <w:t xml:space="preserve"> 防水层设计，确定耐根穿刺防水材料和普通防水材料的品种规格和性能；</w:t>
      </w:r>
    </w:p>
    <w:p w14:paraId="254BD55A">
      <w:pPr>
        <w:spacing w:line="480" w:lineRule="exact"/>
        <w:ind w:firstLine="420" w:firstLineChars="200"/>
        <w:outlineLvl w:val="0"/>
        <w:rPr>
          <w:rFonts w:ascii="宋体" w:hAnsi="宋体" w:cs="宋体"/>
          <w:color w:val="FF0000"/>
        </w:rPr>
      </w:pPr>
      <w:bookmarkStart w:id="31" w:name="_Toc13794"/>
      <w:r>
        <w:rPr>
          <w:rFonts w:ascii="宋体" w:hAnsi="宋体" w:cs="宋体"/>
        </w:rPr>
        <w:t>5</w:t>
      </w:r>
      <w:r>
        <w:rPr>
          <w:rFonts w:hint="eastAsia" w:ascii="宋体" w:hAnsi="宋体" w:cs="宋体"/>
        </w:rPr>
        <w:t xml:space="preserve"> 保护层设计</w:t>
      </w:r>
      <w:bookmarkEnd w:id="31"/>
    </w:p>
    <w:p w14:paraId="5590126D">
      <w:pPr>
        <w:spacing w:line="480" w:lineRule="exact"/>
        <w:ind w:firstLine="420" w:firstLineChars="200"/>
        <w:rPr>
          <w:rFonts w:ascii="宋体" w:hAnsi="宋体" w:cs="宋体"/>
        </w:rPr>
      </w:pPr>
      <w:r>
        <w:rPr>
          <w:rFonts w:ascii="宋体" w:hAnsi="宋体" w:cs="宋体"/>
        </w:rPr>
        <w:t>6</w:t>
      </w:r>
      <w:r>
        <w:rPr>
          <w:rFonts w:hint="eastAsia" w:ascii="宋体" w:hAnsi="宋体" w:cs="宋体"/>
        </w:rPr>
        <w:t xml:space="preserve"> 排（蓄）水层设计；确定排（蓄）水层选用的材料及排（蓄）水系统设计；</w:t>
      </w:r>
    </w:p>
    <w:p w14:paraId="130F543B">
      <w:pPr>
        <w:spacing w:line="480" w:lineRule="exact"/>
        <w:ind w:firstLine="420" w:firstLineChars="200"/>
        <w:rPr>
          <w:rFonts w:ascii="宋体" w:hAnsi="宋体" w:cs="宋体"/>
          <w:highlight w:val="none"/>
        </w:rPr>
      </w:pPr>
      <w:r>
        <w:rPr>
          <w:rFonts w:ascii="宋体" w:hAnsi="宋体" w:cs="宋体"/>
          <w:highlight w:val="none"/>
        </w:rPr>
        <w:t>7 种植设计</w:t>
      </w:r>
      <w:r>
        <w:rPr>
          <w:rFonts w:hint="eastAsia" w:ascii="宋体" w:hAnsi="宋体" w:cs="宋体"/>
          <w:highlight w:val="none"/>
        </w:rPr>
        <w:t>；</w:t>
      </w:r>
    </w:p>
    <w:p w14:paraId="657AABB8">
      <w:pPr>
        <w:spacing w:line="480" w:lineRule="exact"/>
        <w:ind w:firstLine="420" w:firstLineChars="200"/>
        <w:rPr>
          <w:rFonts w:ascii="宋体" w:hAnsi="宋体" w:cs="宋体"/>
          <w:highlight w:val="none"/>
        </w:rPr>
      </w:pPr>
      <w:r>
        <w:rPr>
          <w:rFonts w:ascii="宋体" w:hAnsi="宋体" w:cs="宋体"/>
          <w:highlight w:val="none"/>
        </w:rPr>
        <w:t>8</w:t>
      </w:r>
      <w:r>
        <w:rPr>
          <w:rFonts w:hint="eastAsia" w:ascii="宋体" w:hAnsi="宋体" w:cs="宋体"/>
          <w:highlight w:val="none"/>
        </w:rPr>
        <w:t xml:space="preserve"> 细部构造</w:t>
      </w:r>
    </w:p>
    <w:p w14:paraId="3C68809C">
      <w:pPr>
        <w:spacing w:line="480" w:lineRule="exact"/>
        <w:rPr>
          <w:color w:val="FF0000"/>
          <w:highlight w:val="none"/>
        </w:rPr>
      </w:pPr>
      <w:r>
        <w:rPr>
          <w:rFonts w:hint="eastAsia" w:ascii="宋体" w:hAnsi="宋体" w:cs="宋体"/>
          <w:highlight w:val="none"/>
        </w:rPr>
        <w:t xml:space="preserve">5.1.6 </w:t>
      </w:r>
      <w:r>
        <w:rPr>
          <w:rFonts w:ascii="宋体" w:hAnsi="宋体" w:cs="宋体"/>
          <w:highlight w:val="none"/>
        </w:rPr>
        <w:t xml:space="preserve"> </w:t>
      </w:r>
      <w:r>
        <w:rPr>
          <w:rFonts w:hint="eastAsia" w:ascii="宋体" w:hAnsi="宋体" w:cs="宋体"/>
          <w:highlight w:val="none"/>
        </w:rPr>
        <w:t>排水层的系统形式中含蓄水池的，其布置和选用应与建筑、结构和机电各相关专业协调后确定。</w:t>
      </w:r>
    </w:p>
    <w:p w14:paraId="66D303FC">
      <w:pPr>
        <w:spacing w:line="480" w:lineRule="exact"/>
        <w:outlineLvl w:val="1"/>
        <w:rPr>
          <w:rFonts w:ascii="宋体" w:hAnsi="宋体" w:cs="宋体"/>
        </w:rPr>
      </w:pPr>
      <w:bookmarkStart w:id="32" w:name="_Toc18535"/>
      <w:r>
        <w:rPr>
          <w:rFonts w:hint="eastAsia" w:ascii="宋体" w:hAnsi="宋体" w:cs="宋体"/>
        </w:rPr>
        <w:t>5.1.8</w:t>
      </w:r>
      <w:r>
        <w:rPr>
          <w:rFonts w:ascii="宋体" w:hAnsi="宋体" w:cs="宋体"/>
        </w:rPr>
        <w:t xml:space="preserve"> </w:t>
      </w:r>
      <w:r>
        <w:rPr>
          <w:rFonts w:hint="eastAsia" w:ascii="宋体" w:hAnsi="宋体" w:cs="宋体"/>
        </w:rPr>
        <w:t xml:space="preserve"> 耐根穿刺防水层设计应符合下列规定：</w:t>
      </w:r>
      <w:bookmarkEnd w:id="32"/>
    </w:p>
    <w:p w14:paraId="78C107AB">
      <w:pPr>
        <w:spacing w:line="480" w:lineRule="exact"/>
        <w:ind w:firstLine="420" w:firstLineChars="200"/>
        <w:rPr>
          <w:rFonts w:ascii="宋体" w:hAnsi="宋体" w:cs="宋体"/>
        </w:rPr>
      </w:pPr>
      <w:r>
        <w:rPr>
          <w:rFonts w:hint="eastAsia" w:ascii="宋体" w:hAnsi="宋体" w:cs="宋体"/>
        </w:rPr>
        <w:t>1 种植屋面选用的耐根穿刺防水层应与普通防水层相邻铺设，且防水层材料应相容。</w:t>
      </w:r>
    </w:p>
    <w:p w14:paraId="73EBB71B">
      <w:pPr>
        <w:spacing w:line="480" w:lineRule="exact"/>
        <w:ind w:firstLine="420" w:firstLineChars="200"/>
        <w:rPr>
          <w:rFonts w:ascii="宋体" w:hAnsi="宋体" w:cs="宋体"/>
        </w:rPr>
      </w:pPr>
      <w:r>
        <w:rPr>
          <w:rFonts w:hint="eastAsia" w:ascii="宋体" w:hAnsi="宋体" w:cs="宋体"/>
        </w:rPr>
        <w:t>2 排（蓄）水层不得作为耐根穿刺防水层使用；</w:t>
      </w:r>
    </w:p>
    <w:p w14:paraId="1492ACC1">
      <w:pPr>
        <w:spacing w:line="480" w:lineRule="exact"/>
        <w:ind w:firstLine="420" w:firstLineChars="200"/>
        <w:rPr>
          <w:rFonts w:ascii="宋体" w:hAnsi="宋体" w:cs="宋体"/>
        </w:rPr>
      </w:pPr>
      <w:r>
        <w:rPr>
          <w:rFonts w:hint="eastAsia" w:ascii="宋体" w:hAnsi="宋体" w:cs="宋体"/>
        </w:rPr>
        <w:t>3 耐根穿刺防水层的泛水高度应高出种植土不应小于500mm；</w:t>
      </w:r>
    </w:p>
    <w:p w14:paraId="07EF18E1">
      <w:pPr>
        <w:pStyle w:val="11"/>
        <w:spacing w:line="360" w:lineRule="auto"/>
        <w:rPr>
          <w:rFonts w:ascii="宋体" w:hAnsi="宋体" w:cs="宋体"/>
        </w:rPr>
      </w:pPr>
      <w:r>
        <w:rPr>
          <w:rFonts w:hint="eastAsia" w:ascii="宋体" w:hAnsi="宋体" w:cs="宋体"/>
        </w:rPr>
        <w:t>5.1.</w:t>
      </w:r>
      <w:r>
        <w:rPr>
          <w:rFonts w:ascii="宋体" w:hAnsi="宋体" w:cs="宋体"/>
        </w:rPr>
        <w:t>10  种植屋面耐根穿刺防水层上应设置保护层</w:t>
      </w:r>
      <w:r>
        <w:rPr>
          <w:rFonts w:hint="eastAsia" w:ascii="宋体" w:hAnsi="宋体" w:cs="宋体"/>
        </w:rPr>
        <w:t>，保护层设置应符合J</w:t>
      </w:r>
      <w:r>
        <w:rPr>
          <w:rFonts w:ascii="宋体" w:hAnsi="宋体" w:cs="宋体"/>
        </w:rPr>
        <w:t>GJ 155的相关规定</w:t>
      </w:r>
      <w:r>
        <w:rPr>
          <w:rFonts w:hint="eastAsia" w:ascii="宋体" w:hAnsi="宋体" w:cs="宋体"/>
        </w:rPr>
        <w:t>。</w:t>
      </w:r>
    </w:p>
    <w:p w14:paraId="5D7A5079">
      <w:pPr>
        <w:spacing w:line="360" w:lineRule="auto"/>
      </w:pPr>
      <w:r>
        <w:rPr>
          <w:rFonts w:hint="eastAsia" w:ascii="宋体" w:hAnsi="宋体" w:cs="宋体"/>
        </w:rPr>
        <w:t>5.1.</w:t>
      </w:r>
      <w:r>
        <w:rPr>
          <w:rFonts w:ascii="宋体" w:hAnsi="宋体" w:cs="宋体"/>
        </w:rPr>
        <w:t>11  当地下室种植顶板采用复合防排水一体化系统时</w:t>
      </w:r>
      <w:r>
        <w:rPr>
          <w:rFonts w:hint="eastAsia" w:ascii="宋体" w:hAnsi="宋体" w:cs="宋体"/>
        </w:rPr>
        <w:t>，</w:t>
      </w:r>
      <w:r>
        <w:rPr>
          <w:rFonts w:ascii="宋体" w:hAnsi="宋体" w:cs="宋体"/>
        </w:rPr>
        <w:t>耐根穿刺防水卷材表面可采用复合一体化塑料排水板</w:t>
      </w:r>
      <w:r>
        <w:rPr>
          <w:rFonts w:hint="eastAsia" w:ascii="宋体" w:hAnsi="宋体" w:cs="宋体"/>
        </w:rPr>
        <w:t>+</w:t>
      </w:r>
      <w:r>
        <w:rPr>
          <w:rFonts w:ascii="宋体" w:hAnsi="宋体" w:cs="宋体"/>
        </w:rPr>
        <w:t>分隔回填</w:t>
      </w:r>
      <w:r>
        <w:rPr>
          <w:rFonts w:hint="eastAsia" w:ascii="宋体" w:hAnsi="宋体" w:cs="宋体"/>
        </w:rPr>
        <w:t>+</w:t>
      </w:r>
      <w:r>
        <w:rPr>
          <w:rFonts w:ascii="宋体" w:hAnsi="宋体" w:cs="宋体"/>
        </w:rPr>
        <w:t>覆土</w:t>
      </w:r>
      <w:r>
        <w:rPr>
          <w:rFonts w:hint="eastAsia" w:ascii="宋体" w:hAnsi="宋体" w:cs="宋体"/>
        </w:rPr>
        <w:t>压实</w:t>
      </w:r>
      <w:r>
        <w:rPr>
          <w:rFonts w:ascii="宋体" w:hAnsi="宋体" w:cs="宋体"/>
        </w:rPr>
        <w:t>的方式对耐根穿刺防水层进行保护</w:t>
      </w:r>
      <w:r>
        <w:rPr>
          <w:rFonts w:hint="eastAsia" w:ascii="宋体" w:hAnsi="宋体" w:cs="宋体"/>
        </w:rPr>
        <w:t>。</w:t>
      </w:r>
    </w:p>
    <w:p w14:paraId="5C4EED25">
      <w:pPr>
        <w:spacing w:line="480" w:lineRule="exact"/>
        <w:jc w:val="center"/>
        <w:outlineLvl w:val="1"/>
        <w:rPr>
          <w:rFonts w:ascii="黑体" w:hAnsi="黑体" w:eastAsia="黑体" w:cs="黑体"/>
        </w:rPr>
      </w:pPr>
      <w:bookmarkStart w:id="33" w:name="_Toc13514"/>
      <w:r>
        <w:rPr>
          <w:rFonts w:hint="eastAsia" w:ascii="黑体" w:hAnsi="黑体" w:eastAsia="黑体" w:cs="黑体"/>
        </w:rPr>
        <w:t>5.2  种植屋面防排水系统</w:t>
      </w:r>
      <w:bookmarkEnd w:id="33"/>
    </w:p>
    <w:p w14:paraId="2088CBFA">
      <w:pPr>
        <w:spacing w:line="480" w:lineRule="exact"/>
        <w:rPr>
          <w:rFonts w:ascii="宋体" w:hAnsi="宋体" w:cs="宋体"/>
        </w:rPr>
      </w:pPr>
      <w:r>
        <w:rPr>
          <w:rFonts w:hint="eastAsia" w:ascii="宋体" w:hAnsi="宋体" w:cs="宋体"/>
        </w:rPr>
        <w:t xml:space="preserve">5.2.1 </w:t>
      </w:r>
      <w:r>
        <w:rPr>
          <w:rFonts w:ascii="宋体" w:hAnsi="宋体" w:cs="宋体"/>
        </w:rPr>
        <w:t xml:space="preserve"> </w:t>
      </w:r>
      <w:r>
        <w:rPr>
          <w:rFonts w:hint="eastAsia" w:ascii="宋体" w:hAnsi="宋体" w:cs="宋体"/>
        </w:rPr>
        <w:t>种植平屋面的基本构造层次宜包括：结构层、普通防水层、绝热层、找坡层、找平层、普通防水层、耐根穿刺防水层、隔离层、保护层、排（蓄）水层、滤水层、种植基质、植被层（图5.2.1）。</w:t>
      </w:r>
    </w:p>
    <w:p w14:paraId="44B57F43">
      <w:pPr>
        <w:spacing w:line="360" w:lineRule="auto"/>
        <w:jc w:val="center"/>
        <w:rPr>
          <w:sz w:val="24"/>
        </w:rPr>
      </w:pPr>
      <w:r>
        <w:drawing>
          <wp:inline distT="0" distB="0" distL="0" distR="0">
            <wp:extent cx="3944620" cy="41725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972486" cy="4201577"/>
                    </a:xfrm>
                    <a:prstGeom prst="rect">
                      <a:avLst/>
                    </a:prstGeom>
                  </pic:spPr>
                </pic:pic>
              </a:graphicData>
            </a:graphic>
          </wp:inline>
        </w:drawing>
      </w:r>
    </w:p>
    <w:p w14:paraId="7AEF331D">
      <w:pPr>
        <w:spacing w:line="360" w:lineRule="auto"/>
        <w:jc w:val="center"/>
        <w:rPr>
          <w:rFonts w:ascii="宋体" w:hAnsi="宋体" w:cs="宋体"/>
          <w:szCs w:val="18"/>
        </w:rPr>
      </w:pPr>
      <w:r>
        <w:rPr>
          <w:rFonts w:hint="eastAsia" w:ascii="宋体" w:hAnsi="宋体" w:cs="宋体"/>
          <w:szCs w:val="18"/>
        </w:rPr>
        <w:t>图5.2.1</w:t>
      </w:r>
      <w:r>
        <w:rPr>
          <w:rFonts w:ascii="宋体" w:hAnsi="宋体" w:cs="宋体"/>
          <w:szCs w:val="18"/>
        </w:rPr>
        <w:t xml:space="preserve">  </w:t>
      </w:r>
      <w:r>
        <w:rPr>
          <w:rFonts w:hint="eastAsia" w:ascii="宋体" w:hAnsi="宋体" w:cs="宋体"/>
          <w:szCs w:val="18"/>
        </w:rPr>
        <w:t>种植平屋面构造层次</w:t>
      </w:r>
    </w:p>
    <w:p w14:paraId="15AFF3FC">
      <w:pPr>
        <w:spacing w:line="360" w:lineRule="auto"/>
        <w:jc w:val="center"/>
        <w:rPr>
          <w:rFonts w:ascii="宋体" w:hAnsi="宋体" w:cs="宋体"/>
          <w:szCs w:val="18"/>
        </w:rPr>
      </w:pPr>
      <w:r>
        <w:rPr>
          <w:rFonts w:hint="eastAsia" w:ascii="宋体" w:hAnsi="宋体" w:cs="宋体"/>
          <w:szCs w:val="18"/>
        </w:rPr>
        <w:t>1—植被层；2—种植基质；3—滤水层；4—排（蓄）水层；5—保护层；</w:t>
      </w:r>
    </w:p>
    <w:p w14:paraId="7CD3DB93">
      <w:pPr>
        <w:spacing w:line="360" w:lineRule="auto"/>
        <w:jc w:val="center"/>
        <w:rPr>
          <w:rFonts w:ascii="宋体" w:hAnsi="宋体" w:cs="宋体"/>
          <w:szCs w:val="18"/>
        </w:rPr>
      </w:pPr>
      <w:r>
        <w:rPr>
          <w:rFonts w:hint="eastAsia" w:ascii="宋体" w:hAnsi="宋体" w:cs="宋体"/>
          <w:szCs w:val="18"/>
        </w:rPr>
        <w:t>6—隔离层；7—耐根穿刺防水层；8—普通防水层；9—找平层；</w:t>
      </w:r>
    </w:p>
    <w:p w14:paraId="41EFAAAC">
      <w:pPr>
        <w:spacing w:line="360" w:lineRule="auto"/>
        <w:jc w:val="center"/>
        <w:rPr>
          <w:sz w:val="24"/>
        </w:rPr>
      </w:pPr>
      <w:r>
        <w:rPr>
          <w:rFonts w:hint="eastAsia" w:ascii="宋体" w:hAnsi="宋体" w:cs="宋体"/>
          <w:szCs w:val="18"/>
        </w:rPr>
        <w:t>10—绝热层；11—找坡层；12—普通防水层；13—结构层</w:t>
      </w:r>
    </w:p>
    <w:p w14:paraId="13F9E8D6">
      <w:pPr>
        <w:spacing w:line="480" w:lineRule="exact"/>
        <w:rPr>
          <w:rFonts w:ascii="宋体" w:hAnsi="宋体" w:cs="宋体"/>
        </w:rPr>
      </w:pPr>
      <w:r>
        <w:rPr>
          <w:rFonts w:hint="eastAsia" w:ascii="宋体" w:hAnsi="宋体" w:cs="宋体"/>
        </w:rPr>
        <w:t xml:space="preserve">5.2.2 </w:t>
      </w:r>
      <w:r>
        <w:rPr>
          <w:rFonts w:ascii="宋体" w:hAnsi="宋体" w:cs="宋体"/>
        </w:rPr>
        <w:t xml:space="preserve"> </w:t>
      </w:r>
      <w:r>
        <w:rPr>
          <w:rFonts w:hint="eastAsia" w:ascii="宋体" w:hAnsi="宋体" w:cs="宋体"/>
        </w:rPr>
        <w:t>种植坡屋面的基本构造层次宜包括：结构层、普通防水层、绝热层、找平层、耐根穿刺防水层、保护层、排（蓄）水层、滤水层、种植基质、植被层，设计人员可根据项目的具体情况进行组合（图5</w:t>
      </w:r>
      <w:r>
        <w:rPr>
          <w:rFonts w:ascii="宋体" w:hAnsi="宋体" w:cs="宋体"/>
        </w:rPr>
        <w:t>.2.2</w:t>
      </w:r>
      <w:r>
        <w:rPr>
          <w:rFonts w:hint="eastAsia" w:ascii="宋体" w:hAnsi="宋体" w:cs="宋体"/>
        </w:rPr>
        <w:t>）。</w:t>
      </w:r>
    </w:p>
    <w:p w14:paraId="4EA2030B">
      <w:pPr>
        <w:spacing w:line="360" w:lineRule="auto"/>
        <w:jc w:val="center"/>
      </w:pPr>
      <w:r>
        <w:drawing>
          <wp:inline distT="0" distB="0" distL="0" distR="0">
            <wp:extent cx="3507105" cy="37191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3525558" cy="3739061"/>
                    </a:xfrm>
                    <a:prstGeom prst="rect">
                      <a:avLst/>
                    </a:prstGeom>
                  </pic:spPr>
                </pic:pic>
              </a:graphicData>
            </a:graphic>
          </wp:inline>
        </w:drawing>
      </w:r>
    </w:p>
    <w:p w14:paraId="47454A05">
      <w:pPr>
        <w:spacing w:line="360" w:lineRule="auto"/>
        <w:jc w:val="center"/>
        <w:rPr>
          <w:rFonts w:ascii="宋体" w:hAnsi="宋体" w:cs="宋体"/>
          <w:szCs w:val="18"/>
        </w:rPr>
      </w:pPr>
      <w:r>
        <w:rPr>
          <w:rFonts w:hint="eastAsia" w:ascii="宋体" w:hAnsi="宋体" w:cs="宋体"/>
          <w:szCs w:val="18"/>
        </w:rPr>
        <w:t>图5.2.</w:t>
      </w:r>
      <w:r>
        <w:rPr>
          <w:rFonts w:hint="eastAsia" w:ascii="宋体" w:hAnsi="宋体" w:cs="宋体"/>
          <w:szCs w:val="18"/>
          <w:lang w:val="en-US" w:eastAsia="zh-CN"/>
        </w:rPr>
        <w:t>2</w:t>
      </w:r>
      <w:r>
        <w:rPr>
          <w:rFonts w:ascii="宋体" w:hAnsi="宋体" w:cs="宋体"/>
          <w:szCs w:val="18"/>
        </w:rPr>
        <w:t xml:space="preserve">  </w:t>
      </w:r>
      <w:r>
        <w:rPr>
          <w:rFonts w:hint="eastAsia" w:ascii="宋体" w:hAnsi="宋体" w:cs="宋体"/>
          <w:szCs w:val="18"/>
        </w:rPr>
        <w:t>种植坡屋面构造层次</w:t>
      </w:r>
    </w:p>
    <w:p w14:paraId="1604926D">
      <w:pPr>
        <w:spacing w:line="360" w:lineRule="auto"/>
        <w:jc w:val="center"/>
        <w:rPr>
          <w:rFonts w:ascii="宋体" w:hAnsi="宋体" w:cs="宋体"/>
          <w:szCs w:val="18"/>
        </w:rPr>
      </w:pPr>
      <w:r>
        <w:rPr>
          <w:rFonts w:hint="eastAsia" w:ascii="宋体" w:hAnsi="宋体" w:cs="宋体"/>
          <w:szCs w:val="18"/>
        </w:rPr>
        <w:t>1—植被层；2—种植基质；3—滤水层；4—排（蓄）水层；5—保护层；</w:t>
      </w:r>
    </w:p>
    <w:p w14:paraId="1C126B60">
      <w:pPr>
        <w:spacing w:line="360" w:lineRule="auto"/>
        <w:jc w:val="center"/>
        <w:rPr>
          <w:rFonts w:ascii="宋体" w:hAnsi="宋体" w:cs="宋体"/>
          <w:szCs w:val="18"/>
        </w:rPr>
      </w:pPr>
      <w:r>
        <w:rPr>
          <w:rFonts w:hint="eastAsia" w:ascii="宋体" w:hAnsi="宋体" w:cs="宋体"/>
          <w:szCs w:val="18"/>
        </w:rPr>
        <w:t>6—隔离层；7—耐根穿刺防水层；8—找平层；</w:t>
      </w:r>
    </w:p>
    <w:p w14:paraId="066B3ED6">
      <w:pPr>
        <w:spacing w:line="360" w:lineRule="auto"/>
        <w:jc w:val="center"/>
        <w:rPr>
          <w:sz w:val="24"/>
        </w:rPr>
      </w:pPr>
      <w:r>
        <w:rPr>
          <w:rFonts w:ascii="宋体" w:hAnsi="宋体" w:cs="宋体"/>
          <w:szCs w:val="18"/>
        </w:rPr>
        <w:t>9</w:t>
      </w:r>
      <w:r>
        <w:rPr>
          <w:rFonts w:hint="eastAsia" w:ascii="宋体" w:hAnsi="宋体" w:cs="宋体"/>
          <w:szCs w:val="18"/>
        </w:rPr>
        <w:t>—绝热层；</w:t>
      </w:r>
      <w:r>
        <w:rPr>
          <w:rFonts w:ascii="宋体" w:hAnsi="宋体" w:cs="宋体"/>
          <w:szCs w:val="18"/>
        </w:rPr>
        <w:t>10</w:t>
      </w:r>
      <w:r>
        <w:rPr>
          <w:rFonts w:hint="eastAsia" w:ascii="宋体" w:hAnsi="宋体" w:cs="宋体"/>
          <w:szCs w:val="18"/>
        </w:rPr>
        <w:t>—普通防水层；1</w:t>
      </w:r>
      <w:r>
        <w:rPr>
          <w:rFonts w:ascii="宋体" w:hAnsi="宋体" w:cs="宋体"/>
          <w:szCs w:val="18"/>
        </w:rPr>
        <w:t>1</w:t>
      </w:r>
      <w:r>
        <w:rPr>
          <w:rFonts w:hint="eastAsia" w:ascii="宋体" w:hAnsi="宋体" w:cs="宋体"/>
          <w:szCs w:val="18"/>
        </w:rPr>
        <w:t>—结构层</w:t>
      </w:r>
    </w:p>
    <w:p w14:paraId="09438E93">
      <w:pPr>
        <w:spacing w:line="480" w:lineRule="exact"/>
        <w:outlineLvl w:val="1"/>
        <w:rPr>
          <w:rFonts w:ascii="宋体" w:hAnsi="宋体" w:cs="宋体"/>
        </w:rPr>
      </w:pPr>
      <w:bookmarkStart w:id="34" w:name="_Toc14717"/>
      <w:r>
        <w:rPr>
          <w:rFonts w:hint="eastAsia" w:ascii="宋体" w:hAnsi="宋体" w:cs="宋体"/>
        </w:rPr>
        <w:t>5.2.3</w:t>
      </w:r>
      <w:r>
        <w:rPr>
          <w:rFonts w:ascii="宋体" w:hAnsi="宋体" w:cs="宋体"/>
        </w:rPr>
        <w:t xml:space="preserve"> </w:t>
      </w:r>
      <w:r>
        <w:rPr>
          <w:rFonts w:hint="eastAsia" w:ascii="宋体" w:hAnsi="宋体" w:cs="宋体"/>
        </w:rPr>
        <w:t xml:space="preserve"> 种植屋面不应选用倒置式屋面。</w:t>
      </w:r>
      <w:bookmarkEnd w:id="34"/>
    </w:p>
    <w:p w14:paraId="34D08309">
      <w:pPr>
        <w:spacing w:line="480" w:lineRule="exact"/>
        <w:rPr>
          <w:rFonts w:ascii="宋体" w:hAnsi="宋体" w:cs="宋体"/>
        </w:rPr>
      </w:pPr>
      <w:r>
        <w:rPr>
          <w:rFonts w:hint="eastAsia" w:ascii="宋体" w:hAnsi="宋体" w:cs="宋体"/>
        </w:rPr>
        <w:t xml:space="preserve">5.2.4 </w:t>
      </w:r>
      <w:r>
        <w:rPr>
          <w:rFonts w:ascii="宋体" w:hAnsi="宋体" w:cs="宋体"/>
        </w:rPr>
        <w:t xml:space="preserve"> </w:t>
      </w:r>
      <w:r>
        <w:rPr>
          <w:rFonts w:hint="eastAsia" w:ascii="宋体" w:hAnsi="宋体" w:cs="宋体"/>
        </w:rPr>
        <w:t>种植屋面多道防水做法中，宜有一道普通防水层设置在混凝土结构表面，且宜采用具有防窜水性能的防水层。</w:t>
      </w:r>
    </w:p>
    <w:p w14:paraId="1DB00223">
      <w:pPr>
        <w:spacing w:line="480" w:lineRule="exact"/>
        <w:rPr>
          <w:rFonts w:ascii="宋体" w:hAnsi="宋体" w:cs="宋体"/>
        </w:rPr>
      </w:pPr>
      <w:r>
        <w:rPr>
          <w:rFonts w:hint="eastAsia" w:ascii="宋体" w:hAnsi="宋体" w:cs="宋体"/>
        </w:rPr>
        <w:t xml:space="preserve">5.2.5 </w:t>
      </w:r>
      <w:r>
        <w:rPr>
          <w:rFonts w:ascii="宋体" w:hAnsi="宋体" w:cs="宋体"/>
        </w:rPr>
        <w:t xml:space="preserve"> </w:t>
      </w:r>
      <w:r>
        <w:rPr>
          <w:rFonts w:hint="eastAsia" w:ascii="宋体" w:hAnsi="宋体" w:cs="宋体"/>
        </w:rPr>
        <w:t>种植屋面排（蓄）水层设计应结合屋面排水系统设计，应设置有组织排水通道。</w:t>
      </w:r>
    </w:p>
    <w:p w14:paraId="0D67183C">
      <w:pPr>
        <w:spacing w:line="480" w:lineRule="exact"/>
        <w:rPr>
          <w:rFonts w:ascii="宋体" w:hAnsi="宋体" w:cs="宋体"/>
        </w:rPr>
      </w:pPr>
      <w:r>
        <w:rPr>
          <w:rFonts w:hint="eastAsia" w:ascii="宋体" w:hAnsi="宋体" w:cs="宋体"/>
        </w:rPr>
        <w:t xml:space="preserve">5.2.6 </w:t>
      </w:r>
      <w:r>
        <w:rPr>
          <w:rFonts w:ascii="宋体" w:hAnsi="宋体" w:cs="宋体"/>
        </w:rPr>
        <w:t xml:space="preserve"> </w:t>
      </w:r>
      <w:r>
        <w:rPr>
          <w:rFonts w:hint="eastAsia" w:ascii="宋体" w:hAnsi="宋体" w:cs="宋体"/>
        </w:rPr>
        <w:t>种植屋面的排水坡度不宜低于2%，坡度大于50%的屋面不宜设置为种植屋面。</w:t>
      </w:r>
    </w:p>
    <w:p w14:paraId="183D9B67">
      <w:pPr>
        <w:spacing w:line="360" w:lineRule="auto"/>
        <w:rPr>
          <w:rFonts w:ascii="宋体" w:hAnsi="宋体" w:cs="宋体"/>
        </w:rPr>
      </w:pPr>
      <w:r>
        <w:rPr>
          <w:rFonts w:hint="eastAsia" w:ascii="宋体" w:hAnsi="宋体" w:cs="宋体"/>
        </w:rPr>
        <w:t>5.2.</w:t>
      </w:r>
      <w:r>
        <w:rPr>
          <w:rFonts w:ascii="宋体" w:hAnsi="宋体" w:cs="宋体"/>
        </w:rPr>
        <w:t>7  屋面坡度大于等于</w:t>
      </w:r>
      <w:r>
        <w:rPr>
          <w:rFonts w:hint="eastAsia" w:ascii="宋体" w:hAnsi="宋体" w:cs="宋体"/>
        </w:rPr>
        <w:t>2</w:t>
      </w:r>
      <w:r>
        <w:rPr>
          <w:rFonts w:ascii="宋体" w:hAnsi="宋体" w:cs="宋体"/>
        </w:rPr>
        <w:t>0</w:t>
      </w:r>
      <w:r>
        <w:rPr>
          <w:rFonts w:hint="eastAsia" w:ascii="宋体" w:hAnsi="宋体" w:cs="宋体"/>
        </w:rPr>
        <w:t>%</w:t>
      </w:r>
      <w:r>
        <w:rPr>
          <w:rFonts w:ascii="宋体" w:hAnsi="宋体" w:cs="宋体"/>
        </w:rPr>
        <w:t>的种植屋面设计应设置防滑构造</w:t>
      </w:r>
      <w:r>
        <w:rPr>
          <w:rFonts w:hint="eastAsia" w:ascii="宋体" w:hAnsi="宋体" w:cs="宋体"/>
        </w:rPr>
        <w:t>。当设置防滑挡墙时，防水层应满包挡墙，挡墙应设置排水通道；当设置防滑板时，防水层和滤水层应在挡板下连续铺设。</w:t>
      </w:r>
    </w:p>
    <w:p w14:paraId="08BF09F8">
      <w:pPr>
        <w:spacing w:line="480" w:lineRule="exact"/>
        <w:jc w:val="center"/>
        <w:outlineLvl w:val="1"/>
        <w:rPr>
          <w:rFonts w:ascii="黑体" w:hAnsi="黑体" w:eastAsia="黑体" w:cs="黑体"/>
        </w:rPr>
      </w:pPr>
      <w:bookmarkStart w:id="35" w:name="_Toc27841"/>
      <w:r>
        <w:rPr>
          <w:rFonts w:hint="eastAsia" w:ascii="黑体" w:hAnsi="黑体" w:eastAsia="黑体" w:cs="黑体"/>
        </w:rPr>
        <w:t>5.3  有保护层的种植顶板防排水系统</w:t>
      </w:r>
      <w:bookmarkEnd w:id="35"/>
    </w:p>
    <w:p w14:paraId="6AE16482">
      <w:pPr>
        <w:spacing w:line="480" w:lineRule="exact"/>
        <w:rPr>
          <w:rFonts w:ascii="宋体" w:hAnsi="宋体" w:cs="宋体"/>
        </w:rPr>
      </w:pPr>
      <w:r>
        <w:rPr>
          <w:rFonts w:hint="eastAsia" w:ascii="宋体" w:hAnsi="宋体" w:cs="宋体"/>
        </w:rPr>
        <w:t xml:space="preserve">5.3.1 </w:t>
      </w:r>
      <w:r>
        <w:rPr>
          <w:rFonts w:ascii="宋体" w:hAnsi="宋体" w:cs="宋体"/>
        </w:rPr>
        <w:t xml:space="preserve"> </w:t>
      </w:r>
      <w:r>
        <w:rPr>
          <w:rFonts w:hint="eastAsia" w:ascii="宋体" w:hAnsi="宋体" w:cs="宋体"/>
        </w:rPr>
        <w:t>种植顶板应采用防水混凝土，宜采用结构找坡，坡度宜为</w:t>
      </w:r>
      <w:r>
        <w:rPr>
          <w:rFonts w:ascii="宋体" w:hAnsi="宋体" w:cs="宋体"/>
        </w:rPr>
        <w:t>1</w:t>
      </w:r>
      <w:r>
        <w:rPr>
          <w:rFonts w:hint="eastAsia"/>
          <w:kern w:val="0"/>
          <w:szCs w:val="21"/>
          <w:lang w:bidi="ar"/>
        </w:rPr>
        <w:t>～</w:t>
      </w:r>
      <w:r>
        <w:rPr>
          <w:rFonts w:ascii="宋体" w:hAnsi="宋体" w:cs="宋体"/>
        </w:rPr>
        <w:t>2</w:t>
      </w:r>
      <w:r>
        <w:rPr>
          <w:rFonts w:hint="eastAsia" w:ascii="宋体" w:hAnsi="宋体" w:cs="宋体"/>
        </w:rPr>
        <w:t>%；宜设计雨水收集系统。</w:t>
      </w:r>
    </w:p>
    <w:p w14:paraId="1716F8FF">
      <w:pPr>
        <w:spacing w:line="480" w:lineRule="exact"/>
        <w:rPr>
          <w:rFonts w:ascii="宋体" w:hAnsi="宋体" w:cs="宋体"/>
        </w:rPr>
      </w:pPr>
      <w:r>
        <w:rPr>
          <w:rFonts w:hint="eastAsia" w:ascii="宋体" w:hAnsi="宋体" w:cs="宋体"/>
        </w:rPr>
        <w:t xml:space="preserve">5.3.2 </w:t>
      </w:r>
      <w:r>
        <w:rPr>
          <w:rFonts w:ascii="宋体" w:hAnsi="宋体" w:cs="宋体"/>
        </w:rPr>
        <w:t xml:space="preserve"> </w:t>
      </w:r>
      <w:r>
        <w:rPr>
          <w:rFonts w:hint="eastAsia" w:ascii="宋体" w:hAnsi="宋体" w:cs="宋体"/>
        </w:rPr>
        <w:t>种植顶板防排水设计应包括主体结构防水、管线、花池、排水沟、通风井和亭、台、架、柱等构配件的防排水、泛水设计。</w:t>
      </w:r>
    </w:p>
    <w:p w14:paraId="514F8E7B">
      <w:pPr>
        <w:spacing w:line="480" w:lineRule="exact"/>
        <w:rPr>
          <w:rFonts w:ascii="宋体" w:hAnsi="宋体" w:cs="宋体"/>
        </w:rPr>
      </w:pPr>
      <w:r>
        <w:rPr>
          <w:rFonts w:hint="eastAsia" w:ascii="宋体" w:hAnsi="宋体" w:cs="宋体"/>
        </w:rPr>
        <w:t xml:space="preserve">5.3.3 </w:t>
      </w:r>
      <w:r>
        <w:rPr>
          <w:rFonts w:ascii="宋体" w:hAnsi="宋体" w:cs="宋体"/>
        </w:rPr>
        <w:t xml:space="preserve"> </w:t>
      </w:r>
      <w:r>
        <w:rPr>
          <w:rFonts w:hint="eastAsia" w:ascii="宋体" w:hAnsi="宋体" w:cs="宋体"/>
        </w:rPr>
        <w:t>种植顶板的基本构造层次包括：结构层、找坡层、找平层、普通防水层、耐根穿刺防水层、隔离层、保护层、排（蓄）水层、滤水层、种植基质、植被层，构造层次如图5</w:t>
      </w:r>
      <w:r>
        <w:rPr>
          <w:rFonts w:ascii="宋体" w:hAnsi="宋体" w:cs="宋体"/>
        </w:rPr>
        <w:t>.3.1所示</w:t>
      </w:r>
      <w:r>
        <w:rPr>
          <w:rFonts w:hint="eastAsia" w:ascii="宋体" w:hAnsi="宋体" w:cs="宋体"/>
        </w:rPr>
        <w:t>。设计人员可根据项目的具体情况进行组合。</w:t>
      </w:r>
    </w:p>
    <w:p w14:paraId="67FE87E6">
      <w:pPr>
        <w:spacing w:line="360" w:lineRule="auto"/>
        <w:jc w:val="center"/>
        <w:rPr>
          <w:sz w:val="24"/>
        </w:rPr>
      </w:pPr>
      <w:r>
        <w:drawing>
          <wp:inline distT="0" distB="0" distL="0" distR="0">
            <wp:extent cx="3888740" cy="3714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899962" cy="3725295"/>
                    </a:xfrm>
                    <a:prstGeom prst="rect">
                      <a:avLst/>
                    </a:prstGeom>
                  </pic:spPr>
                </pic:pic>
              </a:graphicData>
            </a:graphic>
          </wp:inline>
        </w:drawing>
      </w:r>
    </w:p>
    <w:p w14:paraId="0C595E52">
      <w:pPr>
        <w:spacing w:line="360" w:lineRule="auto"/>
        <w:jc w:val="center"/>
        <w:rPr>
          <w:rFonts w:ascii="宋体" w:hAnsi="宋体" w:cs="宋体"/>
          <w:szCs w:val="18"/>
        </w:rPr>
      </w:pPr>
      <w:r>
        <w:rPr>
          <w:rFonts w:hint="eastAsia" w:ascii="宋体" w:hAnsi="宋体" w:cs="宋体"/>
          <w:szCs w:val="18"/>
        </w:rPr>
        <w:t>图5.3.</w:t>
      </w:r>
      <w:r>
        <w:rPr>
          <w:rFonts w:ascii="宋体" w:hAnsi="宋体" w:cs="宋体"/>
          <w:szCs w:val="18"/>
        </w:rPr>
        <w:t xml:space="preserve">1 </w:t>
      </w:r>
      <w:r>
        <w:rPr>
          <w:rFonts w:hint="eastAsia" w:ascii="宋体" w:hAnsi="宋体" w:cs="宋体"/>
          <w:szCs w:val="18"/>
        </w:rPr>
        <w:t xml:space="preserve"> 有保护层地下室种植顶板构造层次</w:t>
      </w:r>
    </w:p>
    <w:p w14:paraId="04CF4BBD">
      <w:pPr>
        <w:spacing w:line="360" w:lineRule="auto"/>
        <w:jc w:val="center"/>
        <w:rPr>
          <w:sz w:val="24"/>
        </w:rPr>
      </w:pPr>
      <w:r>
        <w:rPr>
          <w:rFonts w:hint="eastAsia"/>
          <w:sz w:val="24"/>
        </w:rPr>
        <w:t>1</w:t>
      </w:r>
      <w:r>
        <w:rPr>
          <w:rFonts w:hint="eastAsia" w:ascii="宋体" w:hAnsi="宋体" w:cs="宋体"/>
          <w:szCs w:val="18"/>
        </w:rPr>
        <w:t>—植被层；2—种植基质；3—滤水层；4—排（蓄）水层；5—保护层；6—隔离层；</w:t>
      </w:r>
    </w:p>
    <w:p w14:paraId="48F7A547">
      <w:pPr>
        <w:spacing w:line="360" w:lineRule="auto"/>
        <w:jc w:val="center"/>
        <w:rPr>
          <w:rStyle w:val="19"/>
          <w:sz w:val="24"/>
        </w:rPr>
      </w:pPr>
      <w:r>
        <w:rPr>
          <w:rFonts w:hint="eastAsia" w:ascii="宋体" w:hAnsi="宋体" w:cs="宋体"/>
          <w:szCs w:val="18"/>
        </w:rPr>
        <w:t>7—耐根穿刺防水层；8—普通防水层；9—找平层；10—找坡层；1</w:t>
      </w:r>
      <w:r>
        <w:rPr>
          <w:rFonts w:ascii="宋体" w:hAnsi="宋体" w:cs="宋体"/>
          <w:szCs w:val="18"/>
        </w:rPr>
        <w:t>1</w:t>
      </w:r>
      <w:r>
        <w:rPr>
          <w:rFonts w:hint="eastAsia" w:ascii="宋体" w:hAnsi="宋体" w:cs="宋体"/>
          <w:szCs w:val="18"/>
        </w:rPr>
        <w:t>—结构层</w:t>
      </w:r>
    </w:p>
    <w:p w14:paraId="7AEB6DC0">
      <w:pPr>
        <w:pStyle w:val="11"/>
        <w:spacing w:line="360" w:lineRule="auto"/>
        <w:rPr>
          <w:rFonts w:ascii="宋体" w:hAnsi="宋体" w:cs="宋体"/>
        </w:rPr>
      </w:pPr>
      <w:r>
        <w:rPr>
          <w:rFonts w:hint="eastAsia" w:ascii="宋体" w:hAnsi="宋体" w:cs="宋体"/>
        </w:rPr>
        <w:t xml:space="preserve">5.3.4 </w:t>
      </w:r>
      <w:r>
        <w:rPr>
          <w:rFonts w:ascii="宋体" w:hAnsi="宋体" w:cs="宋体"/>
        </w:rPr>
        <w:t xml:space="preserve"> </w:t>
      </w:r>
      <w:r>
        <w:rPr>
          <w:rFonts w:hint="eastAsia" w:ascii="宋体" w:hAnsi="宋体" w:cs="宋体"/>
        </w:rPr>
        <w:t>有保温需求的地下室，种植顶板应增设保温层，保温层厚度应依据所在地区现行节能设计标准，经计算确定，种植顶板的构造层次参照本规程第5.2.1的规定。</w:t>
      </w:r>
    </w:p>
    <w:p w14:paraId="475AED53">
      <w:pPr>
        <w:spacing w:line="480" w:lineRule="exact"/>
        <w:rPr>
          <w:rFonts w:ascii="宋体" w:hAnsi="宋体" w:cs="宋体"/>
        </w:rPr>
      </w:pPr>
      <w:r>
        <w:rPr>
          <w:rFonts w:hint="eastAsia" w:ascii="宋体" w:hAnsi="宋体" w:cs="宋体"/>
        </w:rPr>
        <w:t xml:space="preserve">5.3.5 </w:t>
      </w:r>
      <w:r>
        <w:rPr>
          <w:rFonts w:ascii="宋体" w:hAnsi="宋体" w:cs="宋体"/>
        </w:rPr>
        <w:t xml:space="preserve"> </w:t>
      </w:r>
      <w:r>
        <w:rPr>
          <w:rFonts w:hint="eastAsia" w:ascii="宋体" w:hAnsi="宋体" w:cs="宋体"/>
        </w:rPr>
        <w:t>当种植土厚度小于600mm或种植土与周边自然土体不相连，且高于周边地坪时，应设置排水层。</w:t>
      </w:r>
    </w:p>
    <w:p w14:paraId="39F97139">
      <w:pPr>
        <w:spacing w:line="480" w:lineRule="exact"/>
        <w:rPr>
          <w:rFonts w:ascii="宋体" w:hAnsi="宋体" w:cs="宋体"/>
        </w:rPr>
      </w:pPr>
      <w:r>
        <w:rPr>
          <w:rFonts w:hint="eastAsia" w:ascii="宋体" w:hAnsi="宋体" w:cs="宋体"/>
        </w:rPr>
        <w:t>5.3.</w:t>
      </w:r>
      <w:r>
        <w:rPr>
          <w:rFonts w:ascii="宋体" w:hAnsi="宋体" w:cs="宋体"/>
        </w:rPr>
        <w:t xml:space="preserve">6  </w:t>
      </w:r>
      <w:r>
        <w:rPr>
          <w:rFonts w:hint="eastAsia" w:ascii="宋体" w:hAnsi="宋体" w:cs="宋体"/>
        </w:rPr>
        <w:t>当种植土与周边土体相连时，种植土中的蓄水宜通过盲沟或设置在边界的排水明沟排至周边土体或建筑排水系统中。</w:t>
      </w:r>
    </w:p>
    <w:p w14:paraId="79EAD960">
      <w:pPr>
        <w:spacing w:line="480" w:lineRule="exact"/>
        <w:rPr>
          <w:rFonts w:ascii="宋体" w:hAnsi="宋体" w:cs="宋体"/>
        </w:rPr>
      </w:pPr>
      <w:r>
        <w:rPr>
          <w:rFonts w:hint="eastAsia" w:ascii="宋体" w:hAnsi="宋体" w:cs="宋体"/>
        </w:rPr>
        <w:t>5.3.6</w:t>
      </w:r>
      <w:r>
        <w:rPr>
          <w:rFonts w:ascii="宋体" w:hAnsi="宋体" w:cs="宋体"/>
        </w:rPr>
        <w:t xml:space="preserve">  </w:t>
      </w:r>
      <w:r>
        <w:rPr>
          <w:rFonts w:hint="eastAsia" w:ascii="宋体" w:hAnsi="宋体" w:cs="宋体"/>
        </w:rPr>
        <w:t>耐根穿刺防水层表面应设置保护层。当保护层选用细石混凝土时，与防水层之间应设置隔离层。</w:t>
      </w:r>
    </w:p>
    <w:p w14:paraId="74FE31C1">
      <w:pPr>
        <w:spacing w:line="480" w:lineRule="exact"/>
        <w:rPr>
          <w:rFonts w:ascii="宋体" w:hAnsi="宋体" w:cs="宋体"/>
        </w:rPr>
      </w:pPr>
      <w:r>
        <w:rPr>
          <w:rFonts w:hint="eastAsia" w:ascii="宋体" w:hAnsi="宋体" w:cs="宋体"/>
        </w:rPr>
        <w:t xml:space="preserve">5.3.7 </w:t>
      </w:r>
      <w:r>
        <w:rPr>
          <w:rFonts w:ascii="宋体" w:hAnsi="宋体" w:cs="宋体"/>
        </w:rPr>
        <w:t xml:space="preserve"> </w:t>
      </w:r>
      <w:r>
        <w:rPr>
          <w:rFonts w:hint="eastAsia" w:ascii="宋体" w:hAnsi="宋体" w:cs="宋体"/>
        </w:rPr>
        <w:t xml:space="preserve">地下工程种植顶板排（蓄）水层应根据渗水性、蓄水量、稳定性、抗生物性等因素进行设计；排（蓄）水层应设置在保护层上面，并应结合排水沟分区设置。排（蓄）水层宜选用塑料排水板等轻质材料。排（蓄）水层上应设置过滤层，过滤层材料的搭接宽度不应小于 </w:t>
      </w:r>
      <w:r>
        <w:rPr>
          <w:rFonts w:hint="eastAsia" w:ascii="宋体" w:hAnsi="宋体" w:cs="宋体"/>
          <w:color w:val="000000" w:themeColor="text1"/>
          <w14:textFill>
            <w14:solidFill>
              <w14:schemeClr w14:val="tx1"/>
            </w14:solidFill>
          </w14:textFill>
        </w:rPr>
        <w:t>150mm。</w:t>
      </w:r>
    </w:p>
    <w:p w14:paraId="53704856">
      <w:pPr>
        <w:spacing w:line="480" w:lineRule="exact"/>
        <w:jc w:val="center"/>
        <w:outlineLvl w:val="1"/>
        <w:rPr>
          <w:rFonts w:ascii="黑体" w:hAnsi="黑体" w:eastAsia="黑体" w:cs="黑体"/>
        </w:rPr>
      </w:pPr>
      <w:bookmarkStart w:id="36" w:name="_Toc29193"/>
      <w:r>
        <w:rPr>
          <w:rFonts w:hint="eastAsia" w:ascii="黑体" w:hAnsi="黑体" w:eastAsia="黑体" w:cs="黑体"/>
        </w:rPr>
        <w:t xml:space="preserve">5.4 </w:t>
      </w:r>
      <w:r>
        <w:rPr>
          <w:rFonts w:ascii="黑体" w:hAnsi="黑体" w:eastAsia="黑体" w:cs="黑体"/>
        </w:rPr>
        <w:t xml:space="preserve"> </w:t>
      </w:r>
      <w:r>
        <w:rPr>
          <w:rFonts w:hint="eastAsia" w:ascii="黑体" w:hAnsi="黑体" w:eastAsia="黑体" w:cs="黑体"/>
        </w:rPr>
        <w:t>无保护层的种植顶板防排水系统</w:t>
      </w:r>
      <w:bookmarkEnd w:id="36"/>
    </w:p>
    <w:p w14:paraId="12F5551F">
      <w:pPr>
        <w:spacing w:line="480" w:lineRule="exact"/>
        <w:rPr>
          <w:rFonts w:ascii="宋体" w:hAnsi="宋体" w:cs="宋体"/>
        </w:rPr>
      </w:pPr>
      <w:r>
        <w:rPr>
          <w:rFonts w:hint="eastAsia" w:ascii="宋体" w:hAnsi="宋体" w:cs="宋体"/>
        </w:rPr>
        <w:t xml:space="preserve">5.4.1 </w:t>
      </w:r>
      <w:r>
        <w:rPr>
          <w:rFonts w:ascii="宋体" w:hAnsi="宋体" w:cs="宋体"/>
        </w:rPr>
        <w:t xml:space="preserve"> </w:t>
      </w:r>
      <w:r>
        <w:rPr>
          <w:rFonts w:hint="eastAsia" w:ascii="宋体" w:hAnsi="宋体" w:cs="宋体"/>
        </w:rPr>
        <w:t>种植顶板应采用防水混凝土，宜采用结构找坡，坡度宜为</w:t>
      </w:r>
      <w:r>
        <w:rPr>
          <w:rFonts w:ascii="宋体" w:hAnsi="宋体" w:cs="宋体"/>
        </w:rPr>
        <w:t>1</w:t>
      </w:r>
      <w:r>
        <w:rPr>
          <w:rFonts w:hint="eastAsia"/>
          <w:kern w:val="0"/>
          <w:szCs w:val="21"/>
          <w:lang w:bidi="ar"/>
        </w:rPr>
        <w:t>～</w:t>
      </w:r>
      <w:r>
        <w:rPr>
          <w:rFonts w:ascii="宋体" w:hAnsi="宋体" w:cs="宋体"/>
        </w:rPr>
        <w:t>2</w:t>
      </w:r>
      <w:r>
        <w:rPr>
          <w:rFonts w:hint="eastAsia" w:ascii="宋体" w:hAnsi="宋体" w:cs="宋体"/>
        </w:rPr>
        <w:t>%。宜设计排水雨水收集系统。</w:t>
      </w:r>
    </w:p>
    <w:p w14:paraId="7A34F1F1">
      <w:pPr>
        <w:spacing w:line="480" w:lineRule="exact"/>
        <w:rPr>
          <w:rFonts w:ascii="宋体" w:hAnsi="宋体" w:cs="宋体"/>
        </w:rPr>
      </w:pPr>
      <w:r>
        <w:rPr>
          <w:rFonts w:hint="eastAsia" w:ascii="宋体" w:hAnsi="宋体" w:cs="宋体"/>
        </w:rPr>
        <w:t xml:space="preserve">5.4.2 </w:t>
      </w:r>
      <w:r>
        <w:rPr>
          <w:rFonts w:ascii="宋体" w:hAnsi="宋体" w:cs="宋体"/>
        </w:rPr>
        <w:t xml:space="preserve"> </w:t>
      </w:r>
      <w:r>
        <w:rPr>
          <w:rFonts w:hint="eastAsia" w:ascii="宋体" w:hAnsi="宋体" w:cs="宋体"/>
        </w:rPr>
        <w:t>种植顶板防排水设计应包括主体结构防水、管线、花池、排水沟、通风井和亭、台、架、柱等构配件的防排水、泛水设计。</w:t>
      </w:r>
    </w:p>
    <w:p w14:paraId="15E28D51">
      <w:pPr>
        <w:spacing w:line="480" w:lineRule="exact"/>
        <w:rPr>
          <w:rFonts w:ascii="宋体" w:hAnsi="宋体" w:cs="宋体"/>
        </w:rPr>
      </w:pPr>
      <w:r>
        <w:rPr>
          <w:rFonts w:hint="eastAsia" w:ascii="宋体" w:hAnsi="宋体" w:cs="宋体"/>
        </w:rPr>
        <w:t xml:space="preserve">5.4.3 </w:t>
      </w:r>
      <w:r>
        <w:rPr>
          <w:rFonts w:ascii="宋体" w:hAnsi="宋体" w:cs="宋体"/>
        </w:rPr>
        <w:t xml:space="preserve"> </w:t>
      </w:r>
      <w:r>
        <w:rPr>
          <w:rFonts w:hint="eastAsia" w:ascii="宋体" w:hAnsi="宋体" w:cs="宋体"/>
        </w:rPr>
        <w:t>种植顶板面积较大放坡困难时，应分区设置排水系统及雨水收集系统。</w:t>
      </w:r>
    </w:p>
    <w:p w14:paraId="269CCBE2">
      <w:pPr>
        <w:spacing w:line="480" w:lineRule="exact"/>
        <w:rPr>
          <w:rFonts w:ascii="宋体" w:hAnsi="宋体" w:cs="宋体"/>
        </w:rPr>
      </w:pPr>
      <w:r>
        <w:rPr>
          <w:rFonts w:hint="eastAsia" w:ascii="宋体" w:hAnsi="宋体" w:cs="宋体"/>
        </w:rPr>
        <w:t xml:space="preserve">5.4.4 </w:t>
      </w:r>
      <w:r>
        <w:rPr>
          <w:rFonts w:ascii="宋体" w:hAnsi="宋体" w:cs="宋体"/>
        </w:rPr>
        <w:t xml:space="preserve"> </w:t>
      </w:r>
      <w:r>
        <w:rPr>
          <w:rFonts w:hint="eastAsia" w:ascii="宋体" w:hAnsi="宋体" w:cs="宋体"/>
        </w:rPr>
        <w:t>地下建筑物种植顶板的基本构造层次包括：结构顶板、普通防水层、耐根穿刺防水层、复合一体化塑料防护排水及配件系统、种植基质、植被层，构造层次如图5</w:t>
      </w:r>
      <w:r>
        <w:rPr>
          <w:rFonts w:ascii="宋体" w:hAnsi="宋体" w:cs="宋体"/>
        </w:rPr>
        <w:t>.4.1所示</w:t>
      </w:r>
      <w:r>
        <w:rPr>
          <w:rFonts w:hint="eastAsia" w:ascii="宋体" w:hAnsi="宋体" w:cs="宋体"/>
        </w:rPr>
        <w:t>。</w:t>
      </w:r>
    </w:p>
    <w:p w14:paraId="79BF74B7">
      <w:pPr>
        <w:spacing w:line="360" w:lineRule="auto"/>
        <w:jc w:val="center"/>
        <w:rPr>
          <w:sz w:val="24"/>
        </w:rPr>
      </w:pPr>
      <w:r>
        <w:drawing>
          <wp:inline distT="0" distB="0" distL="0" distR="0">
            <wp:extent cx="3639820" cy="23507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3658566" cy="2363136"/>
                    </a:xfrm>
                    <a:prstGeom prst="rect">
                      <a:avLst/>
                    </a:prstGeom>
                  </pic:spPr>
                </pic:pic>
              </a:graphicData>
            </a:graphic>
          </wp:inline>
        </w:drawing>
      </w:r>
    </w:p>
    <w:p w14:paraId="69CDD359">
      <w:pPr>
        <w:spacing w:line="360" w:lineRule="auto"/>
        <w:jc w:val="center"/>
        <w:rPr>
          <w:sz w:val="24"/>
        </w:rPr>
      </w:pPr>
      <w:r>
        <w:rPr>
          <w:rFonts w:hint="eastAsia" w:ascii="宋体" w:hAnsi="宋体" w:cs="宋体"/>
          <w:szCs w:val="18"/>
        </w:rPr>
        <w:t>图5</w:t>
      </w:r>
      <w:r>
        <w:rPr>
          <w:rFonts w:ascii="宋体" w:hAnsi="宋体" w:cs="宋体"/>
          <w:szCs w:val="18"/>
        </w:rPr>
        <w:t xml:space="preserve">.4.1  </w:t>
      </w:r>
      <w:r>
        <w:rPr>
          <w:rFonts w:hint="eastAsia" w:ascii="宋体" w:hAnsi="宋体" w:cs="宋体"/>
          <w:szCs w:val="18"/>
        </w:rPr>
        <w:t>无保护层地下室种植顶板构造层次</w:t>
      </w:r>
    </w:p>
    <w:p w14:paraId="638FB79C">
      <w:pPr>
        <w:spacing w:line="360" w:lineRule="auto"/>
        <w:jc w:val="center"/>
        <w:rPr>
          <w:rFonts w:ascii="宋体" w:hAnsi="宋体" w:cs="宋体"/>
          <w:szCs w:val="20"/>
        </w:rPr>
      </w:pPr>
      <w:r>
        <w:rPr>
          <w:rFonts w:hint="eastAsia" w:ascii="宋体" w:hAnsi="宋体" w:cs="宋体"/>
          <w:szCs w:val="20"/>
        </w:rPr>
        <w:t>1—植被层；2—种植基质；3—复合一体化塑料防护排水板及配件；</w:t>
      </w:r>
    </w:p>
    <w:p w14:paraId="495FA838">
      <w:pPr>
        <w:spacing w:line="360" w:lineRule="auto"/>
        <w:jc w:val="center"/>
        <w:rPr>
          <w:rFonts w:ascii="宋体" w:hAnsi="宋体" w:cs="宋体"/>
          <w:szCs w:val="20"/>
        </w:rPr>
      </w:pPr>
      <w:r>
        <w:rPr>
          <w:rFonts w:ascii="宋体" w:hAnsi="宋体" w:cs="宋体"/>
          <w:szCs w:val="20"/>
        </w:rPr>
        <w:t>4</w:t>
      </w:r>
      <w:r>
        <w:rPr>
          <w:rFonts w:hint="eastAsia" w:ascii="宋体" w:hAnsi="宋体" w:cs="宋体"/>
          <w:szCs w:val="20"/>
        </w:rPr>
        <w:t>—耐根穿刺防水层；</w:t>
      </w:r>
      <w:r>
        <w:rPr>
          <w:rFonts w:ascii="宋体" w:hAnsi="宋体" w:cs="宋体"/>
          <w:szCs w:val="20"/>
        </w:rPr>
        <w:t>5</w:t>
      </w:r>
      <w:r>
        <w:rPr>
          <w:rFonts w:hint="eastAsia" w:ascii="宋体" w:hAnsi="宋体" w:cs="宋体"/>
          <w:szCs w:val="20"/>
        </w:rPr>
        <w:t>—普通防水层；</w:t>
      </w:r>
      <w:r>
        <w:rPr>
          <w:rFonts w:ascii="宋体" w:hAnsi="宋体" w:cs="宋体"/>
          <w:szCs w:val="20"/>
        </w:rPr>
        <w:t>6</w:t>
      </w:r>
      <w:r>
        <w:rPr>
          <w:rFonts w:hint="eastAsia" w:ascii="宋体" w:hAnsi="宋体" w:cs="宋体"/>
          <w:szCs w:val="20"/>
        </w:rPr>
        <w:t>—结构顶板；</w:t>
      </w:r>
    </w:p>
    <w:p w14:paraId="0D77208A">
      <w:pPr>
        <w:spacing w:line="480" w:lineRule="exact"/>
      </w:pPr>
      <w:r>
        <w:rPr>
          <w:rFonts w:hint="eastAsia" w:ascii="宋体" w:hAnsi="宋体" w:cs="宋体"/>
        </w:rPr>
        <w:t>5.</w:t>
      </w:r>
      <w:r>
        <w:rPr>
          <w:rFonts w:ascii="宋体" w:hAnsi="宋体" w:cs="宋体"/>
        </w:rPr>
        <w:t>4</w:t>
      </w:r>
      <w:r>
        <w:rPr>
          <w:rFonts w:hint="eastAsia" w:ascii="宋体" w:hAnsi="宋体" w:cs="宋体"/>
        </w:rPr>
        <w:t xml:space="preserve">.5 </w:t>
      </w:r>
      <w:r>
        <w:rPr>
          <w:rFonts w:ascii="宋体" w:hAnsi="宋体" w:cs="宋体"/>
        </w:rPr>
        <w:t xml:space="preserve"> </w:t>
      </w:r>
      <w:r>
        <w:rPr>
          <w:rFonts w:hint="eastAsia" w:ascii="宋体" w:hAnsi="宋体" w:cs="宋体"/>
        </w:rPr>
        <w:t>有保温需求的地下室，种植顶板应增设保温层，保温层厚度应依据所在地区现行节能设计标准，经计算确定，种植顶板的构造层次参照本规程第5.2.1的规定。</w:t>
      </w:r>
    </w:p>
    <w:p w14:paraId="4F6D5676">
      <w:pPr>
        <w:spacing w:line="360" w:lineRule="auto"/>
        <w:rPr>
          <w:rFonts w:ascii="宋体" w:hAnsi="宋体" w:cs="宋体"/>
        </w:rPr>
      </w:pPr>
      <w:r>
        <w:rPr>
          <w:rFonts w:hint="eastAsia" w:ascii="宋体" w:hAnsi="宋体" w:cs="宋体"/>
        </w:rPr>
        <w:t xml:space="preserve">5.4.6 </w:t>
      </w:r>
      <w:r>
        <w:rPr>
          <w:rFonts w:ascii="宋体" w:hAnsi="宋体" w:cs="宋体"/>
        </w:rPr>
        <w:t xml:space="preserve"> </w:t>
      </w:r>
      <w:r>
        <w:rPr>
          <w:rFonts w:hint="eastAsia" w:ascii="宋体" w:hAnsi="宋体" w:cs="宋体"/>
        </w:rPr>
        <w:t>普通防水层一道防水设防的最小厚度应符合5.</w:t>
      </w:r>
      <w:r>
        <w:rPr>
          <w:rFonts w:ascii="宋体" w:hAnsi="宋体" w:cs="宋体"/>
        </w:rPr>
        <w:t>4</w:t>
      </w:r>
      <w:r>
        <w:rPr>
          <w:rFonts w:hint="eastAsia" w:ascii="宋体" w:hAnsi="宋体" w:cs="宋体"/>
        </w:rPr>
        <w:t>.6的规定。</w:t>
      </w:r>
    </w:p>
    <w:p w14:paraId="0A2D7DCA">
      <w:pPr>
        <w:spacing w:line="360" w:lineRule="auto"/>
        <w:jc w:val="center"/>
        <w:rPr>
          <w:rFonts w:ascii="宋体" w:hAnsi="宋体" w:cs="宋体"/>
          <w:szCs w:val="21"/>
        </w:rPr>
      </w:pPr>
      <w:r>
        <w:rPr>
          <w:rFonts w:hint="eastAsia" w:ascii="宋体" w:hAnsi="宋体" w:cs="宋体"/>
          <w:szCs w:val="21"/>
        </w:rPr>
        <w:t>表5.</w:t>
      </w:r>
      <w:r>
        <w:rPr>
          <w:rFonts w:ascii="宋体" w:hAnsi="宋体" w:cs="宋体"/>
          <w:szCs w:val="21"/>
        </w:rPr>
        <w:t>4</w:t>
      </w:r>
      <w:r>
        <w:rPr>
          <w:rFonts w:hint="eastAsia" w:ascii="宋体" w:hAnsi="宋体" w:cs="宋体"/>
          <w:szCs w:val="21"/>
        </w:rPr>
        <w:t>.6 普通防水层一道防水设防的最小厚度</w:t>
      </w:r>
    </w:p>
    <w:tbl>
      <w:tblPr>
        <w:tblStyle w:val="16"/>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2976"/>
        <w:gridCol w:w="2694"/>
      </w:tblGrid>
      <w:tr w14:paraId="3E7D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3" w:type="dxa"/>
            <w:gridSpan w:val="2"/>
          </w:tcPr>
          <w:p w14:paraId="719CF85C">
            <w:pPr>
              <w:pStyle w:val="11"/>
              <w:jc w:val="center"/>
              <w:rPr>
                <w:rFonts w:ascii="宋体" w:hAnsi="宋体" w:cs="宋体"/>
              </w:rPr>
            </w:pPr>
            <w:r>
              <w:rPr>
                <w:rFonts w:hint="eastAsia" w:ascii="宋体" w:hAnsi="宋体" w:cs="宋体"/>
              </w:rPr>
              <w:t>材料名称</w:t>
            </w:r>
          </w:p>
        </w:tc>
        <w:tc>
          <w:tcPr>
            <w:tcW w:w="2694" w:type="dxa"/>
          </w:tcPr>
          <w:p w14:paraId="6AA08F13">
            <w:pPr>
              <w:pStyle w:val="11"/>
              <w:jc w:val="center"/>
              <w:rPr>
                <w:rFonts w:ascii="宋体" w:hAnsi="宋体" w:cs="宋体"/>
              </w:rPr>
            </w:pPr>
            <w:r>
              <w:rPr>
                <w:rFonts w:hint="eastAsia" w:ascii="宋体" w:hAnsi="宋体" w:cs="宋体"/>
              </w:rPr>
              <w:t>最小厚度（mm）</w:t>
            </w:r>
          </w:p>
        </w:tc>
      </w:tr>
      <w:tr w14:paraId="27AA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3" w:type="dxa"/>
            <w:gridSpan w:val="2"/>
          </w:tcPr>
          <w:p w14:paraId="57A7A6C9">
            <w:pPr>
              <w:pStyle w:val="11"/>
              <w:jc w:val="center"/>
              <w:rPr>
                <w:rFonts w:ascii="宋体" w:hAnsi="宋体" w:cs="宋体"/>
              </w:rPr>
            </w:pPr>
            <w:r>
              <w:rPr>
                <w:rFonts w:hint="eastAsia" w:ascii="宋体" w:hAnsi="宋体" w:cs="宋体"/>
              </w:rPr>
              <w:t>改性沥青防水卷材</w:t>
            </w:r>
          </w:p>
        </w:tc>
        <w:tc>
          <w:tcPr>
            <w:tcW w:w="2694" w:type="dxa"/>
          </w:tcPr>
          <w:p w14:paraId="7EE50871">
            <w:pPr>
              <w:pStyle w:val="11"/>
              <w:jc w:val="center"/>
              <w:rPr>
                <w:rFonts w:ascii="宋体" w:hAnsi="宋体" w:cs="宋体"/>
              </w:rPr>
            </w:pPr>
            <w:r>
              <w:rPr>
                <w:rFonts w:hint="eastAsia" w:ascii="宋体" w:hAnsi="宋体" w:cs="宋体"/>
              </w:rPr>
              <w:t>4.0</w:t>
            </w:r>
          </w:p>
        </w:tc>
      </w:tr>
      <w:tr w14:paraId="2CC5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3" w:type="dxa"/>
            <w:gridSpan w:val="2"/>
          </w:tcPr>
          <w:p w14:paraId="761BA715">
            <w:pPr>
              <w:pStyle w:val="11"/>
              <w:jc w:val="center"/>
              <w:rPr>
                <w:rFonts w:ascii="宋体" w:hAnsi="宋体" w:cs="宋体"/>
              </w:rPr>
            </w:pPr>
            <w:r>
              <w:rPr>
                <w:rFonts w:hint="eastAsia" w:ascii="宋体" w:hAnsi="宋体" w:cs="宋体"/>
              </w:rPr>
              <w:t>高分子防水卷材</w:t>
            </w:r>
          </w:p>
        </w:tc>
        <w:tc>
          <w:tcPr>
            <w:tcW w:w="2694" w:type="dxa"/>
          </w:tcPr>
          <w:p w14:paraId="5E49A97C">
            <w:pPr>
              <w:pStyle w:val="11"/>
              <w:jc w:val="center"/>
              <w:rPr>
                <w:rFonts w:ascii="宋体" w:hAnsi="宋体" w:cs="宋体"/>
              </w:rPr>
            </w:pPr>
            <w:r>
              <w:rPr>
                <w:rFonts w:hint="eastAsia" w:ascii="宋体" w:hAnsi="宋体" w:cs="宋体"/>
              </w:rPr>
              <w:t>1.5</w:t>
            </w:r>
          </w:p>
        </w:tc>
      </w:tr>
      <w:tr w14:paraId="6AA3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restart"/>
          </w:tcPr>
          <w:p w14:paraId="7EFEA3BE">
            <w:pPr>
              <w:pStyle w:val="11"/>
              <w:jc w:val="center"/>
              <w:rPr>
                <w:rFonts w:ascii="宋体" w:hAnsi="宋体" w:cs="宋体"/>
              </w:rPr>
            </w:pPr>
            <w:r>
              <w:rPr>
                <w:rFonts w:hint="eastAsia" w:ascii="宋体" w:hAnsi="宋体" w:cs="宋体"/>
              </w:rPr>
              <w:t>自粘聚合物改性沥青防水卷材（含湿铺）</w:t>
            </w:r>
          </w:p>
        </w:tc>
        <w:tc>
          <w:tcPr>
            <w:tcW w:w="2976" w:type="dxa"/>
          </w:tcPr>
          <w:p w14:paraId="2DEF71E1">
            <w:pPr>
              <w:pStyle w:val="11"/>
              <w:jc w:val="center"/>
              <w:rPr>
                <w:rFonts w:ascii="宋体" w:hAnsi="宋体" w:cs="宋体"/>
              </w:rPr>
            </w:pPr>
            <w:r>
              <w:rPr>
                <w:rFonts w:hint="eastAsia" w:ascii="宋体" w:hAnsi="宋体" w:cs="宋体"/>
              </w:rPr>
              <w:t>聚酯胎类</w:t>
            </w:r>
          </w:p>
        </w:tc>
        <w:tc>
          <w:tcPr>
            <w:tcW w:w="2694" w:type="dxa"/>
          </w:tcPr>
          <w:p w14:paraId="6C1AE2CA">
            <w:pPr>
              <w:pStyle w:val="11"/>
              <w:jc w:val="center"/>
              <w:rPr>
                <w:rFonts w:ascii="宋体" w:hAnsi="宋体" w:cs="宋体"/>
              </w:rPr>
            </w:pPr>
            <w:r>
              <w:rPr>
                <w:rFonts w:hint="eastAsia" w:ascii="宋体" w:hAnsi="宋体" w:cs="宋体"/>
              </w:rPr>
              <w:t>3.0</w:t>
            </w:r>
          </w:p>
        </w:tc>
      </w:tr>
      <w:tr w14:paraId="2FE3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Merge w:val="continue"/>
          </w:tcPr>
          <w:p w14:paraId="45267010">
            <w:pPr>
              <w:pStyle w:val="11"/>
              <w:jc w:val="center"/>
              <w:rPr>
                <w:rFonts w:ascii="宋体" w:hAnsi="宋体" w:cs="宋体"/>
              </w:rPr>
            </w:pPr>
          </w:p>
        </w:tc>
        <w:tc>
          <w:tcPr>
            <w:tcW w:w="2976" w:type="dxa"/>
          </w:tcPr>
          <w:p w14:paraId="4FDC0BBD">
            <w:pPr>
              <w:pStyle w:val="11"/>
              <w:jc w:val="center"/>
              <w:rPr>
                <w:rFonts w:ascii="宋体" w:hAnsi="宋体" w:cs="宋体"/>
              </w:rPr>
            </w:pPr>
            <w:r>
              <w:rPr>
                <w:rFonts w:hint="eastAsia" w:ascii="宋体" w:hAnsi="宋体" w:cs="宋体"/>
              </w:rPr>
              <w:t>无胎类及高分子膜基</w:t>
            </w:r>
          </w:p>
        </w:tc>
        <w:tc>
          <w:tcPr>
            <w:tcW w:w="2694" w:type="dxa"/>
          </w:tcPr>
          <w:p w14:paraId="237DB7AB">
            <w:pPr>
              <w:pStyle w:val="11"/>
              <w:jc w:val="center"/>
              <w:rPr>
                <w:rFonts w:ascii="宋体" w:hAnsi="宋体" w:cs="宋体"/>
              </w:rPr>
            </w:pPr>
            <w:r>
              <w:rPr>
                <w:rFonts w:hint="eastAsia" w:ascii="宋体" w:hAnsi="宋体" w:cs="宋体"/>
              </w:rPr>
              <w:t>1.5</w:t>
            </w:r>
          </w:p>
        </w:tc>
      </w:tr>
      <w:tr w14:paraId="195E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3" w:type="dxa"/>
            <w:gridSpan w:val="2"/>
          </w:tcPr>
          <w:p w14:paraId="1B089C1E">
            <w:pPr>
              <w:pStyle w:val="11"/>
              <w:jc w:val="center"/>
              <w:rPr>
                <w:rFonts w:ascii="宋体" w:hAnsi="宋体" w:cs="宋体"/>
              </w:rPr>
            </w:pPr>
            <w:r>
              <w:rPr>
                <w:rFonts w:hint="eastAsia" w:ascii="宋体" w:hAnsi="宋体" w:cs="宋体"/>
              </w:rPr>
              <w:t>高分子防水涂料</w:t>
            </w:r>
          </w:p>
        </w:tc>
        <w:tc>
          <w:tcPr>
            <w:tcW w:w="2694" w:type="dxa"/>
          </w:tcPr>
          <w:p w14:paraId="1D80BD07">
            <w:pPr>
              <w:pStyle w:val="11"/>
              <w:jc w:val="center"/>
              <w:rPr>
                <w:rFonts w:ascii="宋体" w:hAnsi="宋体" w:cs="宋体"/>
              </w:rPr>
            </w:pPr>
            <w:r>
              <w:rPr>
                <w:rFonts w:hint="eastAsia" w:ascii="宋体" w:hAnsi="宋体" w:cs="宋体"/>
              </w:rPr>
              <w:t>2.0</w:t>
            </w:r>
          </w:p>
        </w:tc>
      </w:tr>
      <w:tr w14:paraId="1585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3" w:type="dxa"/>
            <w:gridSpan w:val="2"/>
          </w:tcPr>
          <w:p w14:paraId="0113D010">
            <w:pPr>
              <w:pStyle w:val="11"/>
              <w:jc w:val="center"/>
              <w:rPr>
                <w:rFonts w:ascii="宋体" w:hAnsi="宋体" w:cs="宋体"/>
              </w:rPr>
            </w:pPr>
            <w:r>
              <w:rPr>
                <w:rFonts w:hint="eastAsia" w:ascii="宋体" w:hAnsi="宋体" w:cs="宋体"/>
              </w:rPr>
              <w:t>非固化橡胶沥青防水涂料</w:t>
            </w:r>
          </w:p>
        </w:tc>
        <w:tc>
          <w:tcPr>
            <w:tcW w:w="2694" w:type="dxa"/>
          </w:tcPr>
          <w:p w14:paraId="32C2F4FB">
            <w:pPr>
              <w:pStyle w:val="11"/>
              <w:jc w:val="center"/>
              <w:rPr>
                <w:rFonts w:ascii="宋体" w:hAnsi="宋体" w:cs="宋体"/>
              </w:rPr>
            </w:pPr>
            <w:r>
              <w:rPr>
                <w:rFonts w:ascii="宋体" w:hAnsi="宋体" w:cs="宋体"/>
              </w:rPr>
              <w:t>2.0</w:t>
            </w:r>
          </w:p>
        </w:tc>
      </w:tr>
    </w:tbl>
    <w:p w14:paraId="7401B93D">
      <w:pPr>
        <w:spacing w:line="480" w:lineRule="exact"/>
        <w:rPr>
          <w:rFonts w:ascii="宋体" w:hAnsi="宋体" w:cs="宋体"/>
        </w:rPr>
      </w:pPr>
      <w:r>
        <w:rPr>
          <w:rFonts w:hint="eastAsia" w:ascii="宋体" w:hAnsi="宋体" w:cs="宋体"/>
        </w:rPr>
        <w:t xml:space="preserve">5.4.7 </w:t>
      </w:r>
      <w:r>
        <w:rPr>
          <w:rFonts w:ascii="宋体" w:hAnsi="宋体" w:cs="宋体"/>
        </w:rPr>
        <w:t xml:space="preserve"> </w:t>
      </w:r>
      <w:r>
        <w:rPr>
          <w:rFonts w:hint="eastAsia" w:ascii="宋体" w:hAnsi="宋体" w:cs="宋体"/>
        </w:rPr>
        <w:t>耐根穿刺防水层设计应符合本规程第4.1.3条的规定。</w:t>
      </w:r>
    </w:p>
    <w:p w14:paraId="3569A408">
      <w:pPr>
        <w:spacing w:line="480" w:lineRule="exact"/>
        <w:outlineLvl w:val="1"/>
        <w:rPr>
          <w:rFonts w:ascii="宋体" w:hAnsi="宋体" w:cs="宋体"/>
        </w:rPr>
      </w:pPr>
      <w:bookmarkStart w:id="37" w:name="_Toc7016"/>
      <w:r>
        <w:rPr>
          <w:rFonts w:hint="eastAsia" w:ascii="宋体" w:hAnsi="宋体" w:cs="宋体"/>
        </w:rPr>
        <w:t>5.4.8 排水层的设计应符合下列规定：</w:t>
      </w:r>
      <w:bookmarkEnd w:id="37"/>
    </w:p>
    <w:p w14:paraId="3DB32BC1">
      <w:pPr>
        <w:spacing w:line="480" w:lineRule="exact"/>
        <w:ind w:firstLine="420" w:firstLineChars="200"/>
        <w:rPr>
          <w:rStyle w:val="19"/>
        </w:rPr>
      </w:pPr>
      <w:r>
        <w:rPr>
          <w:rFonts w:hint="eastAsia" w:ascii="宋体" w:hAnsi="宋体" w:cs="宋体"/>
        </w:rPr>
        <w:t>1 排水层材料的设计应</w:t>
      </w:r>
      <w:r>
        <w:rPr>
          <w:rStyle w:val="19"/>
          <w:rFonts w:hint="eastAsia"/>
        </w:rPr>
        <w:t>符合T/CECS XXX-201X《复合一体化塑料防护排水板及配件》中的技术要求；</w:t>
      </w:r>
    </w:p>
    <w:p w14:paraId="716EE9EF">
      <w:pPr>
        <w:spacing w:line="480" w:lineRule="exact"/>
        <w:ind w:firstLine="420" w:firstLineChars="200"/>
        <w:outlineLvl w:val="0"/>
        <w:rPr>
          <w:rFonts w:ascii="宋体" w:hAnsi="宋体" w:cs="宋体"/>
        </w:rPr>
      </w:pPr>
      <w:bookmarkStart w:id="38" w:name="_Toc28757"/>
      <w:r>
        <w:rPr>
          <w:rFonts w:hint="eastAsia" w:ascii="宋体" w:hAnsi="宋体" w:cs="宋体"/>
        </w:rPr>
        <w:t>2</w:t>
      </w:r>
      <w:r>
        <w:rPr>
          <w:rFonts w:ascii="宋体" w:hAnsi="宋体" w:cs="宋体"/>
        </w:rPr>
        <w:t xml:space="preserve"> </w:t>
      </w:r>
      <w:r>
        <w:rPr>
          <w:rFonts w:hint="eastAsia" w:ascii="宋体" w:hAnsi="宋体" w:cs="宋体"/>
        </w:rPr>
        <w:t>排水层应分区设置。</w:t>
      </w:r>
      <w:bookmarkEnd w:id="38"/>
    </w:p>
    <w:p w14:paraId="13201C40">
      <w:pPr>
        <w:spacing w:line="480" w:lineRule="exact"/>
        <w:jc w:val="center"/>
        <w:outlineLvl w:val="1"/>
        <w:rPr>
          <w:rFonts w:ascii="黑体" w:hAnsi="黑体" w:eastAsia="黑体" w:cs="黑体"/>
        </w:rPr>
      </w:pPr>
      <w:bookmarkStart w:id="39" w:name="_Toc18529"/>
      <w:r>
        <w:rPr>
          <w:rFonts w:hint="eastAsia" w:ascii="黑体" w:hAnsi="黑体" w:eastAsia="黑体" w:cs="黑体"/>
        </w:rPr>
        <w:t>5.5  细部构造</w:t>
      </w:r>
      <w:bookmarkEnd w:id="39"/>
    </w:p>
    <w:p w14:paraId="53C91995">
      <w:pPr>
        <w:spacing w:line="480" w:lineRule="exact"/>
        <w:rPr>
          <w:rFonts w:ascii="宋体" w:hAnsi="宋体" w:cs="宋体"/>
        </w:rPr>
      </w:pPr>
      <w:r>
        <w:rPr>
          <w:rFonts w:hint="eastAsia" w:ascii="宋体" w:hAnsi="宋体" w:cs="宋体"/>
        </w:rPr>
        <w:t xml:space="preserve">5.5.1 </w:t>
      </w:r>
      <w:r>
        <w:rPr>
          <w:rFonts w:ascii="宋体" w:hAnsi="宋体" w:cs="宋体"/>
        </w:rPr>
        <w:t xml:space="preserve"> </w:t>
      </w:r>
      <w:r>
        <w:rPr>
          <w:rFonts w:hint="eastAsia" w:ascii="宋体" w:hAnsi="宋体" w:cs="宋体"/>
        </w:rPr>
        <w:t>种植屋面的女儿墙、周边泛水部位、屋面檐口部位和穿顶板管道部位周边，应设置挡土墙或缓冲带，其宽度不应小于300mm，屋面缓冲带可结合卵石带、园路或排水沟等设置。</w:t>
      </w:r>
    </w:p>
    <w:p w14:paraId="01A33F2B">
      <w:pPr>
        <w:spacing w:line="360" w:lineRule="auto"/>
        <w:rPr>
          <w:rFonts w:ascii="宋体" w:hAnsi="宋体" w:cs="宋体"/>
        </w:rPr>
      </w:pPr>
      <w:r>
        <w:rPr>
          <w:rFonts w:hint="eastAsia" w:ascii="宋体" w:hAnsi="宋体" w:cs="宋体"/>
        </w:rPr>
        <w:t xml:space="preserve">5.5.2 </w:t>
      </w:r>
      <w:r>
        <w:rPr>
          <w:rFonts w:ascii="宋体" w:hAnsi="宋体" w:cs="宋体"/>
        </w:rPr>
        <w:t xml:space="preserve"> </w:t>
      </w:r>
      <w:r>
        <w:rPr>
          <w:rFonts w:hint="eastAsia" w:ascii="宋体" w:hAnsi="宋体" w:cs="宋体"/>
        </w:rPr>
        <w:t>设置挡土墙时，挡土墙应设泄水孔或排水管。挡土墙顶高应高于种植土不小于150mm。</w:t>
      </w:r>
    </w:p>
    <w:p w14:paraId="3716CAC9">
      <w:pPr>
        <w:spacing w:line="360" w:lineRule="auto"/>
        <w:rPr>
          <w:rFonts w:ascii="宋体" w:hAnsi="宋体" w:cs="宋体"/>
        </w:rPr>
      </w:pPr>
      <w:r>
        <w:rPr>
          <w:rFonts w:hint="eastAsia" w:ascii="宋体" w:hAnsi="宋体" w:cs="宋体"/>
        </w:rPr>
        <w:t xml:space="preserve">5.5.3 </w:t>
      </w:r>
      <w:r>
        <w:rPr>
          <w:rFonts w:ascii="宋体" w:hAnsi="宋体" w:cs="宋体"/>
        </w:rPr>
        <w:t xml:space="preserve"> </w:t>
      </w:r>
      <w:r>
        <w:rPr>
          <w:rFonts w:hint="eastAsia" w:ascii="宋体" w:hAnsi="宋体" w:cs="宋体"/>
        </w:rPr>
        <w:t>竖向穿过</w:t>
      </w:r>
      <w:r>
        <w:rPr>
          <w:rStyle w:val="19"/>
          <w:rFonts w:hint="eastAsia"/>
        </w:rPr>
        <w:t>屋面</w:t>
      </w:r>
      <w:r>
        <w:rPr>
          <w:rFonts w:hint="eastAsia" w:ascii="宋体" w:hAnsi="宋体" w:cs="宋体"/>
        </w:rPr>
        <w:t>防水层的管道，应从结构层开始预埋套管，套管高出种植土不应小于250mm。</w:t>
      </w:r>
    </w:p>
    <w:p w14:paraId="13F4551F">
      <w:pPr>
        <w:spacing w:line="360" w:lineRule="auto"/>
        <w:rPr>
          <w:rFonts w:ascii="宋体" w:hAnsi="宋体" w:cs="宋体"/>
        </w:rPr>
      </w:pPr>
      <w:r>
        <w:rPr>
          <w:rFonts w:hint="eastAsia" w:ascii="宋体" w:hAnsi="宋体" w:cs="宋体"/>
        </w:rPr>
        <w:t xml:space="preserve">5.5.4 </w:t>
      </w:r>
      <w:r>
        <w:rPr>
          <w:rFonts w:ascii="宋体" w:hAnsi="宋体" w:cs="宋体"/>
        </w:rPr>
        <w:t xml:space="preserve"> </w:t>
      </w:r>
      <w:r>
        <w:rPr>
          <w:rFonts w:hint="eastAsia" w:ascii="宋体" w:hAnsi="宋体" w:cs="宋体"/>
        </w:rPr>
        <w:t>种植屋面变形缝上不应种植，变形缝墙应高于种植土。</w:t>
      </w:r>
    </w:p>
    <w:p w14:paraId="50E704BC">
      <w:pPr>
        <w:spacing w:line="480" w:lineRule="exact"/>
        <w:rPr>
          <w:rFonts w:ascii="宋体" w:hAnsi="宋体" w:cs="宋体"/>
        </w:rPr>
      </w:pPr>
      <w:r>
        <w:rPr>
          <w:rFonts w:hint="eastAsia" w:ascii="宋体" w:hAnsi="宋体" w:cs="宋体"/>
        </w:rPr>
        <w:t xml:space="preserve">5.5.5 </w:t>
      </w:r>
      <w:r>
        <w:rPr>
          <w:rFonts w:ascii="宋体" w:hAnsi="宋体" w:cs="宋体"/>
        </w:rPr>
        <w:t xml:space="preserve"> </w:t>
      </w:r>
      <w:r>
        <w:rPr>
          <w:rFonts w:hint="eastAsia" w:ascii="宋体" w:hAnsi="宋体" w:cs="宋体"/>
        </w:rPr>
        <w:t>种植屋面宜采用外排水方式，水落口宜结合缓冲带设置。</w:t>
      </w:r>
    </w:p>
    <w:p w14:paraId="287715EA">
      <w:pPr>
        <w:spacing w:line="480" w:lineRule="exact"/>
      </w:pPr>
      <w:r>
        <w:rPr>
          <w:rFonts w:hint="eastAsia" w:ascii="宋体" w:hAnsi="宋体" w:cs="宋体"/>
        </w:rPr>
        <w:t xml:space="preserve">5.5.6 </w:t>
      </w:r>
      <w:r>
        <w:rPr>
          <w:rFonts w:ascii="宋体" w:hAnsi="宋体" w:cs="宋体"/>
        </w:rPr>
        <w:t xml:space="preserve"> </w:t>
      </w:r>
      <w:r>
        <w:rPr>
          <w:rFonts w:hint="eastAsia" w:ascii="宋体" w:hAnsi="宋体" w:cs="宋体"/>
        </w:rPr>
        <w:t>坡屋面满覆盖种植时应采取挡墙或挡板等防滑措施，当设置防滑挡墙时，防水层应满包挡墙，挡墙应设置排水通道；当设置防滑挡板时，防水层和过滤层应在挡板下连续铺设（图5</w:t>
      </w:r>
      <w:r>
        <w:rPr>
          <w:rFonts w:ascii="宋体" w:hAnsi="宋体" w:cs="宋体"/>
        </w:rPr>
        <w:t>.5.1</w:t>
      </w:r>
      <w:r>
        <w:rPr>
          <w:rFonts w:hint="eastAsia" w:ascii="宋体" w:hAnsi="宋体" w:cs="宋体"/>
        </w:rPr>
        <w:t>）。</w:t>
      </w:r>
    </w:p>
    <w:p w14:paraId="5348B2D2">
      <w:pPr>
        <w:spacing w:line="360" w:lineRule="auto"/>
        <w:jc w:val="center"/>
        <w:rPr>
          <w:sz w:val="24"/>
        </w:rPr>
      </w:pPr>
      <w:r>
        <w:drawing>
          <wp:inline distT="0" distB="0" distL="0" distR="0">
            <wp:extent cx="3390900" cy="28213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3401610" cy="2829898"/>
                    </a:xfrm>
                    <a:prstGeom prst="rect">
                      <a:avLst/>
                    </a:prstGeom>
                  </pic:spPr>
                </pic:pic>
              </a:graphicData>
            </a:graphic>
          </wp:inline>
        </w:drawing>
      </w:r>
    </w:p>
    <w:p w14:paraId="255F7487">
      <w:pPr>
        <w:spacing w:line="360" w:lineRule="auto"/>
        <w:jc w:val="center"/>
        <w:rPr>
          <w:rFonts w:ascii="宋体" w:hAnsi="宋体" w:cs="宋体"/>
          <w:szCs w:val="20"/>
        </w:rPr>
      </w:pPr>
      <w:r>
        <w:rPr>
          <w:rFonts w:hint="eastAsia" w:ascii="宋体" w:hAnsi="宋体" w:cs="宋体"/>
          <w:szCs w:val="20"/>
        </w:rPr>
        <w:t>图5.5.</w:t>
      </w:r>
      <w:r>
        <w:rPr>
          <w:rFonts w:ascii="宋体" w:hAnsi="宋体" w:cs="宋体"/>
          <w:szCs w:val="20"/>
        </w:rPr>
        <w:t xml:space="preserve">1 </w:t>
      </w:r>
      <w:r>
        <w:rPr>
          <w:rFonts w:hint="eastAsia" w:ascii="宋体" w:hAnsi="宋体" w:cs="宋体"/>
          <w:szCs w:val="20"/>
        </w:rPr>
        <w:t xml:space="preserve"> 种植坡屋面挡墙防滑部位</w:t>
      </w:r>
    </w:p>
    <w:p w14:paraId="131C3D23">
      <w:pPr>
        <w:spacing w:line="360" w:lineRule="auto"/>
        <w:jc w:val="center"/>
        <w:rPr>
          <w:rFonts w:ascii="宋体" w:hAnsi="宋体" w:cs="宋体"/>
          <w:szCs w:val="20"/>
        </w:rPr>
      </w:pPr>
      <w:r>
        <w:rPr>
          <w:rFonts w:hint="eastAsia" w:ascii="宋体" w:hAnsi="宋体" w:cs="宋体"/>
          <w:szCs w:val="20"/>
        </w:rPr>
        <w:t>1—排水管（孔）；2—预埋钢筋；</w:t>
      </w:r>
      <w:r>
        <w:rPr>
          <w:rFonts w:ascii="宋体" w:hAnsi="宋体" w:cs="宋体"/>
          <w:szCs w:val="20"/>
        </w:rPr>
        <w:t>3</w:t>
      </w:r>
      <w:r>
        <w:rPr>
          <w:rFonts w:hint="eastAsia" w:ascii="宋体" w:hAnsi="宋体" w:cs="宋体"/>
          <w:szCs w:val="20"/>
        </w:rPr>
        <w:t>—卵石缓冲带；4—防水层</w:t>
      </w:r>
    </w:p>
    <w:p w14:paraId="09B0381B">
      <w:pPr>
        <w:spacing w:line="360" w:lineRule="auto"/>
        <w:rPr>
          <w:rFonts w:ascii="宋体" w:hAnsi="宋体" w:cs="宋体"/>
        </w:rPr>
      </w:pPr>
      <w:r>
        <w:rPr>
          <w:rFonts w:hint="eastAsia" w:ascii="宋体" w:hAnsi="宋体" w:cs="宋体"/>
        </w:rPr>
        <w:t xml:space="preserve">5.5.7 </w:t>
      </w:r>
      <w:r>
        <w:rPr>
          <w:rFonts w:ascii="宋体" w:hAnsi="宋体" w:cs="宋体"/>
        </w:rPr>
        <w:t xml:space="preserve"> </w:t>
      </w:r>
      <w:r>
        <w:rPr>
          <w:rFonts w:hint="eastAsia" w:ascii="宋体" w:hAnsi="宋体" w:cs="宋体"/>
        </w:rPr>
        <w:t>坡屋面种植檐口顶部应设种植土挡墙，挡墙应埋设排水管（孔），挡墙应铺设防水层，并与檐沟防水层连成一体。</w:t>
      </w:r>
    </w:p>
    <w:p w14:paraId="4045E4F9">
      <w:pPr>
        <w:pStyle w:val="11"/>
        <w:spacing w:line="360" w:lineRule="auto"/>
      </w:pPr>
      <w:r>
        <w:rPr>
          <w:rFonts w:hint="eastAsia" w:ascii="宋体" w:hAnsi="宋体" w:cs="宋体"/>
        </w:rPr>
        <w:t xml:space="preserve">5.5.8 </w:t>
      </w:r>
      <w:r>
        <w:rPr>
          <w:rFonts w:ascii="宋体" w:hAnsi="宋体" w:cs="宋体"/>
        </w:rPr>
        <w:t xml:space="preserve"> </w:t>
      </w:r>
      <w:r>
        <w:rPr>
          <w:rFonts w:hint="eastAsia" w:ascii="宋体" w:hAnsi="宋体" w:cs="宋体"/>
        </w:rPr>
        <w:t>种植</w:t>
      </w:r>
      <w:r>
        <w:rPr>
          <w:rFonts w:ascii="宋体" w:hAnsi="宋体" w:cs="宋体"/>
        </w:rPr>
        <w:t>顶板防水层的泛水高度高出种植土不应小于</w:t>
      </w:r>
      <w:r>
        <w:rPr>
          <w:rFonts w:hint="eastAsia" w:ascii="宋体" w:hAnsi="宋体" w:cs="宋体"/>
        </w:rPr>
        <w:t>50</w:t>
      </w:r>
      <w:r>
        <w:rPr>
          <w:rFonts w:ascii="宋体" w:hAnsi="宋体" w:cs="宋体"/>
        </w:rPr>
        <w:t>0mm</w:t>
      </w:r>
      <w:r>
        <w:rPr>
          <w:rFonts w:hint="eastAsia" w:ascii="宋体" w:hAnsi="宋体" w:cs="宋体"/>
        </w:rPr>
        <w:t>。</w:t>
      </w:r>
    </w:p>
    <w:p w14:paraId="0D859A92">
      <w:pPr>
        <w:spacing w:line="360" w:lineRule="auto"/>
        <w:rPr>
          <w:rFonts w:ascii="宋体" w:hAnsi="宋体" w:cs="宋体"/>
        </w:rPr>
      </w:pPr>
      <w:r>
        <w:rPr>
          <w:rFonts w:hint="eastAsia" w:ascii="宋体" w:hAnsi="宋体" w:cs="宋体"/>
        </w:rPr>
        <w:t>5.5.</w:t>
      </w:r>
      <w:r>
        <w:rPr>
          <w:rFonts w:ascii="宋体" w:hAnsi="宋体" w:cs="宋体"/>
        </w:rPr>
        <w:t>9</w:t>
      </w:r>
      <w:r>
        <w:rPr>
          <w:rFonts w:hint="eastAsia" w:ascii="宋体" w:hAnsi="宋体" w:cs="宋体"/>
        </w:rPr>
        <w:t xml:space="preserve"> </w:t>
      </w:r>
      <w:r>
        <w:rPr>
          <w:rFonts w:ascii="宋体" w:hAnsi="宋体" w:cs="宋体"/>
        </w:rPr>
        <w:t xml:space="preserve"> </w:t>
      </w:r>
      <w:r>
        <w:rPr>
          <w:rFonts w:hint="eastAsia" w:ascii="宋体" w:hAnsi="宋体" w:cs="宋体"/>
        </w:rPr>
        <w:t>种植顶板防水层下不得埋设水平管线，垂直穿越的管线应预埋套管，套管高出种植土不应小于250mm。</w:t>
      </w:r>
    </w:p>
    <w:p w14:paraId="2034A14E">
      <w:pPr>
        <w:spacing w:line="480" w:lineRule="exact"/>
        <w:rPr>
          <w:rFonts w:ascii="宋体" w:hAnsi="宋体" w:cs="宋体"/>
        </w:rPr>
      </w:pPr>
      <w:r>
        <w:rPr>
          <w:rFonts w:hint="eastAsia" w:ascii="宋体" w:hAnsi="宋体" w:cs="宋体"/>
        </w:rPr>
        <w:t>5.5.</w:t>
      </w:r>
      <w:r>
        <w:rPr>
          <w:rFonts w:ascii="宋体" w:hAnsi="宋体" w:cs="宋体"/>
        </w:rPr>
        <w:t>10</w:t>
      </w:r>
      <w:r>
        <w:rPr>
          <w:rFonts w:hint="eastAsia" w:ascii="宋体" w:hAnsi="宋体" w:cs="宋体"/>
        </w:rPr>
        <w:t xml:space="preserve"> </w:t>
      </w:r>
      <w:r>
        <w:rPr>
          <w:rFonts w:ascii="宋体" w:hAnsi="宋体" w:cs="宋体"/>
        </w:rPr>
        <w:t xml:space="preserve"> </w:t>
      </w:r>
      <w:r>
        <w:rPr>
          <w:rFonts w:hint="eastAsia" w:ascii="宋体" w:hAnsi="宋体" w:cs="宋体"/>
        </w:rPr>
        <w:t>无保护层的种植顶板防排水系统构造设计应符合下列规定：</w:t>
      </w:r>
    </w:p>
    <w:p w14:paraId="75DBE149">
      <w:pPr>
        <w:spacing w:line="480" w:lineRule="exact"/>
        <w:ind w:firstLine="420" w:firstLineChars="200"/>
        <w:rPr>
          <w:rFonts w:ascii="宋体" w:hAnsi="宋体" w:cs="宋体"/>
        </w:rPr>
      </w:pPr>
      <w:r>
        <w:rPr>
          <w:rFonts w:hint="eastAsia" w:ascii="宋体" w:hAnsi="宋体" w:cs="宋体"/>
        </w:rPr>
        <w:t>1 地下建筑顶板防水层的泛水高度高出种植土不应小于500mm。</w:t>
      </w:r>
    </w:p>
    <w:p w14:paraId="56DC8329">
      <w:pPr>
        <w:spacing w:line="480" w:lineRule="exact"/>
        <w:ind w:firstLine="420" w:firstLineChars="200"/>
        <w:rPr>
          <w:rFonts w:ascii="宋体" w:hAnsi="宋体" w:cs="宋体"/>
        </w:rPr>
      </w:pPr>
      <w:r>
        <w:rPr>
          <w:rFonts w:hint="eastAsia" w:ascii="宋体" w:hAnsi="宋体" w:cs="宋体"/>
        </w:rPr>
        <w:t xml:space="preserve">2 </w:t>
      </w:r>
      <w:r>
        <w:rPr>
          <w:rStyle w:val="19"/>
          <w:rFonts w:hint="eastAsia"/>
        </w:rPr>
        <w:t>复合一体化塑料防护排水板</w:t>
      </w:r>
      <w:r>
        <w:rPr>
          <w:rFonts w:ascii="宋体" w:hAnsi="宋体" w:cs="宋体"/>
        </w:rPr>
        <w:t>在高出地下工程种植顶板的建筑部位应</w:t>
      </w:r>
      <w:r>
        <w:rPr>
          <w:rFonts w:hint="eastAsia" w:ascii="宋体" w:hAnsi="宋体" w:cs="宋体"/>
        </w:rPr>
        <w:t>上返</w:t>
      </w:r>
      <w:r>
        <w:rPr>
          <w:rFonts w:ascii="宋体" w:hAnsi="宋体" w:cs="宋体"/>
        </w:rPr>
        <w:t>，</w:t>
      </w:r>
      <w:r>
        <w:rPr>
          <w:rFonts w:hint="eastAsia" w:ascii="宋体" w:hAnsi="宋体" w:cs="宋体"/>
        </w:rPr>
        <w:t>上返高度与覆土高度相同</w:t>
      </w:r>
      <w:r>
        <w:rPr>
          <w:rFonts w:ascii="宋体" w:hAnsi="宋体" w:cs="宋体"/>
        </w:rPr>
        <w:t>，并用双面自粘卷材粘接固定，固定时不能破坏防水层</w:t>
      </w:r>
      <w:r>
        <w:rPr>
          <w:rFonts w:hint="eastAsia" w:ascii="宋体" w:hAnsi="宋体" w:cs="宋体"/>
        </w:rPr>
        <w:t>，</w:t>
      </w:r>
      <w:r>
        <w:rPr>
          <w:rStyle w:val="19"/>
          <w:rFonts w:hint="eastAsia"/>
        </w:rPr>
        <w:t>复合一体化塑料防护排水板</w:t>
      </w:r>
      <w:r>
        <w:rPr>
          <w:rFonts w:hint="eastAsia" w:ascii="宋体" w:hAnsi="宋体" w:cs="宋体"/>
        </w:rPr>
        <w:t>收头部位用粘贴土工布进行封口处理，土工布宽度不小于200mm，</w:t>
      </w:r>
      <w:r>
        <w:rPr>
          <w:rFonts w:ascii="宋体" w:hAnsi="宋体" w:cs="宋体"/>
        </w:rPr>
        <w:t>如图</w:t>
      </w:r>
      <w:r>
        <w:rPr>
          <w:rFonts w:hint="eastAsia" w:ascii="宋体" w:hAnsi="宋体" w:cs="宋体"/>
        </w:rPr>
        <w:t>5</w:t>
      </w:r>
      <w:r>
        <w:rPr>
          <w:rFonts w:ascii="宋体" w:hAnsi="宋体" w:cs="宋体"/>
        </w:rPr>
        <w:t>.5</w:t>
      </w:r>
      <w:r>
        <w:rPr>
          <w:rFonts w:hint="eastAsia" w:ascii="宋体" w:hAnsi="宋体" w:cs="宋体"/>
        </w:rPr>
        <w:t>.</w:t>
      </w:r>
      <w:r>
        <w:rPr>
          <w:rFonts w:ascii="宋体" w:hAnsi="宋体" w:cs="宋体"/>
        </w:rPr>
        <w:t>2。</w:t>
      </w:r>
    </w:p>
    <w:p w14:paraId="096676AA">
      <w:pPr>
        <w:spacing w:line="360" w:lineRule="auto"/>
        <w:jc w:val="center"/>
        <w:rPr>
          <w:sz w:val="24"/>
        </w:rPr>
      </w:pPr>
      <w:r>
        <w:drawing>
          <wp:inline distT="0" distB="0" distL="0" distR="0">
            <wp:extent cx="3240405" cy="20148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3258845" cy="2026087"/>
                    </a:xfrm>
                    <a:prstGeom prst="rect">
                      <a:avLst/>
                    </a:prstGeom>
                  </pic:spPr>
                </pic:pic>
              </a:graphicData>
            </a:graphic>
          </wp:inline>
        </w:drawing>
      </w:r>
    </w:p>
    <w:p w14:paraId="10708C6D">
      <w:pPr>
        <w:spacing w:line="360" w:lineRule="auto"/>
        <w:jc w:val="center"/>
        <w:rPr>
          <w:rFonts w:ascii="宋体" w:hAnsi="宋体" w:cs="宋体"/>
          <w:szCs w:val="20"/>
        </w:rPr>
      </w:pPr>
      <w:r>
        <w:rPr>
          <w:rFonts w:hint="eastAsia" w:ascii="宋体" w:hAnsi="宋体" w:cs="宋体"/>
          <w:szCs w:val="20"/>
        </w:rPr>
        <w:t>图5.5.</w:t>
      </w:r>
      <w:r>
        <w:rPr>
          <w:rFonts w:ascii="宋体" w:hAnsi="宋体" w:cs="宋体"/>
          <w:szCs w:val="20"/>
        </w:rPr>
        <w:t>2</w:t>
      </w:r>
      <w:r>
        <w:rPr>
          <w:rFonts w:hint="eastAsia" w:ascii="宋体" w:hAnsi="宋体" w:cs="宋体"/>
          <w:szCs w:val="20"/>
        </w:rPr>
        <w:t xml:space="preserve"> 地下种植顶板立墙泛水部位</w:t>
      </w:r>
    </w:p>
    <w:p w14:paraId="3DEF0B87">
      <w:pPr>
        <w:spacing w:line="360" w:lineRule="auto"/>
        <w:jc w:val="center"/>
        <w:rPr>
          <w:rFonts w:ascii="宋体" w:hAnsi="宋体" w:cs="宋体"/>
          <w:szCs w:val="20"/>
        </w:rPr>
      </w:pPr>
      <w:r>
        <w:rPr>
          <w:rFonts w:hint="eastAsia" w:ascii="宋体" w:hAnsi="宋体" w:cs="宋体"/>
          <w:szCs w:val="20"/>
        </w:rPr>
        <w:t>1—土工布粘贴固定；</w:t>
      </w:r>
      <w:r>
        <w:rPr>
          <w:rFonts w:ascii="宋体" w:hAnsi="宋体" w:cs="宋体"/>
          <w:szCs w:val="20"/>
        </w:rPr>
        <w:t>2</w:t>
      </w:r>
      <w:r>
        <w:rPr>
          <w:rFonts w:hint="eastAsia" w:ascii="宋体" w:hAnsi="宋体" w:cs="宋体"/>
          <w:szCs w:val="20"/>
        </w:rPr>
        <w:t>—复合一体化塑料防护排水板；</w:t>
      </w:r>
      <w:r>
        <w:rPr>
          <w:rFonts w:ascii="宋体" w:hAnsi="宋体" w:cs="宋体"/>
          <w:szCs w:val="20"/>
        </w:rPr>
        <w:t>3</w:t>
      </w:r>
      <w:r>
        <w:rPr>
          <w:rFonts w:hint="eastAsia" w:ascii="宋体" w:hAnsi="宋体" w:cs="宋体"/>
          <w:szCs w:val="20"/>
        </w:rPr>
        <w:t>—粘结材料固定； 4—防水层</w:t>
      </w:r>
    </w:p>
    <w:p w14:paraId="5EB39AAD">
      <w:pPr>
        <w:spacing w:line="480" w:lineRule="exact"/>
        <w:ind w:firstLine="420" w:firstLineChars="200"/>
        <w:rPr>
          <w:rFonts w:ascii="宋体" w:hAnsi="宋体" w:cs="宋体"/>
        </w:rPr>
      </w:pPr>
      <w:r>
        <w:rPr>
          <w:rFonts w:hint="eastAsia" w:ascii="宋体" w:hAnsi="宋体" w:cs="宋体"/>
        </w:rPr>
        <w:t>3 地下工程种植顶板穿墙管处，防排水系统铺设到管根处，收头处用混凝土堆压固定，地下种植顶板穿管处构造做法如图5</w:t>
      </w:r>
      <w:r>
        <w:rPr>
          <w:rFonts w:ascii="宋体" w:hAnsi="宋体" w:cs="宋体"/>
        </w:rPr>
        <w:t>.5.3</w:t>
      </w:r>
      <w:r>
        <w:rPr>
          <w:rFonts w:hint="eastAsia" w:ascii="宋体" w:hAnsi="宋体" w:cs="宋体"/>
        </w:rPr>
        <w:t>。</w:t>
      </w:r>
    </w:p>
    <w:p w14:paraId="54272450">
      <w:pPr>
        <w:spacing w:line="360" w:lineRule="auto"/>
        <w:jc w:val="center"/>
        <w:rPr>
          <w:rFonts w:ascii="宋体" w:hAnsi="宋体" w:cs="宋体"/>
          <w:szCs w:val="20"/>
        </w:rPr>
      </w:pPr>
      <w:r>
        <w:drawing>
          <wp:inline distT="0" distB="0" distL="0" distR="0">
            <wp:extent cx="3806825" cy="3292475"/>
            <wp:effectExtent l="0" t="0" r="317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3816837" cy="3301245"/>
                    </a:xfrm>
                    <a:prstGeom prst="rect">
                      <a:avLst/>
                    </a:prstGeom>
                  </pic:spPr>
                </pic:pic>
              </a:graphicData>
            </a:graphic>
          </wp:inline>
        </w:drawing>
      </w:r>
    </w:p>
    <w:p w14:paraId="0CE0068E">
      <w:pPr>
        <w:spacing w:line="360" w:lineRule="auto"/>
        <w:jc w:val="center"/>
        <w:rPr>
          <w:rFonts w:ascii="宋体" w:hAnsi="宋体" w:cs="宋体"/>
          <w:szCs w:val="20"/>
        </w:rPr>
      </w:pPr>
      <w:r>
        <w:rPr>
          <w:rFonts w:hint="eastAsia" w:ascii="宋体" w:hAnsi="宋体" w:cs="宋体"/>
          <w:szCs w:val="20"/>
        </w:rPr>
        <w:t>图5.5.</w:t>
      </w:r>
      <w:r>
        <w:rPr>
          <w:rFonts w:ascii="宋体" w:hAnsi="宋体" w:cs="宋体"/>
          <w:szCs w:val="20"/>
        </w:rPr>
        <w:t xml:space="preserve">3 </w:t>
      </w:r>
      <w:r>
        <w:rPr>
          <w:rFonts w:hint="eastAsia" w:ascii="宋体" w:hAnsi="宋体" w:cs="宋体"/>
          <w:szCs w:val="20"/>
        </w:rPr>
        <w:t xml:space="preserve"> 地下种植顶板穿墙管部位</w:t>
      </w:r>
    </w:p>
    <w:p w14:paraId="43C320EF">
      <w:pPr>
        <w:spacing w:line="360" w:lineRule="auto"/>
        <w:jc w:val="center"/>
        <w:rPr>
          <w:rFonts w:ascii="宋体" w:hAnsi="宋体" w:cs="宋体"/>
          <w:szCs w:val="20"/>
        </w:rPr>
      </w:pPr>
      <w:r>
        <w:rPr>
          <w:rFonts w:hint="eastAsia" w:ascii="宋体" w:hAnsi="宋体" w:cs="宋体"/>
          <w:szCs w:val="20"/>
        </w:rPr>
        <w:t>1—粘结材料固定；2—阴角圆弧角；3—填充材料；</w:t>
      </w:r>
    </w:p>
    <w:p w14:paraId="4026543A">
      <w:pPr>
        <w:spacing w:line="360" w:lineRule="auto"/>
        <w:jc w:val="center"/>
        <w:rPr>
          <w:rFonts w:ascii="宋体" w:hAnsi="宋体" w:cs="宋体"/>
          <w:szCs w:val="20"/>
        </w:rPr>
      </w:pPr>
      <w:r>
        <w:rPr>
          <w:rFonts w:hint="eastAsia" w:ascii="宋体" w:hAnsi="宋体" w:cs="宋体"/>
          <w:szCs w:val="20"/>
        </w:rPr>
        <w:t>4—土工布粘贴固定；5—复合一体化塑料防护排水板；6—防水层</w:t>
      </w:r>
    </w:p>
    <w:p w14:paraId="1C9F5585">
      <w:pPr>
        <w:spacing w:line="480" w:lineRule="exact"/>
        <w:ind w:firstLine="420" w:firstLineChars="200"/>
        <w:rPr>
          <w:rFonts w:ascii="宋体" w:hAnsi="宋体" w:cs="宋体"/>
        </w:rPr>
      </w:pPr>
      <w:r>
        <w:rPr>
          <w:rFonts w:hint="eastAsia" w:ascii="宋体" w:hAnsi="宋体" w:cs="宋体"/>
        </w:rPr>
        <w:t>4 种植顶板高低跨，防排水系统可直接下返处理，形成封闭排水层，种植顶板高低跨处构造做法，如图</w:t>
      </w:r>
      <w:r>
        <w:rPr>
          <w:rFonts w:ascii="宋体" w:hAnsi="宋体" w:cs="宋体"/>
        </w:rPr>
        <w:t>5.5.4</w:t>
      </w:r>
      <w:r>
        <w:rPr>
          <w:rFonts w:hint="eastAsia" w:ascii="宋体" w:hAnsi="宋体" w:cs="宋体"/>
        </w:rPr>
        <w:t>。</w:t>
      </w:r>
    </w:p>
    <w:p w14:paraId="28499A98">
      <w:pPr>
        <w:spacing w:line="360" w:lineRule="auto"/>
        <w:jc w:val="center"/>
        <w:rPr>
          <w:sz w:val="24"/>
        </w:rPr>
      </w:pPr>
      <w:r>
        <w:drawing>
          <wp:inline distT="0" distB="0" distL="0" distR="0">
            <wp:extent cx="3471545" cy="294513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3494712" cy="2965413"/>
                    </a:xfrm>
                    <a:prstGeom prst="rect">
                      <a:avLst/>
                    </a:prstGeom>
                  </pic:spPr>
                </pic:pic>
              </a:graphicData>
            </a:graphic>
          </wp:inline>
        </w:drawing>
      </w:r>
    </w:p>
    <w:p w14:paraId="781EECBD">
      <w:pPr>
        <w:spacing w:line="360" w:lineRule="auto"/>
        <w:jc w:val="center"/>
        <w:rPr>
          <w:rFonts w:ascii="宋体" w:hAnsi="宋体" w:cs="宋体"/>
          <w:szCs w:val="20"/>
        </w:rPr>
      </w:pPr>
      <w:r>
        <w:rPr>
          <w:rFonts w:hint="eastAsia" w:ascii="宋体" w:hAnsi="宋体" w:cs="宋体"/>
          <w:szCs w:val="20"/>
        </w:rPr>
        <w:t>图5.5.</w:t>
      </w:r>
      <w:r>
        <w:rPr>
          <w:rFonts w:ascii="宋体" w:hAnsi="宋体" w:cs="宋体"/>
          <w:szCs w:val="20"/>
        </w:rPr>
        <w:t xml:space="preserve">4 </w:t>
      </w:r>
      <w:r>
        <w:rPr>
          <w:rFonts w:hint="eastAsia" w:ascii="宋体" w:hAnsi="宋体" w:cs="宋体"/>
          <w:szCs w:val="20"/>
        </w:rPr>
        <w:t xml:space="preserve"> 地下种植顶板高低跨部位</w:t>
      </w:r>
    </w:p>
    <w:p w14:paraId="14D781E5">
      <w:pPr>
        <w:spacing w:line="360" w:lineRule="auto"/>
        <w:jc w:val="center"/>
        <w:rPr>
          <w:rFonts w:ascii="宋体" w:hAnsi="宋体" w:cs="宋体"/>
          <w:szCs w:val="20"/>
        </w:rPr>
      </w:pPr>
      <w:r>
        <w:rPr>
          <w:rFonts w:ascii="宋体" w:hAnsi="宋体" w:cs="宋体"/>
          <w:szCs w:val="20"/>
        </w:rPr>
        <w:t>1</w:t>
      </w:r>
      <w:r>
        <w:rPr>
          <w:rFonts w:hint="eastAsia" w:ascii="宋体" w:hAnsi="宋体" w:cs="宋体"/>
          <w:szCs w:val="20"/>
        </w:rPr>
        <w:t>—土工布粘贴固定；2—阴角圆弧角；</w:t>
      </w:r>
      <w:r>
        <w:rPr>
          <w:rFonts w:ascii="宋体" w:hAnsi="宋体" w:cs="宋体"/>
          <w:szCs w:val="20"/>
        </w:rPr>
        <w:t>3</w:t>
      </w:r>
      <w:r>
        <w:rPr>
          <w:rFonts w:hint="eastAsia" w:ascii="宋体" w:hAnsi="宋体" w:cs="宋体"/>
          <w:szCs w:val="20"/>
        </w:rPr>
        <w:t>—粘结材料固定；</w:t>
      </w:r>
    </w:p>
    <w:p w14:paraId="7C93BD84">
      <w:pPr>
        <w:spacing w:line="360" w:lineRule="auto"/>
        <w:jc w:val="center"/>
        <w:rPr>
          <w:rFonts w:ascii="宋体" w:hAnsi="宋体" w:cs="宋体"/>
          <w:szCs w:val="20"/>
        </w:rPr>
      </w:pPr>
      <w:r>
        <w:rPr>
          <w:rFonts w:ascii="宋体" w:hAnsi="宋体" w:cs="宋体"/>
          <w:szCs w:val="20"/>
        </w:rPr>
        <w:t>4</w:t>
      </w:r>
      <w:r>
        <w:rPr>
          <w:rFonts w:hint="eastAsia" w:ascii="宋体" w:hAnsi="宋体" w:cs="宋体"/>
          <w:szCs w:val="20"/>
        </w:rPr>
        <w:t>—防水层；5—复合一体化塑料防护排水板</w:t>
      </w:r>
    </w:p>
    <w:p w14:paraId="5E6040F4">
      <w:pPr>
        <w:spacing w:line="480" w:lineRule="exact"/>
        <w:ind w:firstLine="420" w:firstLineChars="200"/>
        <w:rPr>
          <w:rFonts w:ascii="宋体" w:hAnsi="宋体" w:cs="宋体"/>
        </w:rPr>
      </w:pPr>
      <w:r>
        <w:rPr>
          <w:rFonts w:hint="eastAsia" w:ascii="宋体" w:hAnsi="宋体" w:cs="宋体"/>
        </w:rPr>
        <w:t>5 塑料防护排水板采用粘接法进行平缝对接，接缝处用土工布胶粘覆盖，如图5</w:t>
      </w:r>
      <w:r>
        <w:rPr>
          <w:rFonts w:ascii="宋体" w:hAnsi="宋体" w:cs="宋体"/>
        </w:rPr>
        <w:t>.5.5</w:t>
      </w:r>
      <w:r>
        <w:rPr>
          <w:rFonts w:hint="eastAsia" w:ascii="宋体" w:hAnsi="宋体" w:cs="宋体"/>
        </w:rPr>
        <w:t>。</w:t>
      </w:r>
    </w:p>
    <w:p w14:paraId="6C67B00D">
      <w:pPr>
        <w:spacing w:line="360" w:lineRule="auto"/>
        <w:jc w:val="center"/>
        <w:rPr>
          <w:rFonts w:ascii="宋体" w:hAnsi="宋体" w:cs="宋体"/>
          <w:szCs w:val="20"/>
        </w:rPr>
      </w:pPr>
      <w:r>
        <w:drawing>
          <wp:inline distT="0" distB="0" distL="0" distR="0">
            <wp:extent cx="2476500" cy="38658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2483780" cy="3876384"/>
                    </a:xfrm>
                    <a:prstGeom prst="rect">
                      <a:avLst/>
                    </a:prstGeom>
                  </pic:spPr>
                </pic:pic>
              </a:graphicData>
            </a:graphic>
          </wp:inline>
        </w:drawing>
      </w:r>
    </w:p>
    <w:p w14:paraId="49FA9BBF">
      <w:pPr>
        <w:spacing w:line="360" w:lineRule="auto"/>
        <w:jc w:val="center"/>
        <w:rPr>
          <w:rFonts w:ascii="宋体" w:hAnsi="宋体" w:cs="宋体"/>
          <w:szCs w:val="20"/>
        </w:rPr>
      </w:pPr>
      <w:r>
        <w:rPr>
          <w:rFonts w:hint="eastAsia" w:ascii="宋体" w:hAnsi="宋体" w:cs="宋体"/>
          <w:szCs w:val="20"/>
        </w:rPr>
        <w:t>图5.5.</w:t>
      </w:r>
      <w:r>
        <w:rPr>
          <w:rFonts w:ascii="宋体" w:hAnsi="宋体" w:cs="宋体"/>
          <w:szCs w:val="20"/>
        </w:rPr>
        <w:t xml:space="preserve">5  </w:t>
      </w:r>
      <w:r>
        <w:rPr>
          <w:rFonts w:hint="eastAsia" w:ascii="宋体" w:hAnsi="宋体" w:cs="宋体"/>
          <w:szCs w:val="20"/>
        </w:rPr>
        <w:t>塑料防护排水板在搭接部位</w:t>
      </w:r>
    </w:p>
    <w:p w14:paraId="3E0A808A">
      <w:pPr>
        <w:spacing w:line="360" w:lineRule="auto"/>
        <w:jc w:val="center"/>
        <w:rPr>
          <w:rFonts w:ascii="宋体" w:hAnsi="宋体" w:cs="宋体"/>
          <w:szCs w:val="20"/>
        </w:rPr>
      </w:pPr>
      <w:r>
        <w:rPr>
          <w:rFonts w:ascii="宋体" w:hAnsi="宋体" w:cs="宋体"/>
          <w:szCs w:val="20"/>
        </w:rPr>
        <w:t>1</w:t>
      </w:r>
      <w:r>
        <w:rPr>
          <w:rFonts w:hint="eastAsia" w:ascii="宋体" w:hAnsi="宋体" w:cs="宋体"/>
          <w:szCs w:val="20"/>
        </w:rPr>
        <w:t>—复合一体化塑料防护排水板；2—用于长边整幅预留端搭接无纺布；</w:t>
      </w:r>
    </w:p>
    <w:p w14:paraId="5BBDBF03">
      <w:pPr>
        <w:spacing w:line="360" w:lineRule="auto"/>
        <w:jc w:val="center"/>
        <w:rPr>
          <w:rFonts w:ascii="宋体" w:hAnsi="宋体" w:cs="宋体"/>
          <w:szCs w:val="20"/>
        </w:rPr>
      </w:pPr>
      <w:r>
        <w:rPr>
          <w:rFonts w:ascii="宋体" w:hAnsi="宋体" w:cs="宋体"/>
          <w:szCs w:val="20"/>
        </w:rPr>
        <w:t>3</w:t>
      </w:r>
      <w:r>
        <w:rPr>
          <w:rFonts w:hint="eastAsia" w:ascii="宋体" w:hAnsi="宋体" w:cs="宋体"/>
          <w:szCs w:val="20"/>
        </w:rPr>
        <w:t>—粘结材料固定；</w:t>
      </w:r>
      <w:r>
        <w:rPr>
          <w:rFonts w:ascii="宋体" w:hAnsi="宋体" w:cs="宋体"/>
          <w:szCs w:val="20"/>
        </w:rPr>
        <w:t>4</w:t>
      </w:r>
      <w:r>
        <w:rPr>
          <w:rFonts w:hint="eastAsia" w:ascii="宋体" w:hAnsi="宋体" w:cs="宋体"/>
          <w:szCs w:val="20"/>
        </w:rPr>
        <w:t>—防水层；5—用于长边裁切或短边搭接无纺布</w:t>
      </w:r>
    </w:p>
    <w:p w14:paraId="7B39664A">
      <w:pPr>
        <w:spacing w:line="480" w:lineRule="exact"/>
        <w:rPr>
          <w:rFonts w:ascii="宋体" w:hAnsi="宋体" w:cs="宋体"/>
        </w:rPr>
      </w:pPr>
      <w:r>
        <w:rPr>
          <w:rFonts w:hint="eastAsia" w:ascii="宋体" w:hAnsi="宋体" w:cs="宋体"/>
        </w:rPr>
        <w:t>6 塑料防护排水板在铺设时应搭配透气观察管使用，对渗透水起到加速引流导排的作用，透气观察管构造做法如图5.5.</w:t>
      </w:r>
      <w:r>
        <w:rPr>
          <w:rFonts w:ascii="宋体" w:hAnsi="宋体" w:cs="宋体"/>
        </w:rPr>
        <w:t>6</w:t>
      </w:r>
      <w:r>
        <w:rPr>
          <w:rFonts w:hint="eastAsia" w:ascii="宋体" w:hAnsi="宋体" w:cs="宋体"/>
        </w:rPr>
        <w:t>。</w:t>
      </w:r>
    </w:p>
    <w:p w14:paraId="06726F4A">
      <w:pPr>
        <w:jc w:val="center"/>
        <w:rPr>
          <w:rFonts w:ascii="宋体" w:hAnsi="宋体" w:cs="宋体"/>
          <w:sz w:val="18"/>
          <w:szCs w:val="20"/>
        </w:rPr>
      </w:pPr>
      <w:r>
        <w:drawing>
          <wp:inline distT="0" distB="0" distL="0" distR="0">
            <wp:extent cx="2430145" cy="3047365"/>
            <wp:effectExtent l="0" t="0" r="825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2441858" cy="3061435"/>
                    </a:xfrm>
                    <a:prstGeom prst="rect">
                      <a:avLst/>
                    </a:prstGeom>
                  </pic:spPr>
                </pic:pic>
              </a:graphicData>
            </a:graphic>
          </wp:inline>
        </w:drawing>
      </w:r>
    </w:p>
    <w:p w14:paraId="4EFA00E0">
      <w:pPr>
        <w:spacing w:line="360" w:lineRule="auto"/>
        <w:jc w:val="center"/>
        <w:rPr>
          <w:rFonts w:ascii="宋体" w:hAnsi="宋体" w:cs="宋体"/>
          <w:szCs w:val="20"/>
        </w:rPr>
      </w:pPr>
      <w:r>
        <w:rPr>
          <w:rFonts w:hint="eastAsia" w:ascii="宋体" w:hAnsi="宋体" w:cs="宋体"/>
          <w:szCs w:val="20"/>
        </w:rPr>
        <w:t>图5.5.</w:t>
      </w:r>
      <w:r>
        <w:rPr>
          <w:rFonts w:ascii="宋体" w:hAnsi="宋体" w:cs="宋体"/>
          <w:szCs w:val="20"/>
        </w:rPr>
        <w:t>6</w:t>
      </w:r>
      <w:r>
        <w:rPr>
          <w:rFonts w:hint="eastAsia" w:ascii="宋体" w:hAnsi="宋体" w:cs="宋体"/>
          <w:szCs w:val="20"/>
        </w:rPr>
        <w:t xml:space="preserve"> 透气观察管构造做法</w:t>
      </w:r>
    </w:p>
    <w:p w14:paraId="684A8A93">
      <w:pPr>
        <w:spacing w:line="360" w:lineRule="auto"/>
        <w:jc w:val="center"/>
        <w:rPr>
          <w:rFonts w:ascii="宋体" w:hAnsi="宋体" w:cs="宋体"/>
          <w:szCs w:val="20"/>
        </w:rPr>
      </w:pPr>
      <w:r>
        <w:rPr>
          <w:rFonts w:ascii="宋体" w:hAnsi="宋体" w:cs="宋体"/>
          <w:szCs w:val="20"/>
        </w:rPr>
        <w:t>1</w:t>
      </w:r>
      <w:r>
        <w:rPr>
          <w:rFonts w:hint="eastAsia" w:ascii="宋体" w:hAnsi="宋体" w:cs="宋体"/>
          <w:szCs w:val="20"/>
        </w:rPr>
        <w:t>-透气观察管防雨罩；</w:t>
      </w:r>
      <w:r>
        <w:rPr>
          <w:rFonts w:ascii="宋体" w:hAnsi="宋体" w:cs="宋体"/>
          <w:szCs w:val="20"/>
        </w:rPr>
        <w:t>2</w:t>
      </w:r>
      <w:r>
        <w:rPr>
          <w:rFonts w:hint="eastAsia" w:ascii="宋体" w:hAnsi="宋体" w:cs="宋体"/>
          <w:szCs w:val="20"/>
        </w:rPr>
        <w:t>-透气观察管；</w:t>
      </w:r>
      <w:r>
        <w:rPr>
          <w:rFonts w:ascii="宋体" w:hAnsi="宋体" w:cs="宋体"/>
          <w:szCs w:val="20"/>
        </w:rPr>
        <w:t>3</w:t>
      </w:r>
      <w:r>
        <w:rPr>
          <w:rFonts w:hint="eastAsia" w:ascii="宋体" w:hAnsi="宋体" w:cs="宋体"/>
          <w:szCs w:val="20"/>
        </w:rPr>
        <w:t>-塑料排水槽；4-粘结材料固定；</w:t>
      </w:r>
      <w:r>
        <w:rPr>
          <w:rFonts w:ascii="宋体" w:hAnsi="宋体" w:cs="宋体"/>
          <w:szCs w:val="20"/>
        </w:rPr>
        <w:t>5</w:t>
      </w:r>
      <w:r>
        <w:rPr>
          <w:rFonts w:hint="eastAsia" w:ascii="宋体" w:hAnsi="宋体" w:cs="宋体"/>
          <w:szCs w:val="20"/>
        </w:rPr>
        <w:t>-防水层；</w:t>
      </w:r>
    </w:p>
    <w:p w14:paraId="16C680DF">
      <w:pPr>
        <w:spacing w:line="360" w:lineRule="auto"/>
        <w:jc w:val="center"/>
        <w:rPr>
          <w:rFonts w:ascii="宋体" w:hAnsi="宋体" w:cs="宋体"/>
          <w:szCs w:val="20"/>
        </w:rPr>
      </w:pPr>
      <w:r>
        <w:rPr>
          <w:rFonts w:hint="eastAsia" w:ascii="宋体" w:hAnsi="宋体" w:cs="宋体"/>
          <w:szCs w:val="20"/>
        </w:rPr>
        <w:t>6-土工布粘贴固定；7-管箍固定件；</w:t>
      </w:r>
      <w:r>
        <w:rPr>
          <w:rFonts w:ascii="宋体" w:hAnsi="宋体" w:cs="宋体"/>
          <w:szCs w:val="20"/>
        </w:rPr>
        <w:t>8</w:t>
      </w:r>
      <w:r>
        <w:rPr>
          <w:rFonts w:hint="eastAsia" w:ascii="宋体" w:hAnsi="宋体" w:cs="宋体"/>
          <w:szCs w:val="20"/>
        </w:rPr>
        <w:t>-根部防撞保护；</w:t>
      </w:r>
      <w:r>
        <w:rPr>
          <w:rFonts w:ascii="宋体" w:hAnsi="宋体" w:cs="宋体"/>
          <w:szCs w:val="20"/>
        </w:rPr>
        <w:t>9</w:t>
      </w:r>
      <w:r>
        <w:rPr>
          <w:rFonts w:hint="eastAsia" w:ascii="宋体" w:hAnsi="宋体" w:cs="宋体"/>
          <w:szCs w:val="20"/>
        </w:rPr>
        <w:t>-塑料排水板；</w:t>
      </w:r>
    </w:p>
    <w:p w14:paraId="39E18407">
      <w:pPr>
        <w:spacing w:line="480" w:lineRule="exact"/>
        <w:ind w:firstLine="420" w:firstLineChars="200"/>
        <w:rPr>
          <w:rFonts w:ascii="宋体" w:hAnsi="宋体" w:cs="宋体"/>
        </w:rPr>
      </w:pPr>
      <w:r>
        <w:rPr>
          <w:rFonts w:hint="eastAsia" w:ascii="宋体" w:hAnsi="宋体" w:cs="宋体"/>
        </w:rPr>
        <w:t>7 排水收集</w:t>
      </w:r>
      <w:r>
        <w:rPr>
          <w:rFonts w:ascii="宋体" w:hAnsi="宋体" w:cs="宋体"/>
        </w:rPr>
        <w:t>系统是在地下建筑种植顶板有组织收集渗透水、定向排水、雨水回收利用的系统，实现种植顶板从无序</w:t>
      </w:r>
      <w:r>
        <w:rPr>
          <w:rFonts w:hint="eastAsia" w:ascii="宋体" w:hAnsi="宋体" w:cs="宋体"/>
        </w:rPr>
        <w:t>、</w:t>
      </w:r>
      <w:r>
        <w:rPr>
          <w:rFonts w:ascii="宋体" w:hAnsi="宋体" w:cs="宋体"/>
        </w:rPr>
        <w:t>无组织排水转变成零坡度有组织排水。</w:t>
      </w:r>
      <w:r>
        <w:rPr>
          <w:rFonts w:hint="eastAsia" w:ascii="宋体" w:hAnsi="宋体" w:cs="宋体"/>
        </w:rPr>
        <w:t>排水收集</w:t>
      </w:r>
      <w:r>
        <w:rPr>
          <w:rFonts w:ascii="宋体" w:hAnsi="宋体" w:cs="宋体"/>
        </w:rPr>
        <w:t>系统构造做法如图</w:t>
      </w:r>
      <w:r>
        <w:rPr>
          <w:rFonts w:hint="eastAsia" w:ascii="宋体" w:hAnsi="宋体" w:cs="宋体"/>
        </w:rPr>
        <w:t>5.5.</w:t>
      </w:r>
      <w:r>
        <w:rPr>
          <w:rFonts w:ascii="宋体" w:hAnsi="宋体" w:cs="宋体"/>
        </w:rPr>
        <w:t>7</w:t>
      </w:r>
    </w:p>
    <w:p w14:paraId="3D7C85C9">
      <w:pPr>
        <w:spacing w:line="360" w:lineRule="auto"/>
        <w:jc w:val="center"/>
        <w:rPr>
          <w:rFonts w:ascii="宋体" w:hAnsi="宋体" w:cs="宋体"/>
          <w:szCs w:val="20"/>
        </w:rPr>
      </w:pPr>
      <w:r>
        <w:rPr>
          <w:rFonts w:hint="eastAsia" w:ascii="宋体" w:hAnsi="宋体" w:cs="宋体"/>
          <w:szCs w:val="20"/>
        </w:rPr>
        <w:drawing>
          <wp:inline distT="0" distB="0" distL="0" distR="0">
            <wp:extent cx="5226050" cy="3843020"/>
            <wp:effectExtent l="0" t="0" r="0" b="0"/>
            <wp:docPr id="17113318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31854"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33976" cy="3849154"/>
                    </a:xfrm>
                    <a:prstGeom prst="rect">
                      <a:avLst/>
                    </a:prstGeom>
                    <a:noFill/>
                    <a:ln>
                      <a:noFill/>
                    </a:ln>
                  </pic:spPr>
                </pic:pic>
              </a:graphicData>
            </a:graphic>
          </wp:inline>
        </w:drawing>
      </w:r>
    </w:p>
    <w:p w14:paraId="2F03E347">
      <w:pPr>
        <w:spacing w:line="360" w:lineRule="auto"/>
        <w:jc w:val="center"/>
        <w:rPr>
          <w:rFonts w:ascii="宋体" w:hAnsi="宋体" w:cs="宋体"/>
          <w:szCs w:val="20"/>
        </w:rPr>
      </w:pPr>
      <w:r>
        <w:rPr>
          <w:rFonts w:hint="eastAsia" w:ascii="宋体" w:hAnsi="宋体" w:cs="宋体"/>
          <w:szCs w:val="20"/>
        </w:rPr>
        <w:t>图5.5.</w:t>
      </w:r>
      <w:r>
        <w:rPr>
          <w:rFonts w:ascii="宋体" w:hAnsi="宋体" w:cs="宋体"/>
          <w:szCs w:val="20"/>
        </w:rPr>
        <w:t>7</w:t>
      </w:r>
      <w:r>
        <w:rPr>
          <w:rFonts w:hint="eastAsia" w:ascii="宋体" w:hAnsi="宋体" w:cs="宋体"/>
          <w:szCs w:val="20"/>
        </w:rPr>
        <w:t xml:space="preserve"> 排水收集系统构造做法</w:t>
      </w:r>
    </w:p>
    <w:p w14:paraId="710805B8">
      <w:pPr>
        <w:spacing w:line="360" w:lineRule="auto"/>
        <w:jc w:val="center"/>
        <w:rPr>
          <w:rFonts w:ascii="宋体" w:hAnsi="宋体" w:cs="宋体"/>
          <w:szCs w:val="20"/>
        </w:rPr>
      </w:pPr>
      <w:r>
        <w:rPr>
          <w:rFonts w:hint="eastAsia" w:ascii="宋体" w:hAnsi="宋体" w:cs="宋体"/>
          <w:szCs w:val="20"/>
        </w:rPr>
        <w:t>1—接回用水系统；2—沉淀观察井；3—渗排水管；4—虹吸变径管；</w:t>
      </w:r>
    </w:p>
    <w:p w14:paraId="6136C1D7">
      <w:pPr>
        <w:spacing w:line="360" w:lineRule="auto"/>
        <w:jc w:val="center"/>
        <w:rPr>
          <w:rFonts w:ascii="宋体" w:hAnsi="宋体" w:cs="宋体"/>
          <w:szCs w:val="20"/>
        </w:rPr>
      </w:pPr>
      <w:r>
        <w:rPr>
          <w:rFonts w:hint="eastAsia" w:ascii="宋体" w:hAnsi="宋体" w:cs="宋体"/>
          <w:szCs w:val="20"/>
        </w:rPr>
        <w:t>5—车库顶板；6—PP模块蓄水池；7—供水泵</w:t>
      </w:r>
    </w:p>
    <w:p w14:paraId="6A3C7F83">
      <w:pPr>
        <w:pStyle w:val="6"/>
        <w:spacing w:line="480" w:lineRule="exact"/>
        <w:rPr>
          <w:rFonts w:ascii="Calibri" w:hAnsi="Calibri"/>
          <w:szCs w:val="21"/>
        </w:rPr>
        <w:sectPr>
          <w:pgSz w:w="11906" w:h="16838"/>
          <w:pgMar w:top="1440" w:right="1800" w:bottom="1440" w:left="1800" w:header="851" w:footer="992" w:gutter="0"/>
          <w:pgNumType w:fmt="decimal"/>
          <w:cols w:space="425" w:num="1"/>
          <w:docGrid w:type="lines" w:linePitch="312" w:charSpace="0"/>
        </w:sectPr>
      </w:pPr>
      <w:r>
        <w:rPr>
          <w:rFonts w:hint="eastAsia" w:hAnsi="宋体" w:cs="宋体"/>
        </w:rPr>
        <w:t>5.5.</w:t>
      </w:r>
      <w:r>
        <w:rPr>
          <w:rFonts w:hAnsi="宋体" w:cs="宋体"/>
        </w:rPr>
        <w:t xml:space="preserve">11  </w:t>
      </w:r>
      <w:r>
        <w:rPr>
          <w:rFonts w:hint="eastAsia" w:hAnsi="宋体" w:cs="宋体"/>
        </w:rPr>
        <w:t>排水</w:t>
      </w:r>
      <w:r>
        <w:rPr>
          <w:rFonts w:hint="eastAsia"/>
        </w:rPr>
        <w:t>系统施工完毕后宜分区域分层回填。</w:t>
      </w:r>
    </w:p>
    <w:p w14:paraId="24E3BF91">
      <w:pPr>
        <w:pStyle w:val="11"/>
      </w:pPr>
    </w:p>
    <w:p w14:paraId="63C84435">
      <w:pPr>
        <w:pStyle w:val="6"/>
        <w:jc w:val="center"/>
        <w:outlineLvl w:val="0"/>
        <w:rPr>
          <w:rFonts w:asciiTheme="minorEastAsia" w:hAnsiTheme="minorEastAsia" w:eastAsiaTheme="minorEastAsia" w:cstheme="minorEastAsia"/>
          <w:highlight w:val="yellow"/>
        </w:rPr>
      </w:pPr>
      <w:bookmarkStart w:id="40" w:name="_Toc7670"/>
      <w:r>
        <w:rPr>
          <w:rFonts w:hint="eastAsia" w:ascii="黑体" w:hAnsi="黑体" w:eastAsia="黑体" w:cs="黑体"/>
          <w:sz w:val="32"/>
          <w:szCs w:val="40"/>
        </w:rPr>
        <w:t>6 施  工</w:t>
      </w:r>
      <w:bookmarkEnd w:id="40"/>
    </w:p>
    <w:p w14:paraId="33CB679A">
      <w:pPr>
        <w:spacing w:line="480" w:lineRule="exact"/>
        <w:jc w:val="center"/>
        <w:outlineLvl w:val="1"/>
        <w:rPr>
          <w:rFonts w:ascii="黑体" w:hAnsi="黑体" w:eastAsia="黑体" w:cs="黑体"/>
        </w:rPr>
      </w:pPr>
      <w:bookmarkStart w:id="41" w:name="_Toc7551"/>
      <w:r>
        <w:rPr>
          <w:rFonts w:hint="eastAsia" w:ascii="黑体" w:hAnsi="黑体" w:eastAsia="黑体" w:cs="黑体"/>
        </w:rPr>
        <w:t>6.1</w:t>
      </w:r>
      <w:r>
        <w:rPr>
          <w:rFonts w:ascii="黑体" w:hAnsi="黑体" w:eastAsia="黑体" w:cs="黑体"/>
        </w:rPr>
        <w:t xml:space="preserve">  </w:t>
      </w:r>
      <w:r>
        <w:rPr>
          <w:rFonts w:hint="eastAsia" w:ascii="黑体" w:hAnsi="黑体" w:eastAsia="黑体" w:cs="黑体"/>
        </w:rPr>
        <w:t>一般规定</w:t>
      </w:r>
      <w:bookmarkEnd w:id="41"/>
    </w:p>
    <w:p w14:paraId="5E2EB1B8">
      <w:pPr>
        <w:spacing w:line="480" w:lineRule="exact"/>
        <w:rPr>
          <w:rFonts w:ascii="宋体" w:hAnsi="宋体" w:cs="宋体"/>
        </w:rPr>
      </w:pPr>
      <w:r>
        <w:rPr>
          <w:rFonts w:hint="eastAsia" w:ascii="宋体" w:hAnsi="宋体" w:cs="宋体"/>
        </w:rPr>
        <w:t xml:space="preserve">6.1.1 </w:t>
      </w:r>
      <w:r>
        <w:rPr>
          <w:rFonts w:ascii="宋体" w:hAnsi="宋体" w:cs="宋体"/>
        </w:rPr>
        <w:t xml:space="preserve"> </w:t>
      </w:r>
      <w:r>
        <w:rPr>
          <w:rFonts w:hint="eastAsia" w:ascii="宋体" w:hAnsi="宋体" w:cs="宋体"/>
        </w:rPr>
        <w:t>施工前应通过图纸会审，明确细部构造和技术要求，并编制施工方案，进行技术交底和安全技术交底。</w:t>
      </w:r>
    </w:p>
    <w:p w14:paraId="6908AE4B">
      <w:pPr>
        <w:spacing w:line="480" w:lineRule="exact"/>
        <w:rPr>
          <w:rFonts w:ascii="宋体" w:hAnsi="宋体" w:cs="宋体"/>
        </w:rPr>
      </w:pPr>
      <w:r>
        <w:rPr>
          <w:rFonts w:hint="eastAsia" w:ascii="宋体" w:hAnsi="宋体" w:cs="宋体"/>
        </w:rPr>
        <w:t>6.1.2</w:t>
      </w:r>
      <w:r>
        <w:rPr>
          <w:rFonts w:ascii="宋体" w:hAnsi="宋体" w:cs="宋体"/>
        </w:rPr>
        <w:t xml:space="preserve">  </w:t>
      </w:r>
      <w:r>
        <w:rPr>
          <w:rFonts w:hint="eastAsia" w:ascii="宋体" w:hAnsi="宋体" w:cs="宋体"/>
        </w:rPr>
        <w:t>进场的防水材料、排（蓄）水板、绝热材料和种植土等材料应按规定抽样复试，并提供检测报告。</w:t>
      </w:r>
    </w:p>
    <w:p w14:paraId="1FF9B384">
      <w:pPr>
        <w:spacing w:line="480" w:lineRule="exact"/>
        <w:rPr>
          <w:rFonts w:ascii="宋体" w:hAnsi="宋体" w:cs="宋体"/>
        </w:rPr>
      </w:pPr>
      <w:r>
        <w:rPr>
          <w:rFonts w:hint="eastAsia" w:ascii="宋体" w:hAnsi="宋体" w:cs="宋体"/>
        </w:rPr>
        <w:t xml:space="preserve">6.1.3 </w:t>
      </w:r>
      <w:r>
        <w:rPr>
          <w:rFonts w:ascii="宋体" w:hAnsi="宋体" w:cs="宋体"/>
        </w:rPr>
        <w:t xml:space="preserve"> </w:t>
      </w:r>
      <w:r>
        <w:rPr>
          <w:rFonts w:hint="eastAsia" w:ascii="宋体" w:hAnsi="宋体" w:cs="宋体"/>
        </w:rPr>
        <w:t>地下室侧墙与顶板形成的阳角，当侧墙有一道防水层上返至顶板250mm以上，顶板防水层下翻至侧墙250mm以上，等同于单独500mm宽附加层施工。</w:t>
      </w:r>
    </w:p>
    <w:p w14:paraId="3670A736">
      <w:pPr>
        <w:spacing w:line="480" w:lineRule="exact"/>
        <w:rPr>
          <w:rFonts w:ascii="宋体" w:hAnsi="宋体" w:cs="宋体"/>
        </w:rPr>
      </w:pPr>
      <w:r>
        <w:rPr>
          <w:rFonts w:hint="eastAsia" w:ascii="宋体" w:hAnsi="宋体" w:cs="宋体"/>
        </w:rPr>
        <w:t xml:space="preserve">6.1.4 </w:t>
      </w:r>
      <w:r>
        <w:rPr>
          <w:rFonts w:ascii="宋体" w:hAnsi="宋体" w:cs="宋体"/>
        </w:rPr>
        <w:t xml:space="preserve"> </w:t>
      </w:r>
      <w:r>
        <w:rPr>
          <w:rFonts w:hint="eastAsia" w:ascii="宋体" w:hAnsi="宋体" w:cs="宋体"/>
        </w:rPr>
        <w:t>种植屋面或地下室顶板需要上返至女儿墙或建筑墙体的防水材料必须为与大面相同的普通防水层和耐根穿刺防水层。</w:t>
      </w:r>
    </w:p>
    <w:p w14:paraId="0FA1A831">
      <w:pPr>
        <w:spacing w:line="480" w:lineRule="exact"/>
        <w:rPr>
          <w:rFonts w:ascii="宋体" w:hAnsi="宋体" w:cs="宋体"/>
        </w:rPr>
      </w:pPr>
      <w:r>
        <w:rPr>
          <w:rFonts w:hint="eastAsia" w:ascii="宋体" w:hAnsi="宋体" w:cs="宋体"/>
        </w:rPr>
        <w:t xml:space="preserve">6.1.5 </w:t>
      </w:r>
      <w:r>
        <w:rPr>
          <w:rFonts w:ascii="宋体" w:hAnsi="宋体" w:cs="宋体"/>
        </w:rPr>
        <w:t xml:space="preserve"> </w:t>
      </w:r>
      <w:r>
        <w:rPr>
          <w:rFonts w:hint="eastAsia" w:ascii="宋体" w:hAnsi="宋体" w:cs="宋体"/>
        </w:rPr>
        <w:t>防水涂料施工环境温度宜为5℃～35℃，其中非固化加热类涂料施工环境温度不宜低于-10℃，卷材热熔法和热风焊接法施工环境温度不宜低于-10℃。自粘法、冷粘法、湿铺法卷材施工环境温度不宜低于5℃。</w:t>
      </w:r>
    </w:p>
    <w:p w14:paraId="5C309332">
      <w:pPr>
        <w:pStyle w:val="11"/>
        <w:spacing w:line="360" w:lineRule="auto"/>
      </w:pPr>
      <w:r>
        <w:rPr>
          <w:rFonts w:hint="eastAsia" w:ascii="宋体" w:hAnsi="宋体" w:cs="宋体"/>
        </w:rPr>
        <w:t>6.1.6</w:t>
      </w:r>
      <w:r>
        <w:rPr>
          <w:rFonts w:ascii="宋体" w:hAnsi="宋体" w:cs="宋体"/>
        </w:rPr>
        <w:t xml:space="preserve">  种植屋面用防水卷材长边和短边的最小搭接宽度均不应小于</w:t>
      </w:r>
      <w:r>
        <w:rPr>
          <w:rFonts w:hint="eastAsia" w:ascii="宋体" w:hAnsi="宋体" w:cs="宋体"/>
        </w:rPr>
        <w:t>1</w:t>
      </w:r>
      <w:r>
        <w:rPr>
          <w:rFonts w:ascii="宋体" w:hAnsi="宋体" w:cs="宋体"/>
        </w:rPr>
        <w:t>00mm</w:t>
      </w:r>
      <w:r>
        <w:rPr>
          <w:rFonts w:hint="eastAsia" w:ascii="宋体" w:hAnsi="宋体" w:cs="宋体"/>
        </w:rPr>
        <w:t>。</w:t>
      </w:r>
    </w:p>
    <w:p w14:paraId="382C4E46">
      <w:pPr>
        <w:pStyle w:val="11"/>
        <w:spacing w:line="360" w:lineRule="auto"/>
        <w:rPr>
          <w:rFonts w:ascii="宋体" w:hAnsi="宋体" w:cs="宋体"/>
        </w:rPr>
      </w:pPr>
      <w:r>
        <w:rPr>
          <w:rFonts w:hint="eastAsia" w:ascii="宋体" w:hAnsi="宋体" w:cs="宋体"/>
        </w:rPr>
        <w:t>6.1.7</w:t>
      </w:r>
      <w:r>
        <w:rPr>
          <w:rFonts w:ascii="宋体" w:hAnsi="宋体" w:cs="宋体"/>
        </w:rPr>
        <w:t xml:space="preserve"> </w:t>
      </w:r>
      <w:r>
        <w:rPr>
          <w:rFonts w:hint="eastAsia" w:ascii="宋体" w:hAnsi="宋体" w:cs="宋体"/>
        </w:rPr>
        <w:t xml:space="preserve"> </w:t>
      </w:r>
      <w:r>
        <w:rPr>
          <w:rFonts w:ascii="宋体" w:hAnsi="宋体" w:cs="宋体"/>
        </w:rPr>
        <w:t>卷材收头部位应采用金属</w:t>
      </w:r>
      <w:r>
        <w:rPr>
          <w:rFonts w:hint="eastAsia" w:ascii="宋体" w:hAnsi="宋体" w:cs="宋体"/>
        </w:rPr>
        <w:t>压条</w:t>
      </w:r>
      <w:r>
        <w:rPr>
          <w:rFonts w:ascii="宋体" w:hAnsi="宋体" w:cs="宋体"/>
        </w:rPr>
        <w:t>钉压固定</w:t>
      </w:r>
      <w:r>
        <w:rPr>
          <w:rFonts w:hint="eastAsia" w:ascii="宋体" w:hAnsi="宋体" w:cs="宋体"/>
        </w:rPr>
        <w:t>，</w:t>
      </w:r>
      <w:r>
        <w:rPr>
          <w:rFonts w:ascii="宋体" w:hAnsi="宋体" w:cs="宋体"/>
        </w:rPr>
        <w:t>并用密封材料封严</w:t>
      </w:r>
      <w:r>
        <w:rPr>
          <w:rFonts w:hint="eastAsia" w:ascii="宋体" w:hAnsi="宋体" w:cs="宋体"/>
        </w:rPr>
        <w:t>。</w:t>
      </w:r>
    </w:p>
    <w:p w14:paraId="2530D259">
      <w:pPr>
        <w:spacing w:line="360" w:lineRule="auto"/>
        <w:rPr>
          <w:rFonts w:ascii="宋体" w:hAnsi="宋体" w:cs="宋体"/>
        </w:rPr>
      </w:pPr>
      <w:r>
        <w:rPr>
          <w:rFonts w:hint="eastAsia" w:ascii="宋体" w:hAnsi="宋体" w:cs="宋体"/>
        </w:rPr>
        <w:t xml:space="preserve">6.1.8 </w:t>
      </w:r>
      <w:r>
        <w:rPr>
          <w:rFonts w:ascii="宋体" w:hAnsi="宋体" w:cs="宋体"/>
        </w:rPr>
        <w:t xml:space="preserve"> </w:t>
      </w:r>
      <w:r>
        <w:rPr>
          <w:rFonts w:hint="eastAsia" w:ascii="宋体" w:hAnsi="宋体" w:cs="宋体"/>
        </w:rPr>
        <w:t>种植容器排水方向应与屋面排水方向相同，并由种植容器排水口内直接引向排水沟排出。</w:t>
      </w:r>
    </w:p>
    <w:p w14:paraId="41B71AAC">
      <w:pPr>
        <w:spacing w:line="480" w:lineRule="exact"/>
        <w:rPr>
          <w:rFonts w:ascii="宋体" w:hAnsi="宋体" w:cs="宋体"/>
        </w:rPr>
      </w:pPr>
      <w:r>
        <w:rPr>
          <w:rFonts w:hint="eastAsia" w:ascii="宋体" w:hAnsi="宋体" w:cs="宋体"/>
        </w:rPr>
        <w:t>6.1.9</w:t>
      </w:r>
      <w:r>
        <w:rPr>
          <w:rFonts w:ascii="宋体" w:hAnsi="宋体" w:cs="宋体"/>
        </w:rPr>
        <w:t xml:space="preserve">  </w:t>
      </w:r>
      <w:r>
        <w:rPr>
          <w:rFonts w:hint="eastAsia" w:ascii="宋体" w:hAnsi="宋体" w:cs="宋体"/>
        </w:rPr>
        <w:t>如有保温隔热种植屋面或地下室顶板，当铺设保温板时，保温板应错缝铺贴，并用同类材料嵌填密实；粘贴保温板时，胶粘剂与保温板的材性应具有相容性。</w:t>
      </w:r>
    </w:p>
    <w:p w14:paraId="5BE08390">
      <w:pPr>
        <w:spacing w:line="480" w:lineRule="exact"/>
        <w:jc w:val="center"/>
        <w:outlineLvl w:val="1"/>
        <w:rPr>
          <w:rFonts w:ascii="黑体" w:hAnsi="黑体" w:eastAsia="黑体" w:cs="黑体"/>
        </w:rPr>
      </w:pPr>
      <w:bookmarkStart w:id="42" w:name="_Toc4536"/>
      <w:r>
        <w:rPr>
          <w:rFonts w:hint="eastAsia" w:ascii="黑体" w:hAnsi="黑体" w:eastAsia="黑体" w:cs="黑体"/>
        </w:rPr>
        <w:t>6.2</w:t>
      </w:r>
      <w:r>
        <w:rPr>
          <w:rFonts w:ascii="黑体" w:hAnsi="黑体" w:eastAsia="黑体" w:cs="黑体"/>
        </w:rPr>
        <w:t xml:space="preserve">  </w:t>
      </w:r>
      <w:r>
        <w:rPr>
          <w:rFonts w:hint="eastAsia" w:ascii="黑体" w:hAnsi="黑体" w:eastAsia="黑体" w:cs="黑体"/>
        </w:rPr>
        <w:t>普通防水层施工</w:t>
      </w:r>
      <w:bookmarkEnd w:id="42"/>
    </w:p>
    <w:p w14:paraId="151B45F5">
      <w:pPr>
        <w:spacing w:line="480" w:lineRule="exact"/>
        <w:rPr>
          <w:rFonts w:ascii="宋体" w:hAnsi="宋体" w:cs="宋体"/>
        </w:rPr>
      </w:pPr>
      <w:r>
        <w:rPr>
          <w:rFonts w:hint="eastAsia" w:ascii="宋体" w:hAnsi="宋体" w:cs="宋体"/>
        </w:rPr>
        <w:t xml:space="preserve">6.2.1 </w:t>
      </w:r>
      <w:r>
        <w:rPr>
          <w:rFonts w:ascii="宋体" w:hAnsi="宋体" w:cs="宋体"/>
        </w:rPr>
        <w:t xml:space="preserve"> </w:t>
      </w:r>
      <w:r>
        <w:rPr>
          <w:rFonts w:hint="eastAsia" w:ascii="宋体" w:hAnsi="宋体" w:cs="宋体"/>
        </w:rPr>
        <w:t xml:space="preserve">普通防水层的施工应符合下列规定： </w:t>
      </w:r>
    </w:p>
    <w:p w14:paraId="7D247674">
      <w:pPr>
        <w:spacing w:line="480" w:lineRule="exact"/>
        <w:ind w:firstLine="420" w:firstLineChars="200"/>
        <w:outlineLvl w:val="0"/>
        <w:rPr>
          <w:rFonts w:ascii="宋体" w:hAnsi="宋体" w:cs="宋体"/>
        </w:rPr>
      </w:pPr>
      <w:bookmarkStart w:id="43" w:name="_Toc16769"/>
      <w:r>
        <w:rPr>
          <w:rFonts w:hint="eastAsia" w:ascii="宋体" w:hAnsi="宋体" w:cs="宋体"/>
        </w:rPr>
        <w:t>1 卷材与基层应满粘施工；</w:t>
      </w:r>
      <w:bookmarkEnd w:id="43"/>
      <w:r>
        <w:rPr>
          <w:rFonts w:hint="eastAsia" w:ascii="宋体" w:hAnsi="宋体" w:cs="宋体"/>
        </w:rPr>
        <w:t xml:space="preserve"> </w:t>
      </w:r>
    </w:p>
    <w:p w14:paraId="4151CDB6">
      <w:pPr>
        <w:spacing w:line="480" w:lineRule="exact"/>
        <w:ind w:firstLine="420" w:firstLineChars="200"/>
        <w:rPr>
          <w:rFonts w:ascii="宋体" w:hAnsi="宋体" w:cs="宋体"/>
        </w:rPr>
      </w:pPr>
      <w:r>
        <w:rPr>
          <w:rFonts w:hint="eastAsia" w:ascii="宋体" w:hAnsi="宋体" w:cs="宋体"/>
        </w:rPr>
        <w:t xml:space="preserve">2 采用热熔法满粘或胶粘剂满粘防水卷材防水层的基层应干燥、洁净； </w:t>
      </w:r>
    </w:p>
    <w:p w14:paraId="12881677">
      <w:pPr>
        <w:spacing w:line="480" w:lineRule="exact"/>
        <w:ind w:firstLine="420" w:firstLineChars="200"/>
        <w:rPr>
          <w:rFonts w:ascii="宋体" w:hAnsi="宋体" w:cs="宋体"/>
        </w:rPr>
      </w:pPr>
      <w:r>
        <w:rPr>
          <w:rFonts w:hint="eastAsia" w:ascii="宋体" w:hAnsi="宋体" w:cs="宋体"/>
        </w:rPr>
        <w:t xml:space="preserve">3 防水层施工前，应在阴阳角、水落口、天沟、檐沟、突出屋面管道根部、泛水、变形缝等细部构造部位设置防水附加层，附加层宽度不得小于500mm，材料宜与大面普通防水层的材料相同； </w:t>
      </w:r>
    </w:p>
    <w:p w14:paraId="2AF71F3B">
      <w:pPr>
        <w:spacing w:line="480" w:lineRule="exact"/>
        <w:rPr>
          <w:rFonts w:ascii="宋体" w:hAnsi="宋体" w:cs="宋体"/>
        </w:rPr>
      </w:pPr>
      <w:r>
        <w:rPr>
          <w:rFonts w:hint="eastAsia" w:ascii="宋体" w:hAnsi="宋体" w:cs="宋体"/>
        </w:rPr>
        <w:t xml:space="preserve">6.2.2 </w:t>
      </w:r>
      <w:r>
        <w:rPr>
          <w:rFonts w:ascii="宋体" w:hAnsi="宋体" w:cs="宋体"/>
        </w:rPr>
        <w:t xml:space="preserve"> </w:t>
      </w:r>
      <w:r>
        <w:rPr>
          <w:rFonts w:hint="eastAsia" w:ascii="宋体" w:hAnsi="宋体" w:cs="宋体"/>
        </w:rPr>
        <w:t xml:space="preserve">高聚物改性沥青防水卷材热熔法施工应符合下列规定： </w:t>
      </w:r>
    </w:p>
    <w:p w14:paraId="6638F676">
      <w:pPr>
        <w:spacing w:line="480" w:lineRule="exact"/>
        <w:ind w:firstLine="420" w:firstLineChars="200"/>
        <w:outlineLvl w:val="0"/>
        <w:rPr>
          <w:rFonts w:ascii="宋体" w:hAnsi="宋体" w:cs="宋体"/>
        </w:rPr>
      </w:pPr>
      <w:bookmarkStart w:id="44" w:name="_Toc7678"/>
      <w:r>
        <w:rPr>
          <w:rFonts w:hint="eastAsia" w:ascii="宋体" w:hAnsi="宋体" w:cs="宋体"/>
        </w:rPr>
        <w:t>1 铺贴卷材应平整顺直，不得扭曲；</w:t>
      </w:r>
      <w:bookmarkEnd w:id="44"/>
      <w:r>
        <w:rPr>
          <w:rFonts w:hint="eastAsia" w:ascii="宋体" w:hAnsi="宋体" w:cs="宋体"/>
        </w:rPr>
        <w:t xml:space="preserve"> </w:t>
      </w:r>
    </w:p>
    <w:p w14:paraId="4AB801F2">
      <w:pPr>
        <w:spacing w:line="480" w:lineRule="exact"/>
        <w:ind w:firstLine="420" w:firstLineChars="200"/>
        <w:rPr>
          <w:rFonts w:ascii="宋体" w:hAnsi="宋体" w:cs="宋体"/>
        </w:rPr>
      </w:pPr>
      <w:r>
        <w:rPr>
          <w:rFonts w:hint="eastAsia" w:ascii="宋体" w:hAnsi="宋体" w:cs="宋体"/>
        </w:rPr>
        <w:t>2 火焰加热应均匀，以卷材表面沥青熔融至光亮黑色为宜，不得加热不足或烧穿卷材；</w:t>
      </w:r>
    </w:p>
    <w:p w14:paraId="2BB55F3B">
      <w:pPr>
        <w:spacing w:line="480" w:lineRule="exact"/>
        <w:ind w:firstLine="420" w:firstLineChars="200"/>
        <w:rPr>
          <w:rFonts w:ascii="宋体" w:hAnsi="宋体" w:cs="宋体"/>
        </w:rPr>
      </w:pPr>
      <w:r>
        <w:rPr>
          <w:rFonts w:hint="eastAsia" w:ascii="宋体" w:hAnsi="宋体" w:cs="宋体"/>
        </w:rPr>
        <w:t xml:space="preserve">3 卷材表面热熔后应立即滚铺，并应排除卷材下面的空气，辊压粘贴牢固； </w:t>
      </w:r>
    </w:p>
    <w:p w14:paraId="4F09BCCB">
      <w:pPr>
        <w:spacing w:line="480" w:lineRule="exact"/>
        <w:ind w:firstLine="420" w:firstLineChars="200"/>
        <w:rPr>
          <w:rFonts w:ascii="宋体" w:hAnsi="宋体" w:cs="宋体"/>
        </w:rPr>
      </w:pPr>
      <w:r>
        <w:rPr>
          <w:rFonts w:hint="eastAsia" w:ascii="宋体" w:hAnsi="宋体" w:cs="宋体"/>
        </w:rPr>
        <w:t xml:space="preserve">4 卷材搭接缝应以溢出热熔的改性沥青为宜，溢出沥青宽度不低于8mm，且均匀顺直； </w:t>
      </w:r>
    </w:p>
    <w:p w14:paraId="5034C332">
      <w:pPr>
        <w:spacing w:line="480" w:lineRule="exact"/>
        <w:outlineLvl w:val="1"/>
        <w:rPr>
          <w:rFonts w:ascii="宋体" w:hAnsi="宋体" w:cs="宋体"/>
        </w:rPr>
      </w:pPr>
      <w:bookmarkStart w:id="45" w:name="_Toc20845"/>
      <w:r>
        <w:rPr>
          <w:rFonts w:hint="eastAsia" w:ascii="宋体" w:hAnsi="宋体" w:cs="宋体"/>
        </w:rPr>
        <w:t>6.2.3</w:t>
      </w:r>
      <w:r>
        <w:rPr>
          <w:rFonts w:ascii="宋体" w:hAnsi="宋体" w:cs="宋体"/>
        </w:rPr>
        <w:t xml:space="preserve"> </w:t>
      </w:r>
      <w:r>
        <w:rPr>
          <w:rFonts w:hint="eastAsia" w:ascii="宋体" w:hAnsi="宋体" w:cs="宋体"/>
        </w:rPr>
        <w:t xml:space="preserve"> 自粘类防水卷材施工应符合下列规定：</w:t>
      </w:r>
      <w:bookmarkEnd w:id="45"/>
      <w:r>
        <w:rPr>
          <w:rFonts w:hint="eastAsia" w:ascii="宋体" w:hAnsi="宋体" w:cs="宋体"/>
        </w:rPr>
        <w:t xml:space="preserve"> </w:t>
      </w:r>
    </w:p>
    <w:p w14:paraId="2AF5EFE2">
      <w:pPr>
        <w:spacing w:line="480" w:lineRule="exact"/>
        <w:ind w:firstLine="420" w:firstLineChars="200"/>
        <w:rPr>
          <w:rFonts w:ascii="宋体" w:hAnsi="宋体" w:cs="宋体"/>
        </w:rPr>
      </w:pPr>
      <w:r>
        <w:rPr>
          <w:rFonts w:hint="eastAsia" w:ascii="宋体" w:hAnsi="宋体" w:cs="宋体"/>
        </w:rPr>
        <w:t>1 铺贴卷材前，基层表面应均匀涂刷基层处理剂，干燥后及时铺贴卷材；</w:t>
      </w:r>
    </w:p>
    <w:p w14:paraId="1F6A3458">
      <w:pPr>
        <w:spacing w:line="480" w:lineRule="exact"/>
        <w:ind w:firstLine="420" w:firstLineChars="200"/>
        <w:rPr>
          <w:rFonts w:ascii="宋体" w:hAnsi="宋体" w:cs="宋体"/>
        </w:rPr>
      </w:pPr>
      <w:r>
        <w:rPr>
          <w:rFonts w:hint="eastAsia" w:ascii="宋体" w:hAnsi="宋体" w:cs="宋体"/>
        </w:rPr>
        <w:t xml:space="preserve">2 铺贴卷材时不得用力拉伸卷材，应排除自粘卷材下面的空气，并应辊压粘贴牢固； </w:t>
      </w:r>
    </w:p>
    <w:p w14:paraId="19554FFD">
      <w:pPr>
        <w:spacing w:line="480" w:lineRule="exact"/>
        <w:ind w:firstLine="420" w:firstLineChars="200"/>
        <w:rPr>
          <w:rFonts w:ascii="宋体" w:hAnsi="宋体" w:cs="宋体"/>
        </w:rPr>
      </w:pPr>
      <w:r>
        <w:rPr>
          <w:rFonts w:hint="eastAsia" w:ascii="宋体" w:hAnsi="宋体" w:cs="宋体"/>
        </w:rPr>
        <w:t>3 铺贴的卷材应平整、顺直，搭接尺寸准确，不得扭曲、褶皱；低温施工时，立面、大坡面及卷材搭接部位宜采用热风加热方式进行粘贴，确保粘贴牢固；</w:t>
      </w:r>
    </w:p>
    <w:p w14:paraId="73F0DF23">
      <w:pPr>
        <w:spacing w:line="360" w:lineRule="auto"/>
        <w:rPr>
          <w:rFonts w:ascii="宋体" w:hAnsi="宋体" w:cs="宋体"/>
        </w:rPr>
      </w:pPr>
      <w:r>
        <w:rPr>
          <w:rFonts w:hint="eastAsia" w:ascii="宋体" w:hAnsi="宋体" w:cs="宋体"/>
        </w:rPr>
        <w:t>6.2.4</w:t>
      </w:r>
      <w:r>
        <w:rPr>
          <w:rFonts w:ascii="宋体" w:hAnsi="宋体" w:cs="宋体"/>
        </w:rPr>
        <w:t xml:space="preserve">  </w:t>
      </w:r>
      <w:r>
        <w:rPr>
          <w:rFonts w:hint="eastAsia" w:ascii="宋体" w:hAnsi="宋体" w:cs="宋体"/>
        </w:rPr>
        <w:t xml:space="preserve">采用湿铺法施工自粘类防水卷材应符合配套技术规定： </w:t>
      </w:r>
    </w:p>
    <w:p w14:paraId="679BB708">
      <w:pPr>
        <w:pStyle w:val="5"/>
        <w:spacing w:line="360" w:lineRule="auto"/>
        <w:ind w:firstLine="420" w:firstLineChars="200"/>
        <w:outlineLvl w:val="0"/>
      </w:pPr>
      <w:bookmarkStart w:id="46" w:name="_Toc30491"/>
      <w:r>
        <w:t>1 铺贴卷材后应进行提浆</w:t>
      </w:r>
      <w:r>
        <w:rPr>
          <w:rFonts w:hint="eastAsia"/>
        </w:rPr>
        <w:t>、</w:t>
      </w:r>
      <w:r>
        <w:t>排气</w:t>
      </w:r>
      <w:r>
        <w:rPr>
          <w:rFonts w:hint="eastAsia"/>
        </w:rPr>
        <w:t>，</w:t>
      </w:r>
      <w:r>
        <w:t>确保卷材粘接牢固</w:t>
      </w:r>
      <w:r>
        <w:rPr>
          <w:rFonts w:hint="eastAsia"/>
        </w:rPr>
        <w:t>；</w:t>
      </w:r>
      <w:bookmarkEnd w:id="46"/>
    </w:p>
    <w:p w14:paraId="342BA8E3">
      <w:pPr>
        <w:pStyle w:val="5"/>
        <w:spacing w:line="360" w:lineRule="auto"/>
        <w:ind w:firstLine="420" w:firstLineChars="200"/>
      </w:pPr>
      <w:r>
        <w:t>2 低温施工时</w:t>
      </w:r>
      <w:r>
        <w:rPr>
          <w:rFonts w:hint="eastAsia"/>
        </w:rPr>
        <w:t>，卷材搭接部位可采用热风加热方式进行局部加热，提高粘接强度。</w:t>
      </w:r>
    </w:p>
    <w:p w14:paraId="7525A8A4">
      <w:pPr>
        <w:spacing w:line="480" w:lineRule="exact"/>
        <w:outlineLvl w:val="1"/>
        <w:rPr>
          <w:rFonts w:ascii="宋体" w:hAnsi="宋体" w:cs="宋体"/>
        </w:rPr>
      </w:pPr>
      <w:bookmarkStart w:id="47" w:name="_Toc13838"/>
      <w:r>
        <w:rPr>
          <w:rFonts w:hint="eastAsia" w:ascii="宋体" w:hAnsi="宋体" w:cs="宋体"/>
        </w:rPr>
        <w:t>6.2.</w:t>
      </w:r>
      <w:r>
        <w:rPr>
          <w:rFonts w:ascii="宋体" w:hAnsi="宋体" w:cs="宋体"/>
        </w:rPr>
        <w:t>5</w:t>
      </w:r>
      <w:r>
        <w:rPr>
          <w:rFonts w:hint="eastAsia" w:ascii="宋体" w:hAnsi="宋体" w:cs="宋体"/>
        </w:rPr>
        <w:t xml:space="preserve"> </w:t>
      </w:r>
      <w:r>
        <w:rPr>
          <w:rFonts w:ascii="宋体" w:hAnsi="宋体" w:cs="宋体"/>
        </w:rPr>
        <w:t xml:space="preserve"> </w:t>
      </w:r>
      <w:r>
        <w:rPr>
          <w:rFonts w:hint="eastAsia" w:ascii="宋体" w:hAnsi="宋体" w:cs="宋体"/>
        </w:rPr>
        <w:t>合成高分于防水卷材冷粘法施工应符合下列规定：</w:t>
      </w:r>
      <w:bookmarkEnd w:id="47"/>
      <w:r>
        <w:rPr>
          <w:rFonts w:hint="eastAsia" w:ascii="宋体" w:hAnsi="宋体" w:cs="宋体"/>
        </w:rPr>
        <w:t xml:space="preserve"> </w:t>
      </w:r>
    </w:p>
    <w:p w14:paraId="472E2F20">
      <w:pPr>
        <w:spacing w:line="480" w:lineRule="exact"/>
        <w:ind w:firstLine="420" w:firstLineChars="200"/>
        <w:rPr>
          <w:rFonts w:ascii="宋体" w:hAnsi="宋体" w:cs="宋体"/>
        </w:rPr>
      </w:pPr>
      <w:r>
        <w:rPr>
          <w:rFonts w:hint="eastAsia" w:ascii="宋体" w:hAnsi="宋体" w:cs="宋体"/>
        </w:rPr>
        <w:t xml:space="preserve">1 基层胶粘剂应涂刷在基层及卷材底面，涂刷应均匀、不露底、不堆积； </w:t>
      </w:r>
    </w:p>
    <w:p w14:paraId="6624E090">
      <w:pPr>
        <w:spacing w:line="480" w:lineRule="exact"/>
        <w:ind w:firstLine="420" w:firstLineChars="200"/>
        <w:rPr>
          <w:rFonts w:ascii="宋体" w:hAnsi="宋体" w:cs="宋体"/>
        </w:rPr>
      </w:pPr>
      <w:r>
        <w:rPr>
          <w:rFonts w:hint="eastAsia" w:ascii="宋体" w:hAnsi="宋体" w:cs="宋体"/>
        </w:rPr>
        <w:t xml:space="preserve">2 铺贴卷材应平整顺直，不得皱折、扭曲、拉伸卷材；应辊压排除卷材下的空气，粘贴牢固； </w:t>
      </w:r>
    </w:p>
    <w:p w14:paraId="422DA038">
      <w:pPr>
        <w:spacing w:line="480" w:lineRule="exact"/>
        <w:ind w:firstLine="420" w:firstLineChars="200"/>
        <w:rPr>
          <w:rFonts w:ascii="宋体" w:hAnsi="宋体" w:cs="宋体"/>
        </w:rPr>
      </w:pPr>
      <w:r>
        <w:rPr>
          <w:rFonts w:hint="eastAsia" w:ascii="宋体" w:hAnsi="宋体" w:cs="宋体"/>
        </w:rPr>
        <w:t xml:space="preserve">3 搭接缝部位应采用材性相容的密封材料封严； </w:t>
      </w:r>
    </w:p>
    <w:p w14:paraId="03278BAA">
      <w:pPr>
        <w:spacing w:line="480" w:lineRule="exact"/>
        <w:ind w:firstLine="420" w:firstLineChars="200"/>
        <w:rPr>
          <w:rFonts w:ascii="宋体" w:hAnsi="宋体" w:cs="宋体"/>
        </w:rPr>
      </w:pPr>
      <w:r>
        <w:rPr>
          <w:rFonts w:hint="eastAsia" w:ascii="宋体" w:hAnsi="宋体" w:cs="宋体"/>
        </w:rPr>
        <w:t xml:space="preserve">4 冷粘法施工环境温度不应低于5℃。 </w:t>
      </w:r>
    </w:p>
    <w:p w14:paraId="571AD8C3">
      <w:pPr>
        <w:spacing w:line="480" w:lineRule="exact"/>
        <w:outlineLvl w:val="1"/>
        <w:rPr>
          <w:rFonts w:ascii="宋体" w:hAnsi="宋体" w:cs="宋体"/>
        </w:rPr>
      </w:pPr>
      <w:bookmarkStart w:id="48" w:name="_Toc22891"/>
      <w:r>
        <w:rPr>
          <w:rFonts w:hint="eastAsia" w:ascii="宋体" w:hAnsi="宋体" w:cs="宋体"/>
        </w:rPr>
        <w:t>6.2.</w:t>
      </w:r>
      <w:r>
        <w:rPr>
          <w:rFonts w:ascii="宋体" w:hAnsi="宋体" w:cs="宋体"/>
        </w:rPr>
        <w:t>6</w:t>
      </w:r>
      <w:r>
        <w:rPr>
          <w:rFonts w:hint="eastAsia" w:ascii="宋体" w:hAnsi="宋体" w:cs="宋体"/>
        </w:rPr>
        <w:t xml:space="preserve"> </w:t>
      </w:r>
      <w:r>
        <w:rPr>
          <w:rFonts w:ascii="宋体" w:hAnsi="宋体" w:cs="宋体"/>
        </w:rPr>
        <w:t xml:space="preserve"> </w:t>
      </w:r>
      <w:r>
        <w:rPr>
          <w:rFonts w:hint="eastAsia" w:ascii="宋体" w:hAnsi="宋体" w:cs="宋体"/>
        </w:rPr>
        <w:t>合成高分子防水涂料施工应符合下列规定：</w:t>
      </w:r>
      <w:bookmarkEnd w:id="48"/>
      <w:r>
        <w:rPr>
          <w:rFonts w:hint="eastAsia" w:ascii="宋体" w:hAnsi="宋体" w:cs="宋体"/>
        </w:rPr>
        <w:t xml:space="preserve"> </w:t>
      </w:r>
    </w:p>
    <w:p w14:paraId="2F5F640D">
      <w:pPr>
        <w:spacing w:line="480" w:lineRule="exact"/>
        <w:ind w:firstLine="420" w:firstLineChars="200"/>
        <w:rPr>
          <w:rFonts w:ascii="宋体" w:hAnsi="宋体" w:cs="宋体"/>
        </w:rPr>
      </w:pPr>
      <w:r>
        <w:rPr>
          <w:rFonts w:hint="eastAsia" w:ascii="宋体" w:hAnsi="宋体" w:cs="宋体"/>
        </w:rPr>
        <w:t xml:space="preserve">1 合成高分子防水涂料可采用涂刮法或喷涂法施工，施工时，两遍涂膜的施工方向宜相互垂直； </w:t>
      </w:r>
    </w:p>
    <w:p w14:paraId="009072CB">
      <w:pPr>
        <w:spacing w:line="480" w:lineRule="exact"/>
        <w:ind w:firstLine="420" w:firstLineChars="200"/>
        <w:rPr>
          <w:rFonts w:ascii="宋体" w:hAnsi="宋体" w:cs="宋体"/>
        </w:rPr>
      </w:pPr>
      <w:r>
        <w:rPr>
          <w:rFonts w:hint="eastAsia" w:ascii="宋体" w:hAnsi="宋体" w:cs="宋体"/>
        </w:rPr>
        <w:t xml:space="preserve">2 涂覆厚度应均匀，不露底、不堆积； </w:t>
      </w:r>
    </w:p>
    <w:p w14:paraId="7DE98621">
      <w:pPr>
        <w:spacing w:line="480" w:lineRule="exact"/>
        <w:ind w:firstLine="420" w:firstLineChars="200"/>
        <w:rPr>
          <w:rFonts w:ascii="宋体" w:hAnsi="宋体" w:cs="宋体"/>
        </w:rPr>
      </w:pPr>
      <w:r>
        <w:rPr>
          <w:rFonts w:hint="eastAsia" w:ascii="宋体" w:hAnsi="宋体" w:cs="宋体"/>
        </w:rPr>
        <w:t xml:space="preserve">3 第一遍涂层干燥后，方可进行下一遍涂覆； </w:t>
      </w:r>
    </w:p>
    <w:p w14:paraId="3E1EB69D">
      <w:pPr>
        <w:spacing w:line="480" w:lineRule="exact"/>
        <w:ind w:firstLine="420" w:firstLineChars="200"/>
        <w:outlineLvl w:val="0"/>
        <w:rPr>
          <w:rFonts w:ascii="宋体" w:hAnsi="宋体" w:cs="宋体"/>
        </w:rPr>
      </w:pPr>
      <w:bookmarkStart w:id="49" w:name="_Toc15910"/>
      <w:r>
        <w:rPr>
          <w:rFonts w:hint="eastAsia" w:ascii="宋体" w:hAnsi="宋体" w:cs="宋体"/>
        </w:rPr>
        <w:t>4 合成高分子防水涂料应与上层耐根穿刺防水卷材相容。</w:t>
      </w:r>
      <w:bookmarkEnd w:id="49"/>
    </w:p>
    <w:p w14:paraId="3C5F64B3">
      <w:pPr>
        <w:spacing w:line="480" w:lineRule="exact"/>
        <w:jc w:val="center"/>
        <w:outlineLvl w:val="1"/>
        <w:rPr>
          <w:rFonts w:ascii="黑体" w:hAnsi="黑体" w:eastAsia="黑体" w:cs="黑体"/>
        </w:rPr>
      </w:pPr>
      <w:bookmarkStart w:id="50" w:name="_Toc5425"/>
      <w:r>
        <w:rPr>
          <w:rFonts w:hint="eastAsia" w:ascii="黑体" w:hAnsi="黑体" w:eastAsia="黑体" w:cs="黑体"/>
        </w:rPr>
        <w:t xml:space="preserve">6.3 </w:t>
      </w:r>
      <w:r>
        <w:rPr>
          <w:rFonts w:ascii="黑体" w:hAnsi="黑体" w:eastAsia="黑体" w:cs="黑体"/>
        </w:rPr>
        <w:t xml:space="preserve"> </w:t>
      </w:r>
      <w:r>
        <w:rPr>
          <w:rFonts w:hint="eastAsia" w:ascii="黑体" w:hAnsi="黑体" w:eastAsia="黑体" w:cs="黑体"/>
        </w:rPr>
        <w:t>耐根穿刺防水层</w:t>
      </w:r>
      <w:bookmarkEnd w:id="50"/>
    </w:p>
    <w:p w14:paraId="470E120C">
      <w:pPr>
        <w:spacing w:line="480" w:lineRule="exact"/>
        <w:rPr>
          <w:rFonts w:ascii="宋体" w:hAnsi="宋体" w:cs="宋体"/>
        </w:rPr>
      </w:pPr>
      <w:r>
        <w:rPr>
          <w:rFonts w:hint="eastAsia" w:ascii="宋体" w:hAnsi="宋体" w:cs="宋体"/>
        </w:rPr>
        <w:t>6.3.1</w:t>
      </w:r>
      <w:r>
        <w:rPr>
          <w:rFonts w:ascii="宋体" w:hAnsi="宋体" w:cs="宋体"/>
        </w:rPr>
        <w:t xml:space="preserve"> </w:t>
      </w:r>
      <w:r>
        <w:rPr>
          <w:rFonts w:hint="eastAsia" w:ascii="宋体" w:hAnsi="宋体" w:cs="宋体"/>
        </w:rPr>
        <w:t xml:space="preserve"> 耐根穿刺防水卷材施工方式应与其耐根穿刺防水材料检测报告相符。</w:t>
      </w:r>
    </w:p>
    <w:p w14:paraId="338F3614">
      <w:pPr>
        <w:spacing w:line="480" w:lineRule="exact"/>
        <w:rPr>
          <w:rFonts w:ascii="宋体" w:hAnsi="宋体" w:cs="宋体"/>
        </w:rPr>
      </w:pPr>
      <w:r>
        <w:rPr>
          <w:rFonts w:hint="eastAsia" w:ascii="宋体" w:hAnsi="宋体" w:cs="宋体"/>
        </w:rPr>
        <w:t xml:space="preserve">6.3.2 </w:t>
      </w:r>
      <w:r>
        <w:rPr>
          <w:rFonts w:ascii="宋体" w:hAnsi="宋体" w:cs="宋体"/>
        </w:rPr>
        <w:t xml:space="preserve"> </w:t>
      </w:r>
      <w:r>
        <w:rPr>
          <w:rFonts w:hint="eastAsia" w:ascii="宋体" w:hAnsi="宋体" w:cs="宋体"/>
        </w:rPr>
        <w:t xml:space="preserve">耐根穿刺防水卷材施工应符合下列规定： </w:t>
      </w:r>
    </w:p>
    <w:p w14:paraId="68F67891">
      <w:pPr>
        <w:spacing w:line="480" w:lineRule="exact"/>
        <w:ind w:firstLine="420" w:firstLineChars="200"/>
        <w:rPr>
          <w:rFonts w:ascii="宋体" w:hAnsi="宋体" w:cs="宋体"/>
        </w:rPr>
      </w:pPr>
      <w:r>
        <w:rPr>
          <w:rFonts w:hint="eastAsia" w:ascii="宋体" w:hAnsi="宋体" w:cs="宋体"/>
        </w:rPr>
        <w:t xml:space="preserve">1 改性沥青类耐根穿刺防水卷材搭接缝应一次性热熔完成，并溢出不小于8mm沥青胶封边，不得过火或欠火； </w:t>
      </w:r>
    </w:p>
    <w:p w14:paraId="31868E7C">
      <w:pPr>
        <w:spacing w:line="480" w:lineRule="exact"/>
        <w:ind w:firstLine="420" w:firstLineChars="200"/>
        <w:rPr>
          <w:rFonts w:ascii="宋体" w:hAnsi="宋体" w:cs="宋体"/>
        </w:rPr>
      </w:pPr>
      <w:r>
        <w:rPr>
          <w:rFonts w:hint="eastAsia" w:ascii="宋体" w:hAnsi="宋体" w:cs="宋体"/>
        </w:rPr>
        <w:t xml:space="preserve">2 塑料类耐根穿刺防水卷材施工前应试焊，检查搭接强度，调整工艺参数，必要时应进行表面处理； </w:t>
      </w:r>
    </w:p>
    <w:p w14:paraId="3861CFF3">
      <w:pPr>
        <w:spacing w:line="480" w:lineRule="exact"/>
        <w:ind w:firstLine="420" w:firstLineChars="200"/>
        <w:rPr>
          <w:rFonts w:ascii="宋体" w:hAnsi="宋体" w:cs="宋体"/>
        </w:rPr>
      </w:pPr>
      <w:r>
        <w:rPr>
          <w:rFonts w:hint="eastAsia" w:ascii="宋体" w:hAnsi="宋体" w:cs="宋体"/>
        </w:rPr>
        <w:t>3 高分子耐根穿刺防水卷材暴露内增强织物的边缘应密封处理，密封材料与防水卷材应相容；</w:t>
      </w:r>
    </w:p>
    <w:p w14:paraId="5F16198E">
      <w:pPr>
        <w:spacing w:line="480" w:lineRule="exact"/>
        <w:ind w:firstLine="420" w:firstLineChars="200"/>
        <w:rPr>
          <w:rFonts w:ascii="宋体" w:hAnsi="宋体" w:cs="宋体"/>
        </w:rPr>
      </w:pPr>
      <w:r>
        <w:rPr>
          <w:rFonts w:hint="eastAsia" w:ascii="宋体" w:hAnsi="宋体" w:cs="宋体"/>
        </w:rPr>
        <w:t>4 高分子耐根穿刺防水卷材“T”形搭接处应作附加层，附加层直径（尺寸）不应小于200mm，附加层应为匀质的同材质高分子防水卷材，矩形附加层的角应为光滑的圆角，</w:t>
      </w:r>
      <w:r>
        <w:rPr>
          <w:rFonts w:ascii="宋体" w:hAnsi="宋体" w:cs="宋体"/>
        </w:rPr>
        <w:t>应采用焊接方式进行</w:t>
      </w:r>
      <w:r>
        <w:rPr>
          <w:rFonts w:hint="eastAsia" w:ascii="宋体" w:hAnsi="宋体" w:cs="宋体"/>
        </w:rPr>
        <w:t xml:space="preserve">搭接，不得采用溶剂型胶粘剂搭接。 </w:t>
      </w:r>
    </w:p>
    <w:p w14:paraId="1D3E62F1">
      <w:pPr>
        <w:spacing w:line="480" w:lineRule="exact"/>
        <w:rPr>
          <w:rFonts w:ascii="宋体" w:hAnsi="宋体" w:cs="宋体"/>
        </w:rPr>
      </w:pPr>
      <w:r>
        <w:rPr>
          <w:rFonts w:hint="eastAsia" w:ascii="宋体" w:hAnsi="宋体" w:cs="宋体"/>
        </w:rPr>
        <w:t xml:space="preserve">6.3.3 </w:t>
      </w:r>
      <w:r>
        <w:rPr>
          <w:rFonts w:ascii="宋体" w:hAnsi="宋体" w:cs="宋体"/>
        </w:rPr>
        <w:t xml:space="preserve"> </w:t>
      </w:r>
      <w:r>
        <w:rPr>
          <w:rFonts w:hint="eastAsia" w:ascii="宋体" w:hAnsi="宋体" w:cs="宋体"/>
        </w:rPr>
        <w:t>改性沥青类耐根穿刺防水卷材施工应采用热熔法铺贴，并应符合本规程第</w:t>
      </w:r>
      <w:r>
        <w:rPr>
          <w:rFonts w:ascii="宋体" w:hAnsi="宋体" w:cs="宋体"/>
        </w:rPr>
        <w:t>6.2</w:t>
      </w:r>
      <w:r>
        <w:rPr>
          <w:rFonts w:hint="eastAsia" w:ascii="宋体" w:hAnsi="宋体" w:cs="宋体"/>
        </w:rPr>
        <w:t xml:space="preserve">节的规定。 </w:t>
      </w:r>
    </w:p>
    <w:p w14:paraId="3BFE6797">
      <w:pPr>
        <w:spacing w:line="480" w:lineRule="exact"/>
        <w:rPr>
          <w:rFonts w:ascii="宋体" w:hAnsi="宋体" w:cs="宋体"/>
        </w:rPr>
      </w:pPr>
      <w:r>
        <w:rPr>
          <w:rFonts w:hint="eastAsia" w:ascii="宋体" w:hAnsi="宋体" w:cs="宋体"/>
        </w:rPr>
        <w:t xml:space="preserve">6.3.4 </w:t>
      </w:r>
      <w:r>
        <w:rPr>
          <w:rFonts w:ascii="宋体" w:hAnsi="宋体" w:cs="宋体"/>
        </w:rPr>
        <w:t xml:space="preserve"> </w:t>
      </w:r>
      <w:r>
        <w:rPr>
          <w:rFonts w:hint="eastAsia" w:ascii="宋体" w:hAnsi="宋体" w:cs="宋体"/>
        </w:rPr>
        <w:t xml:space="preserve">聚氯乙烯（PVC）防水卷材和热塑性聚烯烃（TPO）防水卷材施工应符合下列规定： </w:t>
      </w:r>
    </w:p>
    <w:p w14:paraId="36C2F77A">
      <w:pPr>
        <w:spacing w:line="480" w:lineRule="exact"/>
        <w:ind w:firstLine="420" w:firstLineChars="200"/>
        <w:outlineLvl w:val="0"/>
        <w:rPr>
          <w:rFonts w:ascii="宋体" w:hAnsi="宋体" w:cs="宋体"/>
        </w:rPr>
      </w:pPr>
      <w:bookmarkStart w:id="51" w:name="_Toc27464"/>
      <w:r>
        <w:rPr>
          <w:rFonts w:hint="eastAsia" w:ascii="宋体" w:hAnsi="宋体" w:cs="宋体"/>
        </w:rPr>
        <w:t>1 卷材与基层宜采用冷粘法铺贴；</w:t>
      </w:r>
      <w:bookmarkEnd w:id="51"/>
      <w:r>
        <w:rPr>
          <w:rFonts w:hint="eastAsia" w:ascii="宋体" w:hAnsi="宋体" w:cs="宋体"/>
        </w:rPr>
        <w:t xml:space="preserve"> </w:t>
      </w:r>
    </w:p>
    <w:p w14:paraId="46A3D566">
      <w:pPr>
        <w:spacing w:line="480" w:lineRule="exact"/>
        <w:ind w:firstLine="420" w:firstLineChars="200"/>
        <w:rPr>
          <w:rFonts w:ascii="宋体" w:hAnsi="宋体" w:cs="宋体"/>
        </w:rPr>
      </w:pPr>
      <w:r>
        <w:rPr>
          <w:rFonts w:hint="eastAsia" w:ascii="宋体" w:hAnsi="宋体" w:cs="宋体"/>
        </w:rPr>
        <w:t xml:space="preserve">2 大面积采用空铺法施工时，距顶板周边 800mm内的卷材应与基层满粘，或沿屋面（顶板）周边对卷材进行机械固定； </w:t>
      </w:r>
    </w:p>
    <w:p w14:paraId="6CD483DB">
      <w:pPr>
        <w:spacing w:line="480" w:lineRule="exact"/>
        <w:ind w:firstLine="420" w:firstLineChars="200"/>
        <w:rPr>
          <w:rFonts w:ascii="宋体" w:hAnsi="宋体" w:cs="宋体"/>
        </w:rPr>
      </w:pPr>
      <w:r>
        <w:rPr>
          <w:rFonts w:hint="eastAsia" w:ascii="宋体" w:hAnsi="宋体" w:cs="宋体"/>
        </w:rPr>
        <w:t xml:space="preserve">3 搭接缝应采用热风焊接施工，单焊缝的有效焊接宽度不应小于25mm ，双焊缝的每条焊缝有效焊接宽度不应小于10mm。 </w:t>
      </w:r>
    </w:p>
    <w:p w14:paraId="4D643CB1">
      <w:pPr>
        <w:spacing w:line="480" w:lineRule="exact"/>
        <w:rPr>
          <w:rFonts w:ascii="宋体" w:hAnsi="宋体" w:cs="宋体"/>
        </w:rPr>
      </w:pPr>
      <w:r>
        <w:rPr>
          <w:rFonts w:hint="eastAsia" w:ascii="宋体" w:hAnsi="宋体" w:cs="宋体"/>
        </w:rPr>
        <w:t xml:space="preserve">6.3.5 </w:t>
      </w:r>
      <w:r>
        <w:rPr>
          <w:rFonts w:ascii="宋体" w:hAnsi="宋体" w:cs="宋体"/>
        </w:rPr>
        <w:t xml:space="preserve"> </w:t>
      </w:r>
      <w:r>
        <w:rPr>
          <w:rFonts w:hint="eastAsia" w:ascii="宋体" w:hAnsi="宋体" w:cs="宋体"/>
        </w:rPr>
        <w:t xml:space="preserve">三元乙丙橡胶 （EPDM）防水卷材施工应符合下列规定： </w:t>
      </w:r>
    </w:p>
    <w:p w14:paraId="027F4391">
      <w:pPr>
        <w:spacing w:line="480" w:lineRule="exact"/>
        <w:ind w:firstLine="420" w:firstLineChars="200"/>
        <w:outlineLvl w:val="0"/>
        <w:rPr>
          <w:rFonts w:ascii="宋体" w:hAnsi="宋体" w:cs="宋体"/>
        </w:rPr>
      </w:pPr>
      <w:bookmarkStart w:id="52" w:name="_Toc22161"/>
      <w:r>
        <w:rPr>
          <w:rFonts w:hint="eastAsia" w:ascii="宋体" w:hAnsi="宋体" w:cs="宋体"/>
        </w:rPr>
        <w:t>1 卷材与基层宜采用冷粘法铺贴；</w:t>
      </w:r>
      <w:bookmarkEnd w:id="52"/>
    </w:p>
    <w:p w14:paraId="46BF0FB8">
      <w:pPr>
        <w:spacing w:line="480" w:lineRule="exact"/>
        <w:ind w:firstLine="420" w:firstLineChars="200"/>
        <w:rPr>
          <w:rFonts w:ascii="宋体" w:hAnsi="宋体" w:cs="宋体"/>
        </w:rPr>
      </w:pPr>
      <w:r>
        <w:rPr>
          <w:rFonts w:hint="eastAsia" w:ascii="宋体" w:hAnsi="宋体" w:cs="宋体"/>
        </w:rPr>
        <w:t xml:space="preserve">2 采用空铺法施工时，屋面（顶板）周边 800mm 内卷材应与基层满粘，或沿顶板周边对卷材进行机械固定； </w:t>
      </w:r>
    </w:p>
    <w:p w14:paraId="031E6929">
      <w:pPr>
        <w:spacing w:line="480" w:lineRule="exact"/>
        <w:ind w:firstLine="420" w:firstLineChars="200"/>
        <w:rPr>
          <w:rFonts w:ascii="宋体" w:hAnsi="宋体" w:cs="宋体"/>
        </w:rPr>
      </w:pPr>
      <w:r>
        <w:rPr>
          <w:rFonts w:hint="eastAsia" w:ascii="宋体" w:hAnsi="宋体" w:cs="宋体"/>
        </w:rPr>
        <w:t xml:space="preserve">3 搭接缝应采用专用搭接胶带搭接，搭接胶带的宽度不应小于100mm; </w:t>
      </w:r>
    </w:p>
    <w:p w14:paraId="6D328B20">
      <w:pPr>
        <w:spacing w:line="480" w:lineRule="exact"/>
        <w:ind w:firstLine="420" w:firstLineChars="200"/>
        <w:outlineLvl w:val="0"/>
        <w:rPr>
          <w:rFonts w:ascii="宋体" w:hAnsi="宋体" w:cs="宋体"/>
        </w:rPr>
      </w:pPr>
      <w:bookmarkStart w:id="53" w:name="_Toc3708"/>
      <w:r>
        <w:rPr>
          <w:rFonts w:hint="eastAsia" w:ascii="宋体" w:hAnsi="宋体" w:cs="宋体"/>
        </w:rPr>
        <w:t>4 搭接缝应采用密封材料进行密封处理。</w:t>
      </w:r>
      <w:bookmarkEnd w:id="53"/>
      <w:r>
        <w:rPr>
          <w:rFonts w:hint="eastAsia" w:ascii="宋体" w:hAnsi="宋体" w:cs="宋体"/>
        </w:rPr>
        <w:t xml:space="preserve"> </w:t>
      </w:r>
    </w:p>
    <w:p w14:paraId="26AF17A6">
      <w:pPr>
        <w:spacing w:line="480" w:lineRule="exact"/>
        <w:rPr>
          <w:rFonts w:ascii="宋体" w:hAnsi="宋体" w:cs="宋体"/>
        </w:rPr>
      </w:pPr>
      <w:r>
        <w:rPr>
          <w:rFonts w:hint="eastAsia" w:ascii="宋体" w:hAnsi="宋体" w:cs="宋体"/>
        </w:rPr>
        <w:t xml:space="preserve">6.3.6 </w:t>
      </w:r>
      <w:r>
        <w:rPr>
          <w:rFonts w:ascii="宋体" w:hAnsi="宋体" w:cs="宋体"/>
        </w:rPr>
        <w:t xml:space="preserve"> </w:t>
      </w:r>
      <w:r>
        <w:rPr>
          <w:rFonts w:hint="eastAsia" w:ascii="宋体" w:hAnsi="宋体" w:cs="宋体"/>
        </w:rPr>
        <w:t xml:space="preserve">聚乙烯丙纶防水卷材和聚合物水泥胶结料复合防水材料施工应符合下列规定： </w:t>
      </w:r>
    </w:p>
    <w:p w14:paraId="24C46BE7">
      <w:pPr>
        <w:spacing w:line="480" w:lineRule="exact"/>
        <w:ind w:firstLine="420" w:firstLineChars="200"/>
        <w:rPr>
          <w:rFonts w:ascii="宋体" w:hAnsi="宋体" w:cs="宋体"/>
        </w:rPr>
      </w:pPr>
      <w:r>
        <w:rPr>
          <w:rFonts w:hint="eastAsia" w:ascii="宋体" w:hAnsi="宋体" w:cs="宋体"/>
        </w:rPr>
        <w:t xml:space="preserve">1 聚乙烯丙纶防水卷材应采用双层叠合铺设，每层由芯层厚度不小于 0.6mm 的聚乙烯丙纶防水卷材和厚度不小于 l.3mm的聚合物水泥胶结料组成； </w:t>
      </w:r>
    </w:p>
    <w:p w14:paraId="783E583E">
      <w:pPr>
        <w:spacing w:line="480" w:lineRule="exact"/>
        <w:ind w:firstLine="420" w:firstLineChars="200"/>
        <w:outlineLvl w:val="0"/>
        <w:rPr>
          <w:rFonts w:ascii="宋体" w:hAnsi="宋体" w:cs="宋体"/>
        </w:rPr>
      </w:pPr>
      <w:bookmarkStart w:id="54" w:name="_Toc29207"/>
      <w:r>
        <w:rPr>
          <w:rFonts w:hint="eastAsia" w:ascii="宋体" w:hAnsi="宋体" w:cs="宋体"/>
        </w:rPr>
        <w:t>2 聚合物水泥胶结料应按要求配制，宜采用刮涂法施工；</w:t>
      </w:r>
      <w:bookmarkEnd w:id="54"/>
    </w:p>
    <w:p w14:paraId="44EA0678">
      <w:pPr>
        <w:spacing w:line="480" w:lineRule="exact"/>
        <w:ind w:firstLine="420" w:firstLineChars="200"/>
        <w:rPr>
          <w:rFonts w:ascii="宋体" w:hAnsi="宋体" w:cs="宋体"/>
        </w:rPr>
      </w:pPr>
      <w:r>
        <w:rPr>
          <w:rFonts w:hint="eastAsia" w:ascii="宋体" w:hAnsi="宋体" w:cs="宋体"/>
        </w:rPr>
        <w:t xml:space="preserve">3 施工环境温度不应低于5℃；当环境温度低于5℃时，应采取防冻措施。 </w:t>
      </w:r>
    </w:p>
    <w:p w14:paraId="3BF172B9">
      <w:pPr>
        <w:spacing w:line="480" w:lineRule="exact"/>
        <w:rPr>
          <w:rFonts w:ascii="宋体" w:hAnsi="宋体" w:cs="宋体"/>
        </w:rPr>
      </w:pPr>
      <w:r>
        <w:rPr>
          <w:rFonts w:hint="eastAsia" w:ascii="宋体" w:hAnsi="宋体" w:cs="宋体"/>
        </w:rPr>
        <w:t>6.3.</w:t>
      </w:r>
      <w:r>
        <w:rPr>
          <w:rFonts w:ascii="宋体" w:hAnsi="宋体" w:cs="宋体"/>
        </w:rPr>
        <w:t>7</w:t>
      </w:r>
      <w:r>
        <w:rPr>
          <w:rFonts w:hint="eastAsia" w:ascii="宋体" w:hAnsi="宋体" w:cs="宋体"/>
        </w:rPr>
        <w:t xml:space="preserve"> </w:t>
      </w:r>
      <w:r>
        <w:rPr>
          <w:rFonts w:ascii="宋体" w:hAnsi="宋体" w:cs="宋体"/>
        </w:rPr>
        <w:t xml:space="preserve"> </w:t>
      </w:r>
      <w:r>
        <w:rPr>
          <w:rFonts w:hint="eastAsia" w:ascii="宋体" w:hAnsi="宋体" w:cs="宋体"/>
        </w:rPr>
        <w:t xml:space="preserve">耐根穿刺防水层与普通防水层上下相邻，施工应符合下列规定： </w:t>
      </w:r>
    </w:p>
    <w:p w14:paraId="7990FFF1">
      <w:pPr>
        <w:spacing w:line="480" w:lineRule="exact"/>
        <w:ind w:firstLine="420" w:firstLineChars="200"/>
        <w:rPr>
          <w:rFonts w:ascii="宋体" w:hAnsi="宋体" w:cs="宋体"/>
        </w:rPr>
      </w:pPr>
      <w:r>
        <w:rPr>
          <w:rFonts w:hint="eastAsia" w:ascii="宋体" w:hAnsi="宋体" w:cs="宋体"/>
        </w:rPr>
        <w:t xml:space="preserve">1 耐根穿刺防水层的高分子防水卷材与普通防水层的高分子防水卷材复合时，宜采用冷粘法施工； </w:t>
      </w:r>
    </w:p>
    <w:p w14:paraId="62DA3441">
      <w:pPr>
        <w:spacing w:line="480" w:lineRule="exact"/>
        <w:ind w:firstLine="420" w:firstLineChars="200"/>
        <w:rPr>
          <w:rFonts w:ascii="宋体" w:hAnsi="宋体" w:cs="宋体"/>
        </w:rPr>
      </w:pPr>
      <w:r>
        <w:rPr>
          <w:rFonts w:hint="eastAsia" w:ascii="宋体" w:hAnsi="宋体" w:cs="宋体"/>
        </w:rPr>
        <w:t xml:space="preserve">2 耐根穿刺防水层的沥青基防水卷材与普通防水层的沥青基防水卷材复合时，应采用热熔或自粘法施工。 </w:t>
      </w:r>
    </w:p>
    <w:p w14:paraId="6573C06B">
      <w:pPr>
        <w:spacing w:line="480" w:lineRule="exact"/>
        <w:ind w:firstLine="420" w:firstLineChars="200"/>
        <w:outlineLvl w:val="0"/>
        <w:rPr>
          <w:rFonts w:ascii="宋体" w:hAnsi="宋体" w:cs="宋体"/>
        </w:rPr>
      </w:pPr>
      <w:bookmarkStart w:id="55" w:name="_Toc31521"/>
      <w:r>
        <w:rPr>
          <w:rFonts w:hint="eastAsia" w:ascii="宋体" w:hAnsi="宋体" w:cs="宋体"/>
        </w:rPr>
        <w:t>3 耐根穿刺防水层与下层普通防水卷材大面应平行错缝铺贴</w:t>
      </w:r>
      <w:bookmarkEnd w:id="55"/>
    </w:p>
    <w:p w14:paraId="20574D8A">
      <w:pPr>
        <w:spacing w:line="480" w:lineRule="exact"/>
        <w:ind w:firstLine="420" w:firstLineChars="200"/>
        <w:rPr>
          <w:rFonts w:ascii="宋体" w:hAnsi="宋体" w:cs="宋体"/>
        </w:rPr>
      </w:pPr>
      <w:r>
        <w:rPr>
          <w:rFonts w:hint="eastAsia" w:ascii="宋体" w:hAnsi="宋体" w:cs="宋体"/>
        </w:rPr>
        <w:t>4 耐根穿刺防水层施工完毕后宜尽快进行下道工序施工，应尽量避免防水层长期外露。</w:t>
      </w:r>
    </w:p>
    <w:p w14:paraId="3E4D4247">
      <w:pPr>
        <w:spacing w:line="480" w:lineRule="exact"/>
        <w:jc w:val="center"/>
        <w:outlineLvl w:val="1"/>
        <w:rPr>
          <w:rFonts w:ascii="黑体" w:hAnsi="黑体" w:eastAsia="黑体" w:cs="黑体"/>
        </w:rPr>
      </w:pPr>
      <w:bookmarkStart w:id="56" w:name="_Toc678"/>
      <w:r>
        <w:rPr>
          <w:rFonts w:hint="eastAsia" w:ascii="黑体" w:hAnsi="黑体" w:eastAsia="黑体" w:cs="黑体"/>
        </w:rPr>
        <w:t>6.4</w:t>
      </w:r>
      <w:r>
        <w:rPr>
          <w:rFonts w:ascii="黑体" w:hAnsi="黑体" w:eastAsia="黑体" w:cs="黑体"/>
        </w:rPr>
        <w:t xml:space="preserve">  </w:t>
      </w:r>
      <w:r>
        <w:rPr>
          <w:rFonts w:hint="eastAsia" w:ascii="黑体" w:hAnsi="黑体" w:eastAsia="黑体" w:cs="黑体"/>
        </w:rPr>
        <w:t>种植屋面保护层</w:t>
      </w:r>
      <w:bookmarkEnd w:id="56"/>
    </w:p>
    <w:p w14:paraId="25DB60FA">
      <w:pPr>
        <w:spacing w:line="480" w:lineRule="exact"/>
        <w:rPr>
          <w:rFonts w:ascii="宋体" w:hAnsi="宋体" w:cs="宋体"/>
        </w:rPr>
      </w:pPr>
      <w:r>
        <w:rPr>
          <w:rFonts w:hint="eastAsia" w:ascii="宋体" w:hAnsi="宋体" w:cs="宋体"/>
        </w:rPr>
        <w:t xml:space="preserve">6.4.1 </w:t>
      </w:r>
      <w:r>
        <w:rPr>
          <w:rFonts w:ascii="宋体" w:hAnsi="宋体" w:cs="宋体"/>
        </w:rPr>
        <w:t xml:space="preserve"> </w:t>
      </w:r>
      <w:r>
        <w:rPr>
          <w:rFonts w:hint="eastAsia" w:ascii="宋体" w:hAnsi="宋体" w:cs="宋体"/>
        </w:rPr>
        <w:t>防水层施工完毕需进行雨后观察、淋水或蓄水试验等方式检查防水效果，在合格后按设计构造进行隔离层和保护层的施工。</w:t>
      </w:r>
    </w:p>
    <w:p w14:paraId="6A667205">
      <w:pPr>
        <w:spacing w:line="480" w:lineRule="exact"/>
        <w:rPr>
          <w:rFonts w:ascii="宋体" w:hAnsi="宋体" w:cs="宋体"/>
        </w:rPr>
      </w:pPr>
      <w:r>
        <w:rPr>
          <w:rFonts w:hint="eastAsia" w:ascii="宋体" w:hAnsi="宋体" w:cs="宋体"/>
        </w:rPr>
        <w:t xml:space="preserve">6.4.2 </w:t>
      </w:r>
      <w:r>
        <w:rPr>
          <w:rFonts w:ascii="宋体" w:hAnsi="宋体" w:cs="宋体"/>
        </w:rPr>
        <w:t xml:space="preserve"> </w:t>
      </w:r>
      <w:r>
        <w:rPr>
          <w:rFonts w:hint="eastAsia" w:ascii="宋体" w:hAnsi="宋体" w:cs="宋体"/>
        </w:rPr>
        <w:t>保护层施工时，应避免破坏防水层。</w:t>
      </w:r>
    </w:p>
    <w:p w14:paraId="4F1D94BA">
      <w:pPr>
        <w:spacing w:line="480" w:lineRule="exact"/>
        <w:rPr>
          <w:rFonts w:ascii="宋体" w:hAnsi="宋体" w:cs="宋体"/>
        </w:rPr>
      </w:pPr>
      <w:r>
        <w:rPr>
          <w:rFonts w:hint="eastAsia" w:ascii="宋体" w:hAnsi="宋体" w:cs="宋体"/>
        </w:rPr>
        <w:t xml:space="preserve">6.4.3 </w:t>
      </w:r>
      <w:r>
        <w:rPr>
          <w:rFonts w:ascii="宋体" w:hAnsi="宋体" w:cs="宋体"/>
        </w:rPr>
        <w:t xml:space="preserve"> </w:t>
      </w:r>
      <w:r>
        <w:rPr>
          <w:rFonts w:hint="eastAsia" w:ascii="宋体" w:hAnsi="宋体" w:cs="宋体"/>
        </w:rPr>
        <w:t>当选用排水系统而取消防水保护层时，应选用强度较高的排水板作为排水系统中的主材，合理铺设于防水层之上，接缝严密。</w:t>
      </w:r>
    </w:p>
    <w:p w14:paraId="509F9489">
      <w:pPr>
        <w:spacing w:line="360" w:lineRule="auto"/>
        <w:rPr>
          <w:rFonts w:ascii="宋体" w:hAnsi="宋体" w:cs="宋体"/>
        </w:rPr>
      </w:pPr>
      <w:r>
        <w:rPr>
          <w:rFonts w:hint="eastAsia" w:ascii="宋体" w:hAnsi="宋体" w:cs="宋体"/>
        </w:rPr>
        <w:t>6.4.4</w:t>
      </w:r>
      <w:r>
        <w:rPr>
          <w:rFonts w:ascii="宋体" w:hAnsi="宋体" w:cs="宋体"/>
        </w:rPr>
        <w:t xml:space="preserve">  </w:t>
      </w:r>
      <w:r>
        <w:rPr>
          <w:rFonts w:hint="eastAsia" w:ascii="宋体" w:hAnsi="宋体" w:cs="宋体"/>
        </w:rPr>
        <w:t>排水系统施工前和施工过程中应避免破坏防水层，无防水保护层的排水系统应能起到保护防水层不被回填土破坏的作用。</w:t>
      </w:r>
    </w:p>
    <w:p w14:paraId="24B83513">
      <w:pPr>
        <w:spacing w:line="480" w:lineRule="exact"/>
        <w:jc w:val="center"/>
        <w:outlineLvl w:val="1"/>
        <w:rPr>
          <w:rFonts w:ascii="黑体" w:hAnsi="黑体" w:eastAsia="黑体" w:cs="黑体"/>
        </w:rPr>
      </w:pPr>
      <w:bookmarkStart w:id="57" w:name="_Toc2462"/>
      <w:r>
        <w:rPr>
          <w:rFonts w:hint="eastAsia" w:ascii="黑体" w:hAnsi="黑体" w:eastAsia="黑体" w:cs="黑体"/>
        </w:rPr>
        <w:t>6.5</w:t>
      </w:r>
      <w:r>
        <w:rPr>
          <w:rFonts w:ascii="黑体" w:hAnsi="黑体" w:eastAsia="黑体" w:cs="黑体"/>
        </w:rPr>
        <w:t xml:space="preserve">  </w:t>
      </w:r>
      <w:r>
        <w:rPr>
          <w:rFonts w:hint="eastAsia" w:ascii="黑体" w:hAnsi="黑体" w:eastAsia="黑体" w:cs="黑体"/>
        </w:rPr>
        <w:t>塑料排（蓄）水层施工</w:t>
      </w:r>
      <w:bookmarkEnd w:id="57"/>
    </w:p>
    <w:p w14:paraId="30AEF3C1">
      <w:pPr>
        <w:spacing w:line="480" w:lineRule="exact"/>
        <w:rPr>
          <w:rFonts w:ascii="宋体" w:hAnsi="宋体" w:cs="宋体"/>
        </w:rPr>
      </w:pPr>
      <w:r>
        <w:rPr>
          <w:rFonts w:hint="eastAsia" w:ascii="宋体" w:hAnsi="宋体" w:cs="宋体"/>
        </w:rPr>
        <w:t>6.5.</w:t>
      </w:r>
      <w:r>
        <w:rPr>
          <w:rFonts w:ascii="宋体" w:hAnsi="宋体" w:cs="宋体"/>
        </w:rPr>
        <w:t xml:space="preserve">1  </w:t>
      </w:r>
      <w:r>
        <w:rPr>
          <w:rFonts w:hint="eastAsia" w:ascii="宋体" w:hAnsi="宋体" w:cs="宋体"/>
        </w:rPr>
        <w:t>塑料排（蓄）水板不能代替耐根穿刺防水层。</w:t>
      </w:r>
    </w:p>
    <w:p w14:paraId="7484A7E8">
      <w:pPr>
        <w:spacing w:line="480" w:lineRule="exact"/>
        <w:rPr>
          <w:rFonts w:ascii="宋体" w:hAnsi="宋体" w:cs="宋体"/>
        </w:rPr>
      </w:pPr>
      <w:r>
        <w:rPr>
          <w:rFonts w:hint="eastAsia" w:ascii="宋体" w:hAnsi="宋体" w:cs="宋体"/>
        </w:rPr>
        <w:t>6.5.</w:t>
      </w:r>
      <w:r>
        <w:rPr>
          <w:rFonts w:ascii="宋体" w:hAnsi="宋体" w:cs="宋体"/>
        </w:rPr>
        <w:t xml:space="preserve">2  </w:t>
      </w:r>
      <w:r>
        <w:rPr>
          <w:rFonts w:hint="eastAsia" w:ascii="宋体" w:hAnsi="宋体" w:cs="宋体"/>
        </w:rPr>
        <w:t>塑料排（蓄）水板的铺设应符合下列规定：</w:t>
      </w:r>
    </w:p>
    <w:p w14:paraId="15D6F5A1">
      <w:pPr>
        <w:spacing w:line="480" w:lineRule="exact"/>
        <w:ind w:firstLine="420" w:firstLineChars="200"/>
        <w:rPr>
          <w:rFonts w:ascii="宋体" w:hAnsi="宋体" w:cs="宋体"/>
        </w:rPr>
      </w:pPr>
      <w:r>
        <w:rPr>
          <w:rFonts w:hint="eastAsia" w:ascii="宋体" w:hAnsi="宋体" w:cs="宋体"/>
        </w:rPr>
        <w:t>1 塑料排（蓄）水板在铺贴前应对基面进行验收，保证基面清洁、平整、无石子颗粒和凹凸不平现象，验收合格达到铺贴条件后方可进行塑料排水板铺贴；</w:t>
      </w:r>
    </w:p>
    <w:p w14:paraId="6252A44F">
      <w:pPr>
        <w:pStyle w:val="11"/>
        <w:outlineLvl w:val="0"/>
      </w:pPr>
      <w:r>
        <w:rPr>
          <w:rFonts w:hint="eastAsia"/>
        </w:rPr>
        <w:t xml:space="preserve"> </w:t>
      </w:r>
      <w:r>
        <w:t xml:space="preserve">   </w:t>
      </w:r>
      <w:bookmarkStart w:id="58" w:name="_Toc19407"/>
      <w:r>
        <w:t>2 铺设排</w:t>
      </w:r>
      <w:r>
        <w:rPr>
          <w:rFonts w:hint="eastAsia"/>
        </w:rPr>
        <w:t>（蓄）水材料时，不应破坏耐根穿刺防水层；</w:t>
      </w:r>
      <w:bookmarkEnd w:id="58"/>
    </w:p>
    <w:p w14:paraId="786A4B7A">
      <w:pPr>
        <w:spacing w:line="480" w:lineRule="exact"/>
        <w:ind w:firstLine="420" w:firstLineChars="200"/>
        <w:rPr>
          <w:rFonts w:ascii="宋体" w:hAnsi="宋体" w:cs="宋体"/>
        </w:rPr>
      </w:pPr>
      <w:r>
        <w:rPr>
          <w:rFonts w:ascii="宋体" w:hAnsi="宋体" w:cs="宋体"/>
        </w:rPr>
        <w:t>3</w:t>
      </w:r>
      <w:r>
        <w:rPr>
          <w:rFonts w:hint="eastAsia" w:ascii="宋体" w:hAnsi="宋体" w:cs="宋体"/>
        </w:rPr>
        <w:t xml:space="preserve"> 塑料排水板宜采用对接方式连接，粘接材料宽度不小于200mm；</w:t>
      </w:r>
    </w:p>
    <w:p w14:paraId="0912D49E">
      <w:pPr>
        <w:spacing w:line="480" w:lineRule="exact"/>
        <w:ind w:firstLine="420" w:firstLineChars="200"/>
        <w:rPr>
          <w:rFonts w:ascii="宋体" w:hAnsi="宋体" w:cs="宋体"/>
        </w:rPr>
      </w:pPr>
      <w:r>
        <w:rPr>
          <w:rFonts w:ascii="宋体" w:hAnsi="宋体" w:cs="宋体"/>
        </w:rPr>
        <w:t>4</w:t>
      </w:r>
      <w:r>
        <w:rPr>
          <w:rFonts w:hint="eastAsia" w:ascii="宋体" w:hAnsi="宋体" w:cs="宋体"/>
        </w:rPr>
        <w:t xml:space="preserve"> 铺贴排（蓄）水板时宜尽量少留接头，铺贴前需对基层整体进行规划设计；</w:t>
      </w:r>
    </w:p>
    <w:p w14:paraId="24489C21">
      <w:pPr>
        <w:spacing w:line="480" w:lineRule="exact"/>
        <w:ind w:firstLine="420" w:firstLineChars="200"/>
        <w:outlineLvl w:val="0"/>
        <w:rPr>
          <w:rFonts w:ascii="宋体" w:hAnsi="宋体" w:cs="宋体"/>
        </w:rPr>
      </w:pPr>
      <w:bookmarkStart w:id="59" w:name="_Toc12517"/>
      <w:r>
        <w:rPr>
          <w:rFonts w:ascii="宋体" w:hAnsi="宋体" w:cs="宋体"/>
        </w:rPr>
        <w:t>5</w:t>
      </w:r>
      <w:r>
        <w:rPr>
          <w:rFonts w:hint="eastAsia" w:ascii="宋体" w:hAnsi="宋体" w:cs="宋体"/>
        </w:rPr>
        <w:t xml:space="preserve"> 塑料排（蓄）水板必须与排水系统连通，保证排水畅通；</w:t>
      </w:r>
      <w:bookmarkEnd w:id="59"/>
    </w:p>
    <w:p w14:paraId="2B58F09F">
      <w:pPr>
        <w:spacing w:line="360" w:lineRule="auto"/>
        <w:ind w:firstLine="420" w:firstLineChars="200"/>
        <w:rPr>
          <w:rFonts w:ascii="宋体" w:hAnsi="宋体" w:cs="宋体"/>
        </w:rPr>
      </w:pPr>
      <w:r>
        <w:rPr>
          <w:rFonts w:ascii="宋体" w:hAnsi="宋体" w:cs="宋体"/>
        </w:rPr>
        <w:t>6</w:t>
      </w:r>
      <w:r>
        <w:rPr>
          <w:rFonts w:hint="eastAsia" w:ascii="宋体" w:hAnsi="宋体" w:cs="宋体"/>
        </w:rPr>
        <w:t xml:space="preserve"> 塑料排（蓄）水板在铺设完毕后，应进行质量检查，并应在验收合格后进行下道工序的施工；</w:t>
      </w:r>
    </w:p>
    <w:p w14:paraId="7CA05031">
      <w:pPr>
        <w:spacing w:line="360" w:lineRule="auto"/>
        <w:ind w:firstLine="420"/>
        <w:outlineLvl w:val="0"/>
        <w:rPr>
          <w:rFonts w:ascii="宋体" w:hAnsi="宋体" w:cs="宋体"/>
        </w:rPr>
      </w:pPr>
      <w:bookmarkStart w:id="60" w:name="_Toc11220"/>
      <w:r>
        <w:rPr>
          <w:rFonts w:ascii="宋体" w:hAnsi="宋体" w:cs="宋体"/>
        </w:rPr>
        <w:t xml:space="preserve">7 </w:t>
      </w:r>
      <w:r>
        <w:rPr>
          <w:rFonts w:hint="eastAsia" w:ascii="宋体" w:hAnsi="宋体" w:cs="宋体"/>
        </w:rPr>
        <w:t>屋面</w:t>
      </w:r>
      <w:r>
        <w:rPr>
          <w:rFonts w:ascii="宋体" w:hAnsi="宋体" w:cs="宋体"/>
        </w:rPr>
        <w:t>排</w:t>
      </w:r>
      <w:r>
        <w:rPr>
          <w:rFonts w:hint="eastAsia" w:ascii="宋体" w:hAnsi="宋体" w:cs="宋体"/>
        </w:rPr>
        <w:t>（蓄）水层应铺设至排水沟边缘或水落口周边。</w:t>
      </w:r>
      <w:bookmarkEnd w:id="60"/>
    </w:p>
    <w:p w14:paraId="0D9735C8">
      <w:pPr>
        <w:spacing w:line="480" w:lineRule="exact"/>
        <w:jc w:val="center"/>
        <w:outlineLvl w:val="1"/>
        <w:rPr>
          <w:rFonts w:ascii="黑体" w:hAnsi="黑体" w:eastAsia="黑体" w:cs="黑体"/>
        </w:rPr>
      </w:pPr>
      <w:bookmarkStart w:id="61" w:name="_Toc29918"/>
      <w:r>
        <w:rPr>
          <w:rFonts w:hint="eastAsia" w:ascii="黑体" w:hAnsi="黑体" w:eastAsia="黑体" w:cs="黑体"/>
        </w:rPr>
        <w:t>6.6</w:t>
      </w:r>
      <w:r>
        <w:rPr>
          <w:rFonts w:ascii="黑体" w:hAnsi="黑体" w:eastAsia="黑体" w:cs="黑体"/>
        </w:rPr>
        <w:t xml:space="preserve">  </w:t>
      </w:r>
      <w:r>
        <w:rPr>
          <w:rFonts w:hint="eastAsia" w:ascii="黑体" w:hAnsi="黑体" w:eastAsia="黑体" w:cs="黑体"/>
        </w:rPr>
        <w:t>过滤层施工</w:t>
      </w:r>
      <w:bookmarkEnd w:id="61"/>
    </w:p>
    <w:p w14:paraId="2ECAC36A">
      <w:pPr>
        <w:spacing w:line="480" w:lineRule="exact"/>
        <w:rPr>
          <w:rFonts w:ascii="宋体" w:hAnsi="宋体" w:cs="宋体"/>
        </w:rPr>
      </w:pPr>
      <w:r>
        <w:rPr>
          <w:rFonts w:hint="eastAsia" w:ascii="宋体" w:hAnsi="宋体" w:cs="宋体"/>
        </w:rPr>
        <w:t xml:space="preserve">6.6.1 </w:t>
      </w:r>
      <w:r>
        <w:rPr>
          <w:rFonts w:ascii="宋体" w:hAnsi="宋体" w:cs="宋体"/>
        </w:rPr>
        <w:t xml:space="preserve"> </w:t>
      </w:r>
      <w:r>
        <w:rPr>
          <w:rFonts w:hint="eastAsia" w:ascii="宋体" w:hAnsi="宋体" w:cs="宋体"/>
        </w:rPr>
        <w:t>过滤层宜采用不小于250g/㎡的土工布。</w:t>
      </w:r>
    </w:p>
    <w:p w14:paraId="7A533037">
      <w:pPr>
        <w:spacing w:line="480" w:lineRule="exact"/>
        <w:rPr>
          <w:rFonts w:ascii="宋体" w:hAnsi="宋体" w:cs="宋体"/>
        </w:rPr>
      </w:pPr>
      <w:r>
        <w:rPr>
          <w:rFonts w:hint="eastAsia" w:ascii="宋体" w:hAnsi="宋体" w:cs="宋体"/>
        </w:rPr>
        <w:t xml:space="preserve">6.6.2 </w:t>
      </w:r>
      <w:r>
        <w:rPr>
          <w:rFonts w:ascii="宋体" w:hAnsi="宋体" w:cs="宋体"/>
        </w:rPr>
        <w:t xml:space="preserve"> </w:t>
      </w:r>
      <w:r>
        <w:rPr>
          <w:rFonts w:hint="eastAsia" w:ascii="宋体" w:hAnsi="宋体" w:cs="宋体"/>
        </w:rPr>
        <w:t>过滤层需要铺贴在排（蓄）水层之上，铺设应平整、无折皱，相邻土工布搭接宽度不应小于150mm，搭接部位应采用粘合固定。</w:t>
      </w:r>
    </w:p>
    <w:p w14:paraId="6AC29893">
      <w:pPr>
        <w:spacing w:line="480" w:lineRule="exact"/>
        <w:rPr>
          <w:rFonts w:ascii="宋体" w:hAnsi="宋体" w:cs="宋体"/>
        </w:rPr>
      </w:pPr>
      <w:r>
        <w:rPr>
          <w:rFonts w:hint="eastAsia" w:ascii="宋体" w:hAnsi="宋体" w:cs="宋体"/>
        </w:rPr>
        <w:t xml:space="preserve">6.6.3 </w:t>
      </w:r>
      <w:r>
        <w:rPr>
          <w:rFonts w:ascii="宋体" w:hAnsi="宋体" w:cs="宋体"/>
        </w:rPr>
        <w:t xml:space="preserve"> </w:t>
      </w:r>
      <w:r>
        <w:rPr>
          <w:rFonts w:hint="eastAsia" w:ascii="宋体" w:hAnsi="宋体" w:cs="宋体"/>
        </w:rPr>
        <w:t>过滤层土工布在屋顶种植区域边缘上返高度应与种植土或种植基质一致并进行可靠固定。</w:t>
      </w:r>
    </w:p>
    <w:p w14:paraId="163B6307">
      <w:pPr>
        <w:spacing w:line="480" w:lineRule="exact"/>
        <w:rPr>
          <w:rFonts w:ascii="宋体" w:hAnsi="宋体" w:cs="宋体"/>
        </w:rPr>
      </w:pPr>
      <w:r>
        <w:rPr>
          <w:rFonts w:hint="eastAsia" w:ascii="宋体" w:hAnsi="宋体" w:cs="宋体"/>
        </w:rPr>
        <w:t xml:space="preserve">6.6.4 </w:t>
      </w:r>
      <w:r>
        <w:rPr>
          <w:rFonts w:ascii="宋体" w:hAnsi="宋体" w:cs="宋体"/>
        </w:rPr>
        <w:t xml:space="preserve"> </w:t>
      </w:r>
      <w:r>
        <w:rPr>
          <w:rFonts w:hint="eastAsia" w:ascii="宋体" w:hAnsi="宋体" w:cs="宋体"/>
        </w:rPr>
        <w:t>排水板在立墙收口部位缝隙应粘贴土工布进行覆盖处理。</w:t>
      </w:r>
    </w:p>
    <w:p w14:paraId="087517BA">
      <w:pPr>
        <w:spacing w:line="480" w:lineRule="exact"/>
        <w:rPr>
          <w:rFonts w:ascii="宋体" w:hAnsi="宋体" w:cs="宋体"/>
          <w:color w:val="FF0000"/>
        </w:rPr>
      </w:pPr>
      <w:r>
        <w:rPr>
          <w:rFonts w:hint="eastAsia" w:ascii="宋体" w:hAnsi="宋体" w:cs="宋体"/>
        </w:rPr>
        <w:t xml:space="preserve">6.6.5 </w:t>
      </w:r>
      <w:r>
        <w:rPr>
          <w:rFonts w:ascii="宋体" w:hAnsi="宋体" w:cs="宋体"/>
        </w:rPr>
        <w:t xml:space="preserve"> </w:t>
      </w:r>
      <w:r>
        <w:rPr>
          <w:rFonts w:hint="eastAsia" w:ascii="宋体" w:hAnsi="宋体" w:cs="宋体"/>
        </w:rPr>
        <w:t>过滤层土工布下表面需支撑和受力均匀，与排水板粘贴平稳牢靠，避免施工过程中或施工后局部出现塌陷。</w:t>
      </w:r>
    </w:p>
    <w:p w14:paraId="6EA89E45">
      <w:pPr>
        <w:spacing w:line="480" w:lineRule="exact"/>
        <w:rPr>
          <w:rFonts w:ascii="宋体" w:hAnsi="宋体" w:cs="宋体"/>
        </w:rPr>
      </w:pPr>
      <w:r>
        <w:rPr>
          <w:rFonts w:hint="eastAsia" w:ascii="宋体" w:hAnsi="宋体" w:cs="宋体"/>
        </w:rPr>
        <w:t xml:space="preserve">6.6.6 </w:t>
      </w:r>
      <w:r>
        <w:rPr>
          <w:rFonts w:ascii="宋体" w:hAnsi="宋体" w:cs="宋体"/>
        </w:rPr>
        <w:t xml:space="preserve"> </w:t>
      </w:r>
      <w:r>
        <w:rPr>
          <w:rFonts w:hint="eastAsia" w:ascii="宋体" w:hAnsi="宋体" w:cs="宋体"/>
        </w:rPr>
        <w:t>保证过滤层土工布完全覆盖下部排水层。</w:t>
      </w:r>
    </w:p>
    <w:p w14:paraId="301C64DB">
      <w:pPr>
        <w:spacing w:line="480" w:lineRule="exact"/>
        <w:jc w:val="center"/>
        <w:outlineLvl w:val="1"/>
        <w:rPr>
          <w:rFonts w:ascii="黑体" w:hAnsi="黑体" w:eastAsia="黑体" w:cs="黑体"/>
        </w:rPr>
      </w:pPr>
      <w:bookmarkStart w:id="62" w:name="_Toc751"/>
      <w:r>
        <w:rPr>
          <w:rFonts w:hint="eastAsia" w:ascii="黑体" w:hAnsi="黑体" w:eastAsia="黑体" w:cs="黑体"/>
        </w:rPr>
        <w:t>6.7</w:t>
      </w:r>
      <w:r>
        <w:rPr>
          <w:rFonts w:ascii="黑体" w:hAnsi="黑体" w:eastAsia="黑体" w:cs="黑体"/>
        </w:rPr>
        <w:t xml:space="preserve">  </w:t>
      </w:r>
      <w:r>
        <w:rPr>
          <w:rFonts w:hint="eastAsia" w:ascii="黑体" w:hAnsi="黑体" w:eastAsia="黑体" w:cs="黑体"/>
        </w:rPr>
        <w:t>种植（回填）土施工</w:t>
      </w:r>
      <w:bookmarkEnd w:id="62"/>
    </w:p>
    <w:p w14:paraId="1A3BB092">
      <w:pPr>
        <w:spacing w:line="480" w:lineRule="exact"/>
        <w:rPr>
          <w:rFonts w:ascii="宋体" w:hAnsi="宋体" w:cs="宋体"/>
        </w:rPr>
      </w:pPr>
      <w:r>
        <w:rPr>
          <w:rFonts w:hint="eastAsia" w:ascii="宋体" w:hAnsi="宋体" w:cs="宋体"/>
        </w:rPr>
        <w:t xml:space="preserve">6.7.1 </w:t>
      </w:r>
      <w:r>
        <w:rPr>
          <w:rFonts w:ascii="宋体" w:hAnsi="宋体" w:cs="宋体"/>
        </w:rPr>
        <w:t xml:space="preserve"> </w:t>
      </w:r>
      <w:r>
        <w:rPr>
          <w:rFonts w:hint="eastAsia" w:ascii="宋体" w:hAnsi="宋体" w:cs="宋体"/>
        </w:rPr>
        <w:t>排(蓄)水层与过滤层施工完毕后宜及时进行种植土回填施工。</w:t>
      </w:r>
    </w:p>
    <w:p w14:paraId="08BBC595">
      <w:pPr>
        <w:spacing w:line="480" w:lineRule="exact"/>
        <w:rPr>
          <w:rFonts w:ascii="宋体" w:hAnsi="宋体" w:cs="宋体"/>
        </w:rPr>
      </w:pPr>
      <w:r>
        <w:rPr>
          <w:rFonts w:hint="eastAsia" w:ascii="宋体" w:hAnsi="宋体" w:cs="宋体"/>
        </w:rPr>
        <w:t xml:space="preserve">6.7.2 </w:t>
      </w:r>
      <w:r>
        <w:rPr>
          <w:rFonts w:ascii="宋体" w:hAnsi="宋体" w:cs="宋体"/>
        </w:rPr>
        <w:t xml:space="preserve"> </w:t>
      </w:r>
      <w:r>
        <w:rPr>
          <w:rFonts w:hint="eastAsia" w:ascii="宋体" w:hAnsi="宋体" w:cs="宋体"/>
        </w:rPr>
        <w:t>厚度500mm以下的回填土，不得采用机械回填。</w:t>
      </w:r>
    </w:p>
    <w:p w14:paraId="71423BEB">
      <w:pPr>
        <w:spacing w:line="480" w:lineRule="exact"/>
        <w:rPr>
          <w:rFonts w:ascii="宋体" w:hAnsi="宋体" w:cs="宋体"/>
        </w:rPr>
      </w:pPr>
      <w:r>
        <w:rPr>
          <w:rFonts w:hint="eastAsia" w:ascii="宋体" w:hAnsi="宋体" w:cs="宋体"/>
        </w:rPr>
        <w:t xml:space="preserve">6.7.3 </w:t>
      </w:r>
      <w:r>
        <w:rPr>
          <w:rFonts w:ascii="宋体" w:hAnsi="宋体" w:cs="宋体"/>
        </w:rPr>
        <w:t xml:space="preserve"> </w:t>
      </w:r>
      <w:r>
        <w:rPr>
          <w:rFonts w:hint="eastAsia" w:ascii="宋体" w:hAnsi="宋体" w:cs="宋体"/>
        </w:rPr>
        <w:t>回填的种植土中存有影响植物生长发育的石砾、瓦砾、砖块，树根、杂草根、玻璃、塑料废弃物、泡沫等混杂物需在回填过程中发现及时清除。</w:t>
      </w:r>
    </w:p>
    <w:p w14:paraId="3B4B361C">
      <w:pPr>
        <w:spacing w:line="480" w:lineRule="exact"/>
        <w:rPr>
          <w:rFonts w:ascii="宋体" w:hAnsi="宋体" w:cs="宋体"/>
        </w:rPr>
      </w:pPr>
      <w:r>
        <w:rPr>
          <w:rFonts w:hint="eastAsia" w:ascii="宋体" w:hAnsi="宋体" w:cs="宋体"/>
        </w:rPr>
        <w:t xml:space="preserve">6.7.4 </w:t>
      </w:r>
      <w:r>
        <w:rPr>
          <w:rFonts w:ascii="宋体" w:hAnsi="宋体" w:cs="宋体"/>
        </w:rPr>
        <w:t xml:space="preserve"> </w:t>
      </w:r>
      <w:r>
        <w:rPr>
          <w:rFonts w:hint="eastAsia" w:ascii="宋体" w:hAnsi="宋体" w:cs="宋体"/>
        </w:rPr>
        <w:t>地下室顶板覆土回填时，运输机械不应直接在排水板和过滤层之上行走碾压，回填应从入口处向中间置土，待高度达到500mm以上后，方可进行机械回填。</w:t>
      </w:r>
    </w:p>
    <w:p w14:paraId="36EED6A1">
      <w:pPr>
        <w:spacing w:line="480" w:lineRule="exact"/>
        <w:rPr>
          <w:rFonts w:ascii="宋体" w:hAnsi="宋体" w:cs="宋体"/>
        </w:rPr>
      </w:pPr>
      <w:r>
        <w:rPr>
          <w:rFonts w:hint="eastAsia" w:ascii="宋体" w:hAnsi="宋体" w:cs="宋体"/>
        </w:rPr>
        <w:t xml:space="preserve">6.7.5 </w:t>
      </w:r>
      <w:r>
        <w:rPr>
          <w:rFonts w:ascii="宋体" w:hAnsi="宋体" w:cs="宋体"/>
        </w:rPr>
        <w:t xml:space="preserve"> </w:t>
      </w:r>
      <w:r>
        <w:rPr>
          <w:rFonts w:hint="eastAsia" w:ascii="宋体" w:hAnsi="宋体" w:cs="宋体"/>
        </w:rPr>
        <w:t>地下室顶板覆土回填时，回填土宜采用十字交叉方式回填，回填过程中避免排水板和过滤层褶皱、位移和破损。</w:t>
      </w:r>
    </w:p>
    <w:p w14:paraId="5A3E091B">
      <w:pPr>
        <w:spacing w:line="480" w:lineRule="exact"/>
        <w:rPr>
          <w:rFonts w:ascii="宋体" w:hAnsi="宋体" w:cs="宋体"/>
        </w:rPr>
      </w:pPr>
      <w:r>
        <w:rPr>
          <w:rFonts w:hint="eastAsia" w:ascii="宋体" w:hAnsi="宋体" w:cs="宋体"/>
        </w:rPr>
        <w:t xml:space="preserve">6.7.6 </w:t>
      </w:r>
      <w:r>
        <w:rPr>
          <w:rFonts w:ascii="宋体" w:hAnsi="宋体" w:cs="宋体"/>
        </w:rPr>
        <w:t xml:space="preserve"> </w:t>
      </w:r>
      <w:r>
        <w:rPr>
          <w:rFonts w:hint="eastAsia" w:ascii="宋体" w:hAnsi="宋体" w:cs="宋体"/>
        </w:rPr>
        <w:t>屋顶种植土或基质避免集中堆放，进行回填时应及时摊平铺设、分层踏实，平整度和坡度应符合设计要求。</w:t>
      </w:r>
    </w:p>
    <w:p w14:paraId="5D03F37A">
      <w:pPr>
        <w:spacing w:line="480" w:lineRule="exact"/>
        <w:rPr>
          <w:rFonts w:ascii="宋体" w:hAnsi="宋体" w:cs="宋体"/>
        </w:rPr>
      </w:pPr>
      <w:r>
        <w:rPr>
          <w:rFonts w:hint="eastAsia" w:ascii="宋体" w:hAnsi="宋体" w:cs="宋体"/>
        </w:rPr>
        <w:t xml:space="preserve">6.7.7 </w:t>
      </w:r>
      <w:r>
        <w:rPr>
          <w:rFonts w:ascii="宋体" w:hAnsi="宋体" w:cs="宋体"/>
        </w:rPr>
        <w:t xml:space="preserve"> </w:t>
      </w:r>
      <w:r>
        <w:rPr>
          <w:rFonts w:hint="eastAsia" w:ascii="宋体" w:hAnsi="宋体" w:cs="宋体"/>
        </w:rPr>
        <w:t>摊铺后的种植土表面应采取洒水或覆盖措施，保证现场整洁，避免扬尘。</w:t>
      </w:r>
    </w:p>
    <w:p w14:paraId="2ACE5352">
      <w:pPr>
        <w:spacing w:line="480" w:lineRule="exact"/>
        <w:rPr>
          <w:rFonts w:ascii="宋体" w:hAnsi="宋体" w:cs="宋体"/>
        </w:rPr>
      </w:pPr>
      <w:r>
        <w:rPr>
          <w:rFonts w:hint="eastAsia" w:ascii="宋体" w:hAnsi="宋体" w:cs="宋体"/>
        </w:rPr>
        <w:t>6.7.8</w:t>
      </w:r>
      <w:r>
        <w:rPr>
          <w:rFonts w:ascii="宋体" w:hAnsi="宋体" w:cs="宋体"/>
        </w:rPr>
        <w:t xml:space="preserve">  </w:t>
      </w:r>
      <w:r>
        <w:rPr>
          <w:rFonts w:hint="eastAsia" w:ascii="宋体" w:hAnsi="宋体" w:cs="宋体"/>
        </w:rPr>
        <w:t>采用排水系统排水时，回填中应避免破坏透气管、出水管等设施。</w:t>
      </w:r>
    </w:p>
    <w:p w14:paraId="5971E199">
      <w:pPr>
        <w:spacing w:line="480" w:lineRule="exact"/>
        <w:rPr>
          <w:rFonts w:ascii="宋体" w:hAnsi="宋体" w:cs="宋体"/>
        </w:rPr>
      </w:pPr>
      <w:r>
        <w:rPr>
          <w:rFonts w:hint="eastAsia" w:ascii="宋体" w:hAnsi="宋体" w:cs="宋体"/>
        </w:rPr>
        <w:t>6.7.9</w:t>
      </w:r>
      <w:r>
        <w:rPr>
          <w:rFonts w:ascii="宋体" w:hAnsi="宋体" w:cs="宋体"/>
        </w:rPr>
        <w:t xml:space="preserve">  </w:t>
      </w:r>
      <w:r>
        <w:rPr>
          <w:rFonts w:hint="eastAsia" w:ascii="宋体" w:hAnsi="宋体" w:cs="宋体"/>
        </w:rPr>
        <w:t>排蓄水层与过滤层检查验收合格后，才可进行种植土或基质回填。</w:t>
      </w:r>
    </w:p>
    <w:p w14:paraId="45866BC4">
      <w:pPr>
        <w:spacing w:line="480" w:lineRule="exact"/>
        <w:jc w:val="center"/>
        <w:outlineLvl w:val="1"/>
        <w:rPr>
          <w:rFonts w:ascii="黑体" w:hAnsi="黑体" w:eastAsia="黑体" w:cs="黑体"/>
        </w:rPr>
      </w:pPr>
      <w:bookmarkStart w:id="63" w:name="_Toc6432"/>
      <w:r>
        <w:rPr>
          <w:rFonts w:hint="eastAsia" w:ascii="黑体" w:hAnsi="黑体" w:eastAsia="黑体" w:cs="黑体"/>
        </w:rPr>
        <w:t xml:space="preserve">6.8 </w:t>
      </w:r>
      <w:r>
        <w:rPr>
          <w:rFonts w:ascii="黑体" w:hAnsi="黑体" w:eastAsia="黑体" w:cs="黑体"/>
        </w:rPr>
        <w:t xml:space="preserve"> 防水层上无保护层的</w:t>
      </w:r>
      <w:r>
        <w:rPr>
          <w:rFonts w:hint="eastAsia" w:ascii="黑体" w:hAnsi="黑体" w:eastAsia="黑体" w:cs="黑体"/>
        </w:rPr>
        <w:t>地下室顶板排水系统施工</w:t>
      </w:r>
      <w:bookmarkEnd w:id="63"/>
    </w:p>
    <w:p w14:paraId="2E7A2AB3">
      <w:pPr>
        <w:spacing w:line="480" w:lineRule="exact"/>
        <w:rPr>
          <w:rFonts w:ascii="宋体" w:hAnsi="宋体" w:cs="宋体"/>
        </w:rPr>
      </w:pPr>
      <w:r>
        <w:rPr>
          <w:rFonts w:hint="eastAsia" w:ascii="宋体" w:hAnsi="宋体" w:cs="宋体"/>
        </w:rPr>
        <w:t>6.8.1  排水系统施工前应需要提前熟悉图纸，根据现场情况编制专项施工方案，进行现场放线，明确排水系统中各种构件材料安装位置。</w:t>
      </w:r>
    </w:p>
    <w:p w14:paraId="0A3AD550">
      <w:pPr>
        <w:spacing w:line="480" w:lineRule="exact"/>
        <w:rPr>
          <w:rFonts w:ascii="宋体" w:hAnsi="宋体" w:cs="宋体"/>
        </w:rPr>
      </w:pPr>
      <w:r>
        <w:rPr>
          <w:rFonts w:hint="eastAsia" w:ascii="宋体" w:hAnsi="宋体" w:cs="宋体"/>
        </w:rPr>
        <w:t>6.8.2</w:t>
      </w:r>
      <w:r>
        <w:rPr>
          <w:rFonts w:ascii="宋体" w:hAnsi="宋体" w:cs="宋体"/>
        </w:rPr>
        <w:t xml:space="preserve">  </w:t>
      </w:r>
      <w:r>
        <w:rPr>
          <w:rFonts w:hint="eastAsia" w:ascii="宋体" w:hAnsi="宋体" w:cs="宋体"/>
        </w:rPr>
        <w:t>塑料排水槽安装应符合下列要求：</w:t>
      </w:r>
    </w:p>
    <w:p w14:paraId="6E1EA39B">
      <w:pPr>
        <w:spacing w:line="480" w:lineRule="exact"/>
        <w:ind w:firstLine="210" w:firstLineChars="100"/>
        <w:outlineLvl w:val="0"/>
        <w:rPr>
          <w:rFonts w:ascii="宋体" w:hAnsi="宋体" w:cs="宋体"/>
        </w:rPr>
      </w:pPr>
      <w:bookmarkStart w:id="64" w:name="_Toc24973"/>
      <w:r>
        <w:rPr>
          <w:rFonts w:hint="eastAsia" w:ascii="宋体" w:hAnsi="宋体" w:cs="宋体"/>
        </w:rPr>
        <w:t>1 塑料排水槽应按设计要求位置进行布设；</w:t>
      </w:r>
      <w:bookmarkEnd w:id="64"/>
    </w:p>
    <w:p w14:paraId="5713C9F4">
      <w:pPr>
        <w:spacing w:line="480" w:lineRule="exact"/>
        <w:ind w:left="420" w:leftChars="100" w:hanging="210" w:hangingChars="100"/>
        <w:rPr>
          <w:rFonts w:ascii="宋体" w:hAnsi="宋体" w:cs="宋体"/>
        </w:rPr>
      </w:pPr>
      <w:r>
        <w:rPr>
          <w:rFonts w:hint="eastAsia" w:ascii="宋体" w:hAnsi="宋体" w:cs="宋体"/>
        </w:rPr>
        <w:t>2 塑料排水槽应与防水层粘结固定，粘接材料可采用非固化橡胶沥青防水涂料或双面自粘防水卷等具有双面粘结性的防水材料进行粘贴固定，粘结材料宽度宜为500mm；</w:t>
      </w:r>
    </w:p>
    <w:p w14:paraId="2485BABA">
      <w:pPr>
        <w:spacing w:line="480" w:lineRule="exact"/>
        <w:ind w:firstLine="210" w:firstLineChars="100"/>
        <w:rPr>
          <w:rFonts w:ascii="宋体" w:hAnsi="宋体" w:cs="宋体"/>
        </w:rPr>
      </w:pPr>
      <w:r>
        <w:rPr>
          <w:rFonts w:hint="eastAsia" w:ascii="宋体" w:hAnsi="宋体" w:cs="宋体"/>
        </w:rPr>
        <w:t>3 靠近地下室边缘线附近应用单侧开孔的排水槽，开孔朝向排水区域；</w:t>
      </w:r>
    </w:p>
    <w:p w14:paraId="72CE1B4F">
      <w:pPr>
        <w:spacing w:line="480" w:lineRule="exact"/>
        <w:ind w:firstLine="210" w:firstLineChars="100"/>
        <w:outlineLvl w:val="0"/>
        <w:rPr>
          <w:rFonts w:ascii="宋体" w:hAnsi="宋体" w:cs="宋体"/>
        </w:rPr>
      </w:pPr>
      <w:bookmarkStart w:id="65" w:name="_Toc17079"/>
      <w:r>
        <w:rPr>
          <w:rFonts w:hint="eastAsia" w:ascii="宋体" w:hAnsi="宋体" w:cs="宋体"/>
        </w:rPr>
        <w:t>4 排水槽之间以及排水槽与三通、四通构件之间应拼接严密。</w:t>
      </w:r>
      <w:bookmarkEnd w:id="65"/>
    </w:p>
    <w:p w14:paraId="1AD91897">
      <w:pPr>
        <w:spacing w:line="480" w:lineRule="exact"/>
        <w:outlineLvl w:val="1"/>
        <w:rPr>
          <w:rFonts w:ascii="宋体" w:hAnsi="宋体" w:cs="宋体"/>
        </w:rPr>
      </w:pPr>
      <w:bookmarkStart w:id="66" w:name="_Toc7578"/>
      <w:r>
        <w:rPr>
          <w:rFonts w:hint="eastAsia" w:ascii="宋体" w:hAnsi="宋体" w:cs="宋体"/>
        </w:rPr>
        <w:t xml:space="preserve">6.8.3 </w:t>
      </w:r>
      <w:r>
        <w:rPr>
          <w:rFonts w:ascii="宋体" w:hAnsi="宋体" w:cs="宋体"/>
        </w:rPr>
        <w:t xml:space="preserve"> </w:t>
      </w:r>
      <w:r>
        <w:rPr>
          <w:rFonts w:hint="eastAsia" w:ascii="宋体" w:hAnsi="宋体" w:cs="宋体"/>
        </w:rPr>
        <w:t>排水板安装应符合下列要求：</w:t>
      </w:r>
      <w:bookmarkEnd w:id="66"/>
    </w:p>
    <w:p w14:paraId="1967F839">
      <w:pPr>
        <w:spacing w:line="480" w:lineRule="exact"/>
        <w:ind w:firstLine="210" w:firstLineChars="100"/>
        <w:rPr>
          <w:rFonts w:ascii="宋体" w:hAnsi="宋体" w:cs="宋体"/>
        </w:rPr>
      </w:pPr>
      <w:r>
        <w:rPr>
          <w:rFonts w:hint="eastAsia" w:ascii="宋体" w:hAnsi="宋体" w:cs="宋体"/>
        </w:rPr>
        <w:t>1 排水系统中应选用出厂自带土工布的复合一体化塑料防护排水板进行施工；</w:t>
      </w:r>
    </w:p>
    <w:p w14:paraId="0FFAA558">
      <w:pPr>
        <w:spacing w:line="480" w:lineRule="exact"/>
        <w:ind w:left="420" w:leftChars="100" w:hanging="210" w:hangingChars="100"/>
        <w:rPr>
          <w:rFonts w:ascii="宋体" w:hAnsi="宋体" w:cs="宋体"/>
        </w:rPr>
      </w:pPr>
      <w:r>
        <w:rPr>
          <w:rFonts w:hint="eastAsia" w:ascii="宋体" w:hAnsi="宋体" w:cs="宋体"/>
        </w:rPr>
        <w:t>2 复合一体化塑料防护排水板遇墙体上翻高度不应小于500mm，宜与覆土同高度；收口部位需胶粘土工布进行覆盖，土工布宽度不应小于200mm；</w:t>
      </w:r>
    </w:p>
    <w:p w14:paraId="6C14260A">
      <w:pPr>
        <w:spacing w:line="480" w:lineRule="exact"/>
        <w:ind w:left="420" w:leftChars="100" w:hanging="210" w:hangingChars="100"/>
        <w:rPr>
          <w:rFonts w:ascii="宋体" w:hAnsi="宋体" w:cs="宋体"/>
        </w:rPr>
      </w:pPr>
      <w:r>
        <w:rPr>
          <w:rFonts w:hint="eastAsia" w:ascii="宋体" w:hAnsi="宋体" w:cs="宋体"/>
        </w:rPr>
        <w:t>3 复合一体化塑料防护排水板之间连接应采用双面具有粘结性的防水材料进行连接，排水板与粘结材料搭接宽度不应小于100mm；</w:t>
      </w:r>
    </w:p>
    <w:p w14:paraId="79EFA329">
      <w:pPr>
        <w:spacing w:line="480" w:lineRule="exact"/>
        <w:ind w:firstLine="210" w:firstLineChars="100"/>
        <w:rPr>
          <w:rFonts w:ascii="宋体" w:hAnsi="宋体" w:cs="宋体"/>
        </w:rPr>
      </w:pPr>
      <w:r>
        <w:rPr>
          <w:rFonts w:hint="eastAsia" w:ascii="宋体" w:hAnsi="宋体" w:cs="宋体"/>
        </w:rPr>
        <w:t>4 复合一体化塑料防护排水板与排水槽之间应可靠连接，接缝底部应采用具有双面粘结性防水材料进行粘接；</w:t>
      </w:r>
    </w:p>
    <w:p w14:paraId="1383B6D9">
      <w:pPr>
        <w:spacing w:line="480" w:lineRule="exact"/>
        <w:ind w:firstLine="210" w:firstLineChars="100"/>
        <w:rPr>
          <w:rFonts w:ascii="宋体" w:hAnsi="宋体" w:cs="宋体"/>
        </w:rPr>
      </w:pPr>
      <w:r>
        <w:rPr>
          <w:rFonts w:hint="eastAsia" w:ascii="宋体" w:hAnsi="宋体" w:cs="宋体"/>
        </w:rPr>
        <w:t>5 复合一体化塑料防护排水板之间接缝处需胶粘土工布进行覆盖，土工布搭接宽度不小于100mm；</w:t>
      </w:r>
    </w:p>
    <w:p w14:paraId="24D78558">
      <w:pPr>
        <w:spacing w:line="480" w:lineRule="exact"/>
        <w:rPr>
          <w:rFonts w:ascii="宋体" w:hAnsi="宋体" w:cs="宋体"/>
        </w:rPr>
      </w:pPr>
      <w:r>
        <w:rPr>
          <w:rFonts w:hint="eastAsia" w:ascii="宋体" w:hAnsi="宋体" w:cs="宋体"/>
        </w:rPr>
        <w:t xml:space="preserve">6.8.4 </w:t>
      </w:r>
      <w:r>
        <w:rPr>
          <w:rFonts w:ascii="宋体" w:hAnsi="宋体" w:cs="宋体"/>
        </w:rPr>
        <w:t xml:space="preserve"> </w:t>
      </w:r>
      <w:r>
        <w:rPr>
          <w:rFonts w:hint="eastAsia" w:ascii="宋体" w:hAnsi="宋体" w:cs="宋体"/>
        </w:rPr>
        <w:t>观察透气管安装位置应与图纸相符，透气观察管高度按专项施工方案要求，高出覆土不应小于50mm。</w:t>
      </w:r>
    </w:p>
    <w:p w14:paraId="4C7C222F">
      <w:pPr>
        <w:spacing w:line="480" w:lineRule="exact"/>
        <w:rPr>
          <w:rFonts w:ascii="宋体" w:hAnsi="宋体" w:cs="宋体"/>
        </w:rPr>
      </w:pPr>
      <w:r>
        <w:rPr>
          <w:rFonts w:hint="eastAsia" w:ascii="宋体" w:hAnsi="宋体" w:cs="宋体"/>
        </w:rPr>
        <w:t xml:space="preserve">6.8.5 </w:t>
      </w:r>
      <w:r>
        <w:rPr>
          <w:rFonts w:ascii="宋体" w:hAnsi="宋体" w:cs="宋体"/>
        </w:rPr>
        <w:t xml:space="preserve"> </w:t>
      </w:r>
      <w:r>
        <w:rPr>
          <w:rFonts w:hint="eastAsia" w:ascii="宋体" w:hAnsi="宋体" w:cs="宋体"/>
        </w:rPr>
        <w:t>排水槽施工完毕后，应采用土工布胶粘覆盖，土工布与排水板搭接宽度不小于100mm。</w:t>
      </w:r>
    </w:p>
    <w:p w14:paraId="1E6F4560">
      <w:pPr>
        <w:spacing w:line="480" w:lineRule="exact"/>
        <w:rPr>
          <w:rFonts w:ascii="宋体" w:hAnsi="宋体" w:cs="宋体"/>
        </w:rPr>
      </w:pPr>
      <w:r>
        <w:rPr>
          <w:rFonts w:hint="eastAsia" w:ascii="宋体" w:hAnsi="宋体" w:cs="宋体"/>
        </w:rPr>
        <w:t xml:space="preserve">6.8.6 </w:t>
      </w:r>
      <w:r>
        <w:rPr>
          <w:rFonts w:ascii="宋体" w:hAnsi="宋体" w:cs="宋体"/>
        </w:rPr>
        <w:t xml:space="preserve"> </w:t>
      </w:r>
      <w:r>
        <w:rPr>
          <w:rFonts w:hint="eastAsia" w:ascii="宋体" w:hAnsi="宋体" w:cs="宋体"/>
        </w:rPr>
        <w:t>观察透气管根部应采取可靠措施进行固定，顶部配有防尘罩。</w:t>
      </w:r>
    </w:p>
    <w:p w14:paraId="3E4AEA4E">
      <w:pPr>
        <w:spacing w:line="480" w:lineRule="exact"/>
        <w:rPr>
          <w:rFonts w:ascii="宋体" w:hAnsi="宋体" w:cs="宋体"/>
        </w:rPr>
      </w:pPr>
      <w:r>
        <w:rPr>
          <w:rFonts w:hint="eastAsia" w:ascii="宋体" w:hAnsi="宋体" w:cs="宋体"/>
        </w:rPr>
        <w:t xml:space="preserve">6.8.7 </w:t>
      </w:r>
      <w:r>
        <w:rPr>
          <w:rFonts w:ascii="宋体" w:hAnsi="宋体" w:cs="宋体"/>
        </w:rPr>
        <w:t xml:space="preserve"> </w:t>
      </w:r>
      <w:r>
        <w:rPr>
          <w:rFonts w:hint="eastAsia" w:ascii="宋体" w:hAnsi="宋体" w:cs="宋体"/>
        </w:rPr>
        <w:t>排水系统排水口位置留设应符合专项施工方案要求，排水口施工过程中提前预留并做好成品保护。</w:t>
      </w:r>
    </w:p>
    <w:p w14:paraId="18FBA650">
      <w:pPr>
        <w:spacing w:line="480" w:lineRule="exact"/>
        <w:rPr>
          <w:rFonts w:ascii="宋体" w:hAnsi="宋体" w:cs="宋体"/>
        </w:rPr>
      </w:pPr>
      <w:r>
        <w:rPr>
          <w:rFonts w:hint="eastAsia" w:ascii="宋体" w:hAnsi="宋体" w:cs="宋体"/>
        </w:rPr>
        <w:t xml:space="preserve">6.8.8 </w:t>
      </w:r>
      <w:r>
        <w:rPr>
          <w:rFonts w:ascii="宋体" w:hAnsi="宋体" w:cs="宋体"/>
        </w:rPr>
        <w:t xml:space="preserve"> </w:t>
      </w:r>
      <w:r>
        <w:rPr>
          <w:rFonts w:hint="eastAsia" w:ascii="宋体" w:hAnsi="宋体" w:cs="宋体"/>
        </w:rPr>
        <w:t>排水管应与沉淀井可靠连接，施工过程中应避让周边管线。</w:t>
      </w:r>
    </w:p>
    <w:p w14:paraId="768A8446">
      <w:pPr>
        <w:spacing w:line="480" w:lineRule="exact"/>
        <w:rPr>
          <w:rFonts w:ascii="宋体" w:hAnsi="宋体" w:cs="宋体"/>
        </w:rPr>
      </w:pPr>
      <w:r>
        <w:rPr>
          <w:rFonts w:hint="eastAsia" w:ascii="宋体" w:hAnsi="宋体" w:cs="宋体"/>
        </w:rPr>
        <w:t xml:space="preserve">6.8.9 </w:t>
      </w:r>
      <w:r>
        <w:rPr>
          <w:rFonts w:ascii="宋体" w:hAnsi="宋体" w:cs="宋体"/>
        </w:rPr>
        <w:t xml:space="preserve"> </w:t>
      </w:r>
      <w:r>
        <w:rPr>
          <w:rFonts w:hint="eastAsia" w:ascii="宋体" w:hAnsi="宋体" w:cs="宋体"/>
        </w:rPr>
        <w:t>回填土需分层回填，机械车辆不应与排水系统直接接触。</w:t>
      </w:r>
    </w:p>
    <w:p w14:paraId="2C6B6780">
      <w:pPr>
        <w:spacing w:line="480" w:lineRule="exact"/>
        <w:rPr>
          <w:rFonts w:ascii="宋体" w:hAnsi="宋体" w:cs="宋体"/>
        </w:rPr>
      </w:pPr>
      <w:r>
        <w:rPr>
          <w:rFonts w:hint="eastAsia" w:ascii="宋体" w:hAnsi="宋体" w:cs="宋体"/>
        </w:rPr>
        <w:t>6.8.10</w:t>
      </w:r>
      <w:r>
        <w:rPr>
          <w:rFonts w:ascii="宋体" w:hAnsi="宋体" w:cs="宋体"/>
        </w:rPr>
        <w:t xml:space="preserve">  </w:t>
      </w:r>
      <w:r>
        <w:rPr>
          <w:rFonts w:hint="eastAsia" w:ascii="宋体" w:hAnsi="宋体" w:cs="宋体"/>
        </w:rPr>
        <w:t>当系统末端设有雨水收集利用装置时，应提前预留用电装置和设施。</w:t>
      </w:r>
    </w:p>
    <w:p w14:paraId="638CE590">
      <w:pPr>
        <w:spacing w:line="480" w:lineRule="exact"/>
        <w:jc w:val="center"/>
        <w:outlineLvl w:val="1"/>
        <w:rPr>
          <w:rFonts w:ascii="黑体" w:hAnsi="黑体" w:eastAsia="黑体" w:cs="黑体"/>
        </w:rPr>
      </w:pPr>
      <w:bookmarkStart w:id="67" w:name="_Toc18621"/>
      <w:r>
        <w:rPr>
          <w:rFonts w:hint="eastAsia" w:ascii="黑体" w:hAnsi="黑体" w:eastAsia="黑体" w:cs="黑体"/>
        </w:rPr>
        <w:t>6.9  防水层上无保护层的回填土施工</w:t>
      </w:r>
      <w:bookmarkEnd w:id="67"/>
    </w:p>
    <w:p w14:paraId="2EBB8A63">
      <w:pPr>
        <w:spacing w:line="480" w:lineRule="exact"/>
        <w:jc w:val="center"/>
        <w:rPr>
          <w:rFonts w:ascii="宋体" w:hAnsi="宋体" w:cs="宋体"/>
        </w:rPr>
      </w:pPr>
      <w:r>
        <w:rPr>
          <w:rFonts w:hint="eastAsia" w:ascii="宋体" w:hAnsi="宋体" w:cs="宋体"/>
        </w:rPr>
        <w:t>Ⅰ</w:t>
      </w:r>
      <w:r>
        <w:rPr>
          <w:rFonts w:ascii="宋体" w:hAnsi="宋体" w:cs="宋体"/>
        </w:rPr>
        <w:t xml:space="preserve"> </w:t>
      </w:r>
      <w:r>
        <w:rPr>
          <w:rFonts w:hint="eastAsia" w:ascii="宋体" w:hAnsi="宋体" w:cs="宋体"/>
        </w:rPr>
        <w:t>一般规定</w:t>
      </w:r>
    </w:p>
    <w:p w14:paraId="75685C97">
      <w:pPr>
        <w:spacing w:line="480" w:lineRule="exact"/>
        <w:outlineLvl w:val="1"/>
        <w:rPr>
          <w:rFonts w:ascii="宋体" w:hAnsi="宋体" w:cs="宋体"/>
        </w:rPr>
      </w:pPr>
      <w:bookmarkStart w:id="68" w:name="_Toc12063"/>
      <w:r>
        <w:rPr>
          <w:rFonts w:hint="eastAsia" w:ascii="宋体" w:hAnsi="宋体" w:cs="宋体"/>
        </w:rPr>
        <w:t>6.9</w:t>
      </w:r>
      <w:r>
        <w:rPr>
          <w:rFonts w:ascii="宋体" w:hAnsi="宋体" w:cs="宋体"/>
        </w:rPr>
        <w:t xml:space="preserve">.1  </w:t>
      </w:r>
      <w:r>
        <w:rPr>
          <w:rFonts w:hint="eastAsia" w:ascii="宋体" w:hAnsi="宋体" w:cs="宋体"/>
        </w:rPr>
        <w:t>场地回填</w:t>
      </w:r>
      <w:r>
        <w:rPr>
          <w:rFonts w:ascii="宋体" w:hAnsi="宋体" w:cs="宋体"/>
        </w:rPr>
        <w:t>施工前应</w:t>
      </w:r>
      <w:r>
        <w:rPr>
          <w:rFonts w:hint="eastAsia" w:ascii="宋体" w:hAnsi="宋体" w:cs="宋体"/>
        </w:rPr>
        <w:t>核对</w:t>
      </w:r>
      <w:r>
        <w:rPr>
          <w:rFonts w:ascii="宋体" w:hAnsi="宋体" w:cs="宋体"/>
        </w:rPr>
        <w:t>专项施工方案</w:t>
      </w:r>
      <w:r>
        <w:rPr>
          <w:rFonts w:hint="eastAsia" w:ascii="宋体" w:hAnsi="宋体" w:cs="宋体"/>
        </w:rPr>
        <w:t>，并通过审批。</w:t>
      </w:r>
      <w:bookmarkEnd w:id="68"/>
    </w:p>
    <w:p w14:paraId="5723CD55">
      <w:pPr>
        <w:spacing w:line="480" w:lineRule="exact"/>
        <w:rPr>
          <w:rFonts w:ascii="宋体" w:hAnsi="宋体" w:cs="宋体"/>
        </w:rPr>
      </w:pPr>
      <w:r>
        <w:rPr>
          <w:rFonts w:hint="eastAsia" w:ascii="宋体" w:hAnsi="宋体" w:cs="宋体"/>
        </w:rPr>
        <w:t>6.9</w:t>
      </w:r>
      <w:r>
        <w:rPr>
          <w:rFonts w:ascii="宋体" w:hAnsi="宋体" w:cs="宋体"/>
        </w:rPr>
        <w:t xml:space="preserve">.2  </w:t>
      </w:r>
      <w:r>
        <w:rPr>
          <w:rFonts w:hint="eastAsia" w:ascii="宋体" w:hAnsi="宋体" w:cs="宋体"/>
        </w:rPr>
        <w:t>回填工序</w:t>
      </w:r>
      <w:r>
        <w:rPr>
          <w:rFonts w:ascii="宋体" w:hAnsi="宋体" w:cs="宋体"/>
        </w:rPr>
        <w:t>实施前，应向操作人员进行安全、技术交底，并应对</w:t>
      </w:r>
      <w:r>
        <w:rPr>
          <w:rFonts w:hint="eastAsia" w:ascii="宋体" w:hAnsi="宋体" w:cs="宋体"/>
        </w:rPr>
        <w:t>回填土的施工操作</w:t>
      </w:r>
      <w:r>
        <w:rPr>
          <w:rFonts w:ascii="宋体" w:hAnsi="宋体" w:cs="宋体"/>
        </w:rPr>
        <w:t>人员进行</w:t>
      </w:r>
      <w:r>
        <w:rPr>
          <w:rFonts w:hint="eastAsia" w:ascii="宋体" w:hAnsi="宋体" w:cs="宋体"/>
        </w:rPr>
        <w:t>专项</w:t>
      </w:r>
      <w:r>
        <w:rPr>
          <w:rFonts w:ascii="宋体" w:hAnsi="宋体" w:cs="宋体"/>
        </w:rPr>
        <w:t>培训。</w:t>
      </w:r>
    </w:p>
    <w:p w14:paraId="39B4E20F">
      <w:pPr>
        <w:spacing w:line="480" w:lineRule="exact"/>
        <w:rPr>
          <w:rFonts w:ascii="宋体" w:hAnsi="宋体" w:cs="宋体"/>
        </w:rPr>
      </w:pPr>
      <w:r>
        <w:rPr>
          <w:rFonts w:hint="eastAsia" w:ascii="宋体" w:hAnsi="宋体" w:cs="宋体"/>
        </w:rPr>
        <w:t>6.9</w:t>
      </w:r>
      <w:r>
        <w:rPr>
          <w:rFonts w:ascii="宋体" w:hAnsi="宋体" w:cs="宋体"/>
        </w:rPr>
        <w:t xml:space="preserve">.3  </w:t>
      </w:r>
      <w:r>
        <w:rPr>
          <w:rFonts w:hint="eastAsia" w:ascii="宋体" w:hAnsi="宋体" w:cs="宋体"/>
        </w:rPr>
        <w:t>作业前，操作人员、用于回填的土体和机械车辆设备等各项工作应准备就绪。</w:t>
      </w:r>
    </w:p>
    <w:p w14:paraId="4C2CCB9F">
      <w:pPr>
        <w:spacing w:line="480" w:lineRule="exact"/>
        <w:jc w:val="center"/>
        <w:rPr>
          <w:rFonts w:ascii="宋体" w:hAnsi="宋体" w:cs="宋体"/>
        </w:rPr>
      </w:pPr>
      <w:r>
        <w:rPr>
          <w:rFonts w:hint="eastAsia" w:ascii="宋体" w:hAnsi="宋体" w:cs="宋体"/>
        </w:rPr>
        <w:t>Ⅱ</w:t>
      </w:r>
      <w:r>
        <w:rPr>
          <w:rFonts w:ascii="宋体" w:hAnsi="宋体" w:cs="宋体"/>
        </w:rPr>
        <w:t xml:space="preserve">  </w:t>
      </w:r>
      <w:r>
        <w:rPr>
          <w:rFonts w:hint="eastAsia" w:ascii="宋体" w:hAnsi="宋体" w:cs="宋体"/>
        </w:rPr>
        <w:t>回填工程的施工方案要求</w:t>
      </w:r>
    </w:p>
    <w:p w14:paraId="28CE4C02">
      <w:pPr>
        <w:spacing w:line="480" w:lineRule="exact"/>
        <w:rPr>
          <w:rFonts w:ascii="宋体" w:hAnsi="宋体" w:cs="宋体"/>
        </w:rPr>
      </w:pPr>
      <w:r>
        <w:rPr>
          <w:rFonts w:hint="eastAsia" w:ascii="宋体" w:hAnsi="宋体" w:cs="宋体"/>
        </w:rPr>
        <w:t>6.9.4</w:t>
      </w:r>
      <w:r>
        <w:rPr>
          <w:rFonts w:ascii="宋体" w:hAnsi="宋体" w:cs="宋体"/>
        </w:rPr>
        <w:t xml:space="preserve">  </w:t>
      </w:r>
      <w:r>
        <w:rPr>
          <w:rFonts w:hint="eastAsia" w:ascii="宋体" w:hAnsi="宋体" w:cs="宋体"/>
        </w:rPr>
        <w:t>根据现场总承包单位总体现场管理情况、施工组织设计规定的回填区域划分和计划，进行场地回填方案编制。</w:t>
      </w:r>
    </w:p>
    <w:p w14:paraId="4DFD4A22">
      <w:pPr>
        <w:spacing w:line="480" w:lineRule="exact"/>
        <w:rPr>
          <w:rFonts w:ascii="宋体" w:hAnsi="宋体" w:cs="宋体"/>
        </w:rPr>
      </w:pPr>
      <w:r>
        <w:rPr>
          <w:rFonts w:hint="eastAsia" w:ascii="宋体" w:hAnsi="宋体" w:cs="宋体"/>
        </w:rPr>
        <w:t>6.9.5</w:t>
      </w:r>
      <w:r>
        <w:rPr>
          <w:rFonts w:ascii="宋体" w:hAnsi="宋体" w:cs="宋体"/>
        </w:rPr>
        <w:t xml:space="preserve">  </w:t>
      </w:r>
      <w:r>
        <w:rPr>
          <w:rFonts w:hint="eastAsia" w:ascii="宋体" w:hAnsi="宋体" w:cs="宋体"/>
        </w:rPr>
        <w:t>回填方案包括但不限于：人工与机械的选择回填方式、施工组织的行车或人行路线、回填土的厚度和分层次数、回填种植土的准备和晾晒等。</w:t>
      </w:r>
    </w:p>
    <w:p w14:paraId="53301798">
      <w:pPr>
        <w:spacing w:line="480" w:lineRule="exact"/>
        <w:rPr>
          <w:rFonts w:ascii="宋体" w:hAnsi="宋体" w:cs="宋体"/>
        </w:rPr>
      </w:pPr>
      <w:r>
        <w:rPr>
          <w:rFonts w:hint="eastAsia" w:ascii="宋体" w:hAnsi="宋体" w:cs="宋体"/>
        </w:rPr>
        <w:t xml:space="preserve">6.9.6 </w:t>
      </w:r>
      <w:r>
        <w:rPr>
          <w:rFonts w:ascii="宋体" w:hAnsi="宋体" w:cs="宋体"/>
        </w:rPr>
        <w:t xml:space="preserve"> 回填前，对出地面的</w:t>
      </w:r>
      <w:r>
        <w:rPr>
          <w:rFonts w:hint="eastAsia" w:ascii="宋体" w:hAnsi="宋体" w:cs="宋体"/>
        </w:rPr>
        <w:t>透气观察管应进行重点防碰撞保护。</w:t>
      </w:r>
    </w:p>
    <w:p w14:paraId="4073CFB6">
      <w:pPr>
        <w:spacing w:line="480" w:lineRule="exact"/>
        <w:jc w:val="center"/>
        <w:rPr>
          <w:rFonts w:ascii="宋体" w:hAnsi="宋体" w:cs="宋体"/>
        </w:rPr>
      </w:pPr>
      <w:r>
        <w:rPr>
          <w:rFonts w:hint="eastAsia" w:ascii="宋体" w:hAnsi="宋体" w:cs="宋体"/>
        </w:rPr>
        <w:t xml:space="preserve">Ⅲ </w:t>
      </w:r>
      <w:r>
        <w:rPr>
          <w:rFonts w:ascii="宋体" w:hAnsi="宋体" w:cs="宋体"/>
        </w:rPr>
        <w:t xml:space="preserve"> </w:t>
      </w:r>
      <w:r>
        <w:rPr>
          <w:rFonts w:hint="eastAsia" w:ascii="宋体" w:hAnsi="宋体" w:cs="宋体"/>
        </w:rPr>
        <w:t>回填用土要求</w:t>
      </w:r>
    </w:p>
    <w:p w14:paraId="7C32183B">
      <w:pPr>
        <w:spacing w:line="480" w:lineRule="exact"/>
        <w:rPr>
          <w:rFonts w:ascii="宋体" w:hAnsi="宋体" w:cs="宋体"/>
        </w:rPr>
      </w:pPr>
      <w:r>
        <w:rPr>
          <w:rFonts w:hint="eastAsia" w:ascii="宋体" w:hAnsi="宋体" w:cs="宋体"/>
        </w:rPr>
        <w:t>6.9.7</w:t>
      </w:r>
      <w:r>
        <w:rPr>
          <w:rFonts w:ascii="宋体" w:hAnsi="宋体" w:cs="宋体"/>
        </w:rPr>
        <w:t xml:space="preserve">  </w:t>
      </w:r>
      <w:r>
        <w:rPr>
          <w:rFonts w:hint="eastAsia" w:ascii="宋体" w:hAnsi="宋体" w:cs="宋体"/>
        </w:rPr>
        <w:t>当回填用土为非种植土时，应过粗筛，使回填的土壤颗粒相对均匀。</w:t>
      </w:r>
    </w:p>
    <w:p w14:paraId="45B8FF9B">
      <w:pPr>
        <w:spacing w:line="480" w:lineRule="exact"/>
        <w:rPr>
          <w:rFonts w:ascii="宋体" w:hAnsi="宋体" w:cs="宋体"/>
        </w:rPr>
      </w:pPr>
      <w:r>
        <w:rPr>
          <w:rFonts w:hint="eastAsia" w:ascii="宋体" w:hAnsi="宋体" w:cs="宋体"/>
        </w:rPr>
        <w:t>6.9.8</w:t>
      </w:r>
      <w:r>
        <w:rPr>
          <w:rFonts w:ascii="宋体" w:hAnsi="宋体" w:cs="宋体"/>
        </w:rPr>
        <w:t xml:space="preserve">  </w:t>
      </w:r>
      <w:r>
        <w:rPr>
          <w:rFonts w:hint="eastAsia" w:ascii="宋体" w:hAnsi="宋体" w:cs="宋体"/>
        </w:rPr>
        <w:t>当回填用土为标准种植土时，应满足《种植屋面工程技术规程》(</w:t>
      </w:r>
      <w:r>
        <w:rPr>
          <w:rFonts w:ascii="宋体" w:hAnsi="宋体" w:cs="宋体"/>
        </w:rPr>
        <w:t>JGJ 155)</w:t>
      </w:r>
      <w:r>
        <w:rPr>
          <w:rFonts w:hint="eastAsia" w:ascii="宋体" w:hAnsi="宋体" w:cs="宋体"/>
        </w:rPr>
        <w:t>中4</w:t>
      </w:r>
      <w:r>
        <w:rPr>
          <w:rFonts w:ascii="宋体" w:hAnsi="宋体" w:cs="宋体"/>
        </w:rPr>
        <w:t>.5.1</w:t>
      </w:r>
      <w:r>
        <w:rPr>
          <w:rFonts w:hint="eastAsia" w:ascii="宋体" w:hAnsi="宋体" w:cs="宋体"/>
        </w:rPr>
        <w:t xml:space="preserve">节规定的主要性能指标要求。 </w:t>
      </w:r>
    </w:p>
    <w:p w14:paraId="3EF7D6A4">
      <w:pPr>
        <w:spacing w:line="480" w:lineRule="exact"/>
        <w:jc w:val="center"/>
        <w:rPr>
          <w:rFonts w:ascii="宋体" w:hAnsi="宋体" w:cs="宋体"/>
        </w:rPr>
      </w:pPr>
      <w:r>
        <w:rPr>
          <w:rFonts w:hint="eastAsia" w:ascii="宋体" w:hAnsi="宋体" w:cs="宋体"/>
        </w:rPr>
        <w:t>Ⅳ</w:t>
      </w:r>
      <w:r>
        <w:rPr>
          <w:rFonts w:ascii="宋体" w:hAnsi="宋体" w:cs="宋体"/>
        </w:rPr>
        <w:t xml:space="preserve">  </w:t>
      </w:r>
      <w:r>
        <w:rPr>
          <w:rFonts w:hint="eastAsia" w:ascii="宋体" w:hAnsi="宋体" w:cs="宋体"/>
        </w:rPr>
        <w:t>回填土施工</w:t>
      </w:r>
    </w:p>
    <w:p w14:paraId="68AD2B4A">
      <w:pPr>
        <w:spacing w:line="480" w:lineRule="exact"/>
        <w:rPr>
          <w:rFonts w:ascii="宋体" w:hAnsi="宋体" w:cs="宋体"/>
        </w:rPr>
      </w:pPr>
      <w:r>
        <w:rPr>
          <w:rFonts w:hint="eastAsia" w:ascii="宋体" w:hAnsi="宋体" w:cs="宋体"/>
        </w:rPr>
        <w:t>6.9.9</w:t>
      </w:r>
      <w:r>
        <w:rPr>
          <w:rFonts w:ascii="宋体" w:hAnsi="宋体" w:cs="宋体"/>
        </w:rPr>
        <w:t xml:space="preserve">  </w:t>
      </w:r>
      <w:r>
        <w:rPr>
          <w:rFonts w:hint="eastAsia" w:ascii="宋体" w:hAnsi="宋体" w:cs="宋体"/>
        </w:rPr>
        <w:t>按照专项施工方案提前布置好回填线路，所有作业人员应严格按照作业线进行施工。</w:t>
      </w:r>
    </w:p>
    <w:p w14:paraId="51D0B913">
      <w:pPr>
        <w:spacing w:line="480" w:lineRule="exact"/>
        <w:rPr>
          <w:rFonts w:ascii="宋体" w:hAnsi="宋体" w:cs="宋体"/>
        </w:rPr>
      </w:pPr>
      <w:r>
        <w:rPr>
          <w:rFonts w:hint="eastAsia" w:ascii="宋体" w:hAnsi="宋体" w:cs="宋体"/>
        </w:rPr>
        <w:t xml:space="preserve">6.9.10 </w:t>
      </w:r>
      <w:r>
        <w:rPr>
          <w:rFonts w:ascii="宋体" w:hAnsi="宋体" w:cs="宋体"/>
        </w:rPr>
        <w:t xml:space="preserve"> </w:t>
      </w:r>
      <w:r>
        <w:rPr>
          <w:rFonts w:hint="eastAsia" w:ascii="宋体" w:hAnsi="宋体" w:cs="宋体"/>
        </w:rPr>
        <w:t>排水板分区域铺设完毕并经过验收合格后，应及时进行场地回填。</w:t>
      </w:r>
    </w:p>
    <w:p w14:paraId="371F4B46">
      <w:pPr>
        <w:spacing w:line="480" w:lineRule="exact"/>
        <w:rPr>
          <w:rFonts w:ascii="宋体" w:hAnsi="宋体" w:cs="宋体"/>
        </w:rPr>
      </w:pPr>
      <w:r>
        <w:rPr>
          <w:rFonts w:hint="eastAsia" w:ascii="宋体" w:hAnsi="宋体" w:cs="宋体"/>
        </w:rPr>
        <w:t>6.9.11</w:t>
      </w:r>
      <w:r>
        <w:rPr>
          <w:rFonts w:ascii="宋体" w:hAnsi="宋体" w:cs="宋体"/>
        </w:rPr>
        <w:t xml:space="preserve">  </w:t>
      </w:r>
      <w:r>
        <w:rPr>
          <w:rFonts w:hint="eastAsia" w:ascii="宋体" w:hAnsi="宋体" w:cs="宋体"/>
        </w:rPr>
        <w:t>回填土上行走的各种大型机械设备应严格按照专项施工方案规定的行走路线进行置土、堆土、推平和辊压等标准作业。</w:t>
      </w:r>
    </w:p>
    <w:p w14:paraId="5C0BEC81">
      <w:pPr>
        <w:spacing w:line="480" w:lineRule="exact"/>
        <w:rPr>
          <w:rFonts w:ascii="宋体" w:hAnsi="宋体" w:cs="宋体"/>
        </w:rPr>
      </w:pPr>
      <w:r>
        <w:rPr>
          <w:rFonts w:hint="eastAsia" w:ascii="宋体" w:hAnsi="宋体" w:cs="宋体"/>
        </w:rPr>
        <w:t>6.9.12</w:t>
      </w:r>
      <w:r>
        <w:rPr>
          <w:rFonts w:ascii="宋体" w:hAnsi="宋体" w:cs="宋体"/>
        </w:rPr>
        <w:t xml:space="preserve">  </w:t>
      </w:r>
      <w:r>
        <w:rPr>
          <w:rFonts w:hint="eastAsia" w:ascii="宋体" w:hAnsi="宋体" w:cs="宋体"/>
        </w:rPr>
        <w:t>在排水槽以上不小于500mm范围内的回填土应夯压密实。回填土的</w:t>
      </w:r>
      <w:r>
        <w:rPr>
          <w:rFonts w:ascii="宋体" w:hAnsi="宋体" w:cs="宋体"/>
        </w:rPr>
        <w:t>填土厚度及压实遍数应根据土质、压实系数及压实机具确定</w:t>
      </w:r>
      <w:r>
        <w:rPr>
          <w:rFonts w:hint="eastAsia" w:ascii="宋体" w:hAnsi="宋体" w:cs="宋体"/>
        </w:rPr>
        <w:t>，分层回填的厚度和压实遍数应符合表6.9.12的要求：</w:t>
      </w:r>
    </w:p>
    <w:p w14:paraId="5DFB7DA5">
      <w:pPr>
        <w:widowControl/>
        <w:spacing w:line="360" w:lineRule="auto"/>
        <w:jc w:val="center"/>
        <w:rPr>
          <w:rFonts w:ascii="宋体" w:hAnsi="宋体" w:cs="宋体"/>
        </w:rPr>
      </w:pPr>
      <w:r>
        <w:rPr>
          <w:rFonts w:hint="eastAsia" w:ascii="宋体" w:hAnsi="宋体" w:cs="宋体"/>
        </w:rPr>
        <w:t xml:space="preserve">表6.9.12 </w:t>
      </w:r>
      <w:r>
        <w:rPr>
          <w:rFonts w:ascii="宋体" w:hAnsi="宋体" w:cs="宋体"/>
        </w:rPr>
        <w:t xml:space="preserve"> </w:t>
      </w:r>
      <w:r>
        <w:rPr>
          <w:rFonts w:hint="eastAsia" w:ascii="宋体" w:hAnsi="宋体" w:cs="宋体"/>
        </w:rPr>
        <w:t>填土施工时的分层厚度和每层压实遍数</w:t>
      </w:r>
    </w:p>
    <w:tbl>
      <w:tblPr>
        <w:tblStyle w:val="16"/>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231"/>
        <w:gridCol w:w="2765"/>
        <w:gridCol w:w="2766"/>
      </w:tblGrid>
      <w:tr w14:paraId="7377E3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231" w:type="dxa"/>
          </w:tcPr>
          <w:p w14:paraId="4D8B56E7">
            <w:pPr>
              <w:spacing w:line="480" w:lineRule="exact"/>
              <w:jc w:val="center"/>
              <w:rPr>
                <w:rFonts w:ascii="宋体" w:hAnsi="宋体" w:cs="宋体"/>
              </w:rPr>
            </w:pPr>
            <w:r>
              <w:rPr>
                <w:rFonts w:hint="eastAsia" w:ascii="宋体" w:hAnsi="宋体" w:cs="宋体"/>
              </w:rPr>
              <w:t>压实机具</w:t>
            </w:r>
          </w:p>
        </w:tc>
        <w:tc>
          <w:tcPr>
            <w:tcW w:w="2765" w:type="dxa"/>
          </w:tcPr>
          <w:p w14:paraId="6B33C09A">
            <w:pPr>
              <w:spacing w:line="480" w:lineRule="exact"/>
              <w:jc w:val="center"/>
              <w:rPr>
                <w:rFonts w:ascii="宋体" w:hAnsi="宋体" w:cs="宋体"/>
              </w:rPr>
            </w:pPr>
            <w:r>
              <w:rPr>
                <w:rFonts w:hint="eastAsia" w:ascii="宋体" w:hAnsi="宋体" w:cs="宋体"/>
              </w:rPr>
              <w:t>分层厚度（mm）</w:t>
            </w:r>
          </w:p>
        </w:tc>
        <w:tc>
          <w:tcPr>
            <w:tcW w:w="2766" w:type="dxa"/>
          </w:tcPr>
          <w:p w14:paraId="42535607">
            <w:pPr>
              <w:spacing w:line="480" w:lineRule="exact"/>
              <w:jc w:val="center"/>
              <w:rPr>
                <w:rFonts w:ascii="宋体" w:hAnsi="宋体" w:cs="宋体"/>
              </w:rPr>
            </w:pPr>
            <w:r>
              <w:rPr>
                <w:rFonts w:hint="eastAsia" w:ascii="宋体" w:hAnsi="宋体" w:cs="宋体"/>
              </w:rPr>
              <w:t>每层压实遍数（宜不低于）</w:t>
            </w:r>
          </w:p>
        </w:tc>
      </w:tr>
      <w:tr w14:paraId="11A735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231" w:type="dxa"/>
          </w:tcPr>
          <w:p w14:paraId="0023B840">
            <w:pPr>
              <w:spacing w:line="480" w:lineRule="exact"/>
              <w:jc w:val="center"/>
              <w:rPr>
                <w:rFonts w:ascii="宋体" w:hAnsi="宋体" w:cs="宋体"/>
              </w:rPr>
            </w:pPr>
            <w:r>
              <w:rPr>
                <w:rFonts w:hint="eastAsia" w:ascii="宋体" w:hAnsi="宋体" w:cs="宋体"/>
              </w:rPr>
              <w:t>平辗、振动碾等车辆</w:t>
            </w:r>
          </w:p>
        </w:tc>
        <w:tc>
          <w:tcPr>
            <w:tcW w:w="2765" w:type="dxa"/>
          </w:tcPr>
          <w:p w14:paraId="33B8BCD4">
            <w:pPr>
              <w:spacing w:line="480" w:lineRule="exact"/>
              <w:jc w:val="center"/>
              <w:rPr>
                <w:rFonts w:ascii="宋体" w:hAnsi="宋体" w:cs="宋体"/>
              </w:rPr>
            </w:pPr>
            <w:r>
              <w:rPr>
                <w:rFonts w:hint="eastAsia" w:ascii="宋体" w:hAnsi="宋体" w:cs="宋体"/>
              </w:rPr>
              <w:t>2</w:t>
            </w:r>
            <w:r>
              <w:rPr>
                <w:rFonts w:ascii="宋体" w:hAnsi="宋体" w:cs="宋体"/>
              </w:rPr>
              <w:t>50-500</w:t>
            </w:r>
          </w:p>
        </w:tc>
        <w:tc>
          <w:tcPr>
            <w:tcW w:w="2766" w:type="dxa"/>
          </w:tcPr>
          <w:p w14:paraId="213946E7">
            <w:pPr>
              <w:spacing w:line="480" w:lineRule="exact"/>
              <w:jc w:val="center"/>
              <w:rPr>
                <w:rFonts w:ascii="宋体" w:hAnsi="宋体" w:cs="宋体"/>
              </w:rPr>
            </w:pPr>
            <w:r>
              <w:rPr>
                <w:rFonts w:hint="eastAsia" w:ascii="宋体" w:hAnsi="宋体" w:cs="宋体"/>
              </w:rPr>
              <w:t>6</w:t>
            </w:r>
            <w:r>
              <w:rPr>
                <w:rFonts w:ascii="宋体" w:hAnsi="宋体" w:cs="宋体"/>
              </w:rPr>
              <w:t>-8</w:t>
            </w:r>
          </w:p>
        </w:tc>
      </w:tr>
      <w:tr w14:paraId="2A48D1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231" w:type="dxa"/>
          </w:tcPr>
          <w:p w14:paraId="0EF1A0AE">
            <w:pPr>
              <w:spacing w:line="480" w:lineRule="exact"/>
              <w:jc w:val="center"/>
              <w:rPr>
                <w:rFonts w:ascii="宋体" w:hAnsi="宋体" w:cs="宋体"/>
              </w:rPr>
            </w:pPr>
            <w:r>
              <w:rPr>
                <w:rFonts w:hint="eastAsia" w:ascii="宋体" w:hAnsi="宋体" w:cs="宋体"/>
              </w:rPr>
              <w:t>振动压实机</w:t>
            </w:r>
          </w:p>
        </w:tc>
        <w:tc>
          <w:tcPr>
            <w:tcW w:w="2765" w:type="dxa"/>
          </w:tcPr>
          <w:p w14:paraId="3191BEAF">
            <w:pPr>
              <w:spacing w:line="480" w:lineRule="exact"/>
              <w:jc w:val="center"/>
              <w:rPr>
                <w:rFonts w:ascii="宋体" w:hAnsi="宋体" w:cs="宋体"/>
              </w:rPr>
            </w:pPr>
            <w:r>
              <w:rPr>
                <w:rFonts w:hint="eastAsia" w:ascii="宋体" w:hAnsi="宋体" w:cs="宋体"/>
              </w:rPr>
              <w:t>2</w:t>
            </w:r>
            <w:r>
              <w:rPr>
                <w:rFonts w:ascii="宋体" w:hAnsi="宋体" w:cs="宋体"/>
              </w:rPr>
              <w:t>50-350</w:t>
            </w:r>
          </w:p>
        </w:tc>
        <w:tc>
          <w:tcPr>
            <w:tcW w:w="2766" w:type="dxa"/>
          </w:tcPr>
          <w:p w14:paraId="6E56A00B">
            <w:pPr>
              <w:spacing w:line="480" w:lineRule="exact"/>
              <w:jc w:val="center"/>
              <w:rPr>
                <w:rFonts w:ascii="宋体" w:hAnsi="宋体" w:cs="宋体"/>
              </w:rPr>
            </w:pPr>
            <w:r>
              <w:rPr>
                <w:rFonts w:hint="eastAsia" w:ascii="宋体" w:hAnsi="宋体" w:cs="宋体"/>
              </w:rPr>
              <w:t>3</w:t>
            </w:r>
            <w:r>
              <w:rPr>
                <w:rFonts w:ascii="宋体" w:hAnsi="宋体" w:cs="宋体"/>
              </w:rPr>
              <w:t>-4</w:t>
            </w:r>
          </w:p>
        </w:tc>
      </w:tr>
      <w:tr w14:paraId="320515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231" w:type="dxa"/>
          </w:tcPr>
          <w:p w14:paraId="2633760B">
            <w:pPr>
              <w:spacing w:line="480" w:lineRule="exact"/>
              <w:jc w:val="center"/>
              <w:rPr>
                <w:rFonts w:ascii="宋体" w:hAnsi="宋体" w:cs="宋体"/>
              </w:rPr>
            </w:pPr>
            <w:r>
              <w:rPr>
                <w:rFonts w:hint="eastAsia" w:ascii="宋体" w:hAnsi="宋体" w:cs="宋体"/>
              </w:rPr>
              <w:t>柴油打夯机</w:t>
            </w:r>
          </w:p>
        </w:tc>
        <w:tc>
          <w:tcPr>
            <w:tcW w:w="2765" w:type="dxa"/>
          </w:tcPr>
          <w:p w14:paraId="292BB836">
            <w:pPr>
              <w:spacing w:line="480" w:lineRule="exact"/>
              <w:jc w:val="center"/>
              <w:rPr>
                <w:rFonts w:ascii="宋体" w:hAnsi="宋体" w:cs="宋体"/>
              </w:rPr>
            </w:pPr>
            <w:r>
              <w:rPr>
                <w:rFonts w:hint="eastAsia" w:ascii="宋体" w:hAnsi="宋体" w:cs="宋体"/>
              </w:rPr>
              <w:t>2</w:t>
            </w:r>
            <w:r>
              <w:rPr>
                <w:rFonts w:ascii="宋体" w:hAnsi="宋体" w:cs="宋体"/>
              </w:rPr>
              <w:t>00-250</w:t>
            </w:r>
          </w:p>
        </w:tc>
        <w:tc>
          <w:tcPr>
            <w:tcW w:w="2766" w:type="dxa"/>
          </w:tcPr>
          <w:p w14:paraId="42DEBD33">
            <w:pPr>
              <w:spacing w:line="480" w:lineRule="exact"/>
              <w:jc w:val="center"/>
              <w:rPr>
                <w:rFonts w:ascii="宋体" w:hAnsi="宋体" w:cs="宋体"/>
              </w:rPr>
            </w:pPr>
            <w:r>
              <w:rPr>
                <w:rFonts w:hint="eastAsia" w:ascii="宋体" w:hAnsi="宋体" w:cs="宋体"/>
              </w:rPr>
              <w:t>3</w:t>
            </w:r>
            <w:r>
              <w:rPr>
                <w:rFonts w:ascii="宋体" w:hAnsi="宋体" w:cs="宋体"/>
              </w:rPr>
              <w:t>-4</w:t>
            </w:r>
          </w:p>
        </w:tc>
      </w:tr>
      <w:tr w14:paraId="2478F8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231" w:type="dxa"/>
          </w:tcPr>
          <w:p w14:paraId="698B69E7">
            <w:pPr>
              <w:spacing w:line="480" w:lineRule="exact"/>
              <w:jc w:val="center"/>
              <w:rPr>
                <w:rFonts w:ascii="宋体" w:hAnsi="宋体" w:cs="宋体"/>
              </w:rPr>
            </w:pPr>
            <w:r>
              <w:rPr>
                <w:rFonts w:hint="eastAsia" w:ascii="宋体" w:hAnsi="宋体" w:cs="宋体"/>
              </w:rPr>
              <w:t>人工打木夯</w:t>
            </w:r>
          </w:p>
        </w:tc>
        <w:tc>
          <w:tcPr>
            <w:tcW w:w="2765" w:type="dxa"/>
          </w:tcPr>
          <w:p w14:paraId="4BB01673">
            <w:pPr>
              <w:spacing w:line="480" w:lineRule="exact"/>
              <w:jc w:val="center"/>
              <w:rPr>
                <w:rFonts w:ascii="宋体" w:hAnsi="宋体" w:cs="宋体"/>
              </w:rPr>
            </w:pPr>
            <w:r>
              <w:rPr>
                <w:rFonts w:hint="eastAsia" w:ascii="宋体" w:hAnsi="宋体" w:cs="宋体"/>
              </w:rPr>
              <w:t>＜2</w:t>
            </w:r>
            <w:r>
              <w:rPr>
                <w:rFonts w:ascii="宋体" w:hAnsi="宋体" w:cs="宋体"/>
              </w:rPr>
              <w:t>00</w:t>
            </w:r>
          </w:p>
        </w:tc>
        <w:tc>
          <w:tcPr>
            <w:tcW w:w="2766" w:type="dxa"/>
          </w:tcPr>
          <w:p w14:paraId="7F08FE95">
            <w:pPr>
              <w:spacing w:line="480" w:lineRule="exact"/>
              <w:jc w:val="center"/>
              <w:rPr>
                <w:rFonts w:ascii="宋体" w:hAnsi="宋体" w:cs="宋体"/>
              </w:rPr>
            </w:pPr>
            <w:r>
              <w:rPr>
                <w:rFonts w:hint="eastAsia" w:ascii="宋体" w:hAnsi="宋体" w:cs="宋体"/>
              </w:rPr>
              <w:t>4</w:t>
            </w:r>
            <w:r>
              <w:rPr>
                <w:rFonts w:ascii="宋体" w:hAnsi="宋体" w:cs="宋体"/>
              </w:rPr>
              <w:t>-6</w:t>
            </w:r>
          </w:p>
        </w:tc>
      </w:tr>
    </w:tbl>
    <w:p w14:paraId="0DC85464">
      <w:pPr>
        <w:spacing w:line="480" w:lineRule="exact"/>
        <w:outlineLvl w:val="1"/>
        <w:rPr>
          <w:rFonts w:ascii="宋体" w:hAnsi="宋体" w:cs="宋体"/>
        </w:rPr>
      </w:pPr>
      <w:bookmarkStart w:id="69" w:name="_Toc13070"/>
      <w:r>
        <w:rPr>
          <w:rFonts w:hint="eastAsia" w:ascii="宋体" w:hAnsi="宋体" w:cs="宋体"/>
        </w:rPr>
        <w:t>6.9.13</w:t>
      </w:r>
      <w:r>
        <w:rPr>
          <w:rFonts w:ascii="宋体" w:hAnsi="宋体" w:cs="宋体"/>
        </w:rPr>
        <w:t xml:space="preserve">  </w:t>
      </w:r>
      <w:r>
        <w:rPr>
          <w:rFonts w:hint="eastAsia" w:ascii="宋体" w:hAnsi="宋体" w:cs="宋体"/>
        </w:rPr>
        <w:t>回填土</w:t>
      </w:r>
      <w:r>
        <w:rPr>
          <w:rFonts w:ascii="宋体" w:hAnsi="宋体" w:cs="宋体"/>
        </w:rPr>
        <w:t>施工中应</w:t>
      </w:r>
      <w:r>
        <w:rPr>
          <w:rFonts w:hint="eastAsia" w:ascii="宋体" w:hAnsi="宋体" w:cs="宋体"/>
        </w:rPr>
        <w:t>符合下列规定：</w:t>
      </w:r>
      <w:bookmarkEnd w:id="69"/>
    </w:p>
    <w:p w14:paraId="1C147647">
      <w:pPr>
        <w:spacing w:line="480" w:lineRule="exact"/>
        <w:ind w:firstLine="420" w:firstLineChars="200"/>
        <w:rPr>
          <w:rFonts w:ascii="宋体" w:hAnsi="宋体" w:cs="宋体"/>
        </w:rPr>
      </w:pPr>
      <w:r>
        <w:rPr>
          <w:rFonts w:hint="eastAsia" w:ascii="宋体" w:hAnsi="宋体" w:cs="宋体"/>
        </w:rPr>
        <w:t>1 拟回填区域范围内，应预先检查已施工完毕的排水系统，特别是局部二次铺设的过滤层材料土工布等细部节点部位施工是否完成；</w:t>
      </w:r>
    </w:p>
    <w:p w14:paraId="66B48577">
      <w:pPr>
        <w:spacing w:line="480" w:lineRule="exact"/>
        <w:ind w:firstLine="420" w:firstLineChars="200"/>
        <w:rPr>
          <w:rFonts w:ascii="宋体" w:hAnsi="宋体" w:cs="宋体"/>
        </w:rPr>
      </w:pPr>
      <w:r>
        <w:rPr>
          <w:rFonts w:ascii="宋体" w:hAnsi="宋体" w:cs="宋体"/>
        </w:rPr>
        <w:t>2 每层填土厚度、辗迹重叠程度、含水量控制、压实系数等</w:t>
      </w:r>
      <w:r>
        <w:rPr>
          <w:rFonts w:hint="eastAsia" w:ascii="宋体" w:hAnsi="宋体" w:cs="宋体"/>
        </w:rPr>
        <w:t>均应在专项施工方案中明确；</w:t>
      </w:r>
    </w:p>
    <w:p w14:paraId="0726EF85">
      <w:pPr>
        <w:spacing w:line="480" w:lineRule="exact"/>
        <w:ind w:firstLine="420" w:firstLineChars="200"/>
        <w:rPr>
          <w:rFonts w:ascii="宋体" w:hAnsi="宋体" w:cs="宋体"/>
        </w:rPr>
      </w:pPr>
      <w:r>
        <w:rPr>
          <w:rFonts w:ascii="宋体" w:hAnsi="宋体" w:cs="宋体"/>
        </w:rPr>
        <w:t>3 回填施工的压实系数应满足设计要求。当采用分层</w:t>
      </w:r>
      <w:r>
        <w:rPr>
          <w:rFonts w:hint="eastAsia" w:ascii="宋体" w:hAnsi="宋体" w:cs="宋体"/>
        </w:rPr>
        <w:t>分段</w:t>
      </w:r>
      <w:r>
        <w:rPr>
          <w:rFonts w:ascii="宋体" w:hAnsi="宋体" w:cs="宋体"/>
        </w:rPr>
        <w:t>回填时，应在下层的压实系数经试验合格后</w:t>
      </w:r>
      <w:r>
        <w:rPr>
          <w:rFonts w:hint="eastAsia" w:ascii="宋体" w:hAnsi="宋体" w:cs="宋体"/>
        </w:rPr>
        <w:t>再</w:t>
      </w:r>
      <w:r>
        <w:rPr>
          <w:rFonts w:ascii="宋体" w:hAnsi="宋体" w:cs="宋体"/>
        </w:rPr>
        <w:t>进行上</w:t>
      </w:r>
      <w:r>
        <w:rPr>
          <w:rFonts w:hint="eastAsia" w:ascii="宋体" w:hAnsi="宋体" w:cs="宋体"/>
        </w:rPr>
        <w:t>一</w:t>
      </w:r>
      <w:r>
        <w:rPr>
          <w:rFonts w:ascii="宋体" w:hAnsi="宋体" w:cs="宋体"/>
        </w:rPr>
        <w:t>层施工。</w:t>
      </w:r>
    </w:p>
    <w:p w14:paraId="40CC848D">
      <w:pPr>
        <w:spacing w:line="480" w:lineRule="exact"/>
        <w:rPr>
          <w:rFonts w:ascii="宋体" w:hAnsi="宋体" w:cs="宋体"/>
        </w:rPr>
      </w:pPr>
    </w:p>
    <w:p w14:paraId="148C8444">
      <w:pPr>
        <w:pStyle w:val="11"/>
      </w:pPr>
    </w:p>
    <w:p w14:paraId="2DE0C175">
      <w:pPr>
        <w:spacing w:line="480" w:lineRule="exact"/>
        <w:rPr>
          <w:rFonts w:ascii="宋体" w:hAnsi="宋体" w:cs="宋体"/>
        </w:rPr>
        <w:sectPr>
          <w:pgSz w:w="11906" w:h="16838"/>
          <w:pgMar w:top="1440" w:right="1800" w:bottom="1440" w:left="1800" w:header="851" w:footer="992" w:gutter="0"/>
          <w:pgNumType w:fmt="decimal"/>
          <w:cols w:space="425" w:num="1"/>
          <w:docGrid w:type="lines" w:linePitch="312" w:charSpace="0"/>
        </w:sectPr>
      </w:pPr>
    </w:p>
    <w:p w14:paraId="6106ACFB">
      <w:pPr>
        <w:pStyle w:val="6"/>
        <w:jc w:val="center"/>
        <w:outlineLvl w:val="0"/>
        <w:rPr>
          <w:rFonts w:asciiTheme="minorEastAsia" w:hAnsiTheme="minorEastAsia" w:eastAsiaTheme="minorEastAsia" w:cstheme="minorEastAsia"/>
          <w:highlight w:val="yellow"/>
        </w:rPr>
      </w:pPr>
      <w:bookmarkStart w:id="70" w:name="_Toc30384"/>
      <w:r>
        <w:rPr>
          <w:rFonts w:ascii="黑体" w:hAnsi="黑体" w:eastAsia="黑体" w:cs="黑体"/>
          <w:sz w:val="32"/>
          <w:szCs w:val="40"/>
        </w:rPr>
        <w:t>7</w:t>
      </w:r>
      <w:r>
        <w:rPr>
          <w:rFonts w:hint="eastAsia" w:ascii="黑体" w:hAnsi="黑体" w:eastAsia="黑体" w:cs="黑体"/>
          <w:sz w:val="32"/>
          <w:szCs w:val="40"/>
        </w:rPr>
        <w:t xml:space="preserve"> 质 量 验 收</w:t>
      </w:r>
      <w:bookmarkEnd w:id="70"/>
    </w:p>
    <w:p w14:paraId="4221F11B">
      <w:pPr>
        <w:spacing w:line="480" w:lineRule="exact"/>
        <w:jc w:val="center"/>
        <w:outlineLvl w:val="1"/>
        <w:rPr>
          <w:rFonts w:ascii="黑体" w:hAnsi="黑体" w:eastAsia="黑体" w:cs="黑体"/>
        </w:rPr>
      </w:pPr>
      <w:bookmarkStart w:id="71" w:name="_Toc8043"/>
      <w:r>
        <w:rPr>
          <w:rFonts w:ascii="黑体" w:hAnsi="黑体" w:eastAsia="黑体" w:cs="黑体"/>
        </w:rPr>
        <w:t>7</w:t>
      </w:r>
      <w:r>
        <w:rPr>
          <w:rFonts w:hint="eastAsia" w:ascii="黑体" w:hAnsi="黑体" w:eastAsia="黑体" w:cs="黑体"/>
        </w:rPr>
        <w:t>.1  一般规定</w:t>
      </w:r>
      <w:bookmarkEnd w:id="71"/>
    </w:p>
    <w:p w14:paraId="70061FCF">
      <w:pPr>
        <w:spacing w:line="480" w:lineRule="exact"/>
        <w:rPr>
          <w:rFonts w:ascii="宋体" w:hAnsi="宋体" w:cs="宋体"/>
        </w:rPr>
      </w:pPr>
      <w:r>
        <w:rPr>
          <w:rFonts w:ascii="宋体" w:hAnsi="宋体" w:cs="宋体"/>
        </w:rPr>
        <w:t>7</w:t>
      </w:r>
      <w:r>
        <w:rPr>
          <w:rFonts w:hint="eastAsia" w:ascii="宋体" w:hAnsi="宋体" w:cs="宋体"/>
        </w:rPr>
        <w:t>.1.1  施工过程中应对分部工程和分项工程规定的项目进行验收，并应进行记录。</w:t>
      </w:r>
    </w:p>
    <w:p w14:paraId="586F7576">
      <w:pPr>
        <w:spacing w:line="480" w:lineRule="exact"/>
        <w:rPr>
          <w:rFonts w:ascii="宋体" w:hAnsi="宋体" w:cs="宋体"/>
        </w:rPr>
      </w:pPr>
      <w:r>
        <w:rPr>
          <w:rFonts w:ascii="宋体" w:hAnsi="宋体" w:cs="宋体"/>
        </w:rPr>
        <w:t>7</w:t>
      </w:r>
      <w:r>
        <w:rPr>
          <w:rFonts w:hint="eastAsia" w:ascii="宋体" w:hAnsi="宋体" w:cs="宋体"/>
        </w:rPr>
        <w:t>.1.2  种植屋面防排水工程施工验收前，施工单位应提交并归档下列文件：</w:t>
      </w:r>
    </w:p>
    <w:p w14:paraId="15CFA10A">
      <w:pPr>
        <w:spacing w:line="480" w:lineRule="exact"/>
        <w:ind w:firstLine="420" w:firstLineChars="200"/>
        <w:outlineLvl w:val="0"/>
        <w:rPr>
          <w:rFonts w:ascii="宋体" w:hAnsi="宋体" w:cs="宋体"/>
        </w:rPr>
      </w:pPr>
      <w:bookmarkStart w:id="72" w:name="_Toc25736"/>
      <w:r>
        <w:rPr>
          <w:rFonts w:hint="eastAsia" w:ascii="宋体" w:hAnsi="宋体" w:cs="宋体"/>
        </w:rPr>
        <w:t>1 工程防水专项设计文件、图纸会审记录和设计变更文件等；</w:t>
      </w:r>
      <w:bookmarkEnd w:id="72"/>
    </w:p>
    <w:p w14:paraId="196306C2">
      <w:pPr>
        <w:spacing w:line="480" w:lineRule="exact"/>
        <w:ind w:firstLine="420" w:firstLineChars="200"/>
        <w:rPr>
          <w:rFonts w:ascii="宋体" w:hAnsi="宋体" w:cs="宋体"/>
        </w:rPr>
      </w:pPr>
      <w:r>
        <w:rPr>
          <w:rFonts w:hint="eastAsia" w:ascii="宋体" w:hAnsi="宋体" w:cs="宋体"/>
        </w:rPr>
        <w:t>2 防排水施工单位的资质证书及主要操作人员的上岗证；</w:t>
      </w:r>
    </w:p>
    <w:p w14:paraId="6EE211AA">
      <w:pPr>
        <w:spacing w:line="480" w:lineRule="exact"/>
        <w:ind w:firstLine="420" w:firstLineChars="200"/>
        <w:rPr>
          <w:rFonts w:ascii="宋体" w:hAnsi="宋体" w:cs="宋体"/>
        </w:rPr>
      </w:pPr>
      <w:r>
        <w:rPr>
          <w:rFonts w:hint="eastAsia" w:ascii="宋体" w:hAnsi="宋体" w:cs="宋体"/>
        </w:rPr>
        <w:t>3 施工组织设计或施工方案，技术交底、安全技术交底文件；</w:t>
      </w:r>
    </w:p>
    <w:p w14:paraId="40C4EF7C">
      <w:pPr>
        <w:spacing w:line="480" w:lineRule="exact"/>
        <w:ind w:firstLine="420" w:firstLineChars="200"/>
        <w:rPr>
          <w:rFonts w:ascii="宋体" w:hAnsi="宋体" w:cs="宋体"/>
        </w:rPr>
      </w:pPr>
      <w:r>
        <w:rPr>
          <w:rFonts w:hint="eastAsia" w:ascii="宋体" w:hAnsi="宋体" w:cs="宋体"/>
        </w:rPr>
        <w:t>4 主要材料的出厂合格证、质量检验报告和现场抽样复验报告；</w:t>
      </w:r>
    </w:p>
    <w:p w14:paraId="1105E3E5">
      <w:pPr>
        <w:spacing w:line="480" w:lineRule="exact"/>
        <w:ind w:firstLine="420" w:firstLineChars="200"/>
        <w:rPr>
          <w:rFonts w:ascii="宋体" w:hAnsi="宋体" w:cs="宋体"/>
        </w:rPr>
      </w:pPr>
      <w:r>
        <w:rPr>
          <w:rFonts w:hint="eastAsia" w:ascii="宋体" w:hAnsi="宋体" w:cs="宋体"/>
        </w:rPr>
        <w:t>5 施工记录；</w:t>
      </w:r>
    </w:p>
    <w:p w14:paraId="716805E4">
      <w:pPr>
        <w:spacing w:line="480" w:lineRule="exact"/>
        <w:ind w:firstLine="420" w:firstLineChars="200"/>
        <w:outlineLvl w:val="0"/>
        <w:rPr>
          <w:rFonts w:ascii="宋体" w:hAnsi="宋体" w:cs="宋体"/>
        </w:rPr>
      </w:pPr>
      <w:bookmarkStart w:id="73" w:name="_Toc18616"/>
      <w:r>
        <w:rPr>
          <w:rFonts w:hint="eastAsia" w:ascii="宋体" w:hAnsi="宋体" w:cs="宋体"/>
        </w:rPr>
        <w:t>6 防水层蓄水或淋水检验记录；</w:t>
      </w:r>
      <w:bookmarkEnd w:id="73"/>
    </w:p>
    <w:p w14:paraId="3DE44521">
      <w:pPr>
        <w:spacing w:line="480" w:lineRule="exact"/>
        <w:ind w:firstLine="420" w:firstLineChars="200"/>
        <w:rPr>
          <w:rFonts w:ascii="宋体" w:hAnsi="宋体" w:cs="宋体"/>
        </w:rPr>
      </w:pPr>
      <w:r>
        <w:rPr>
          <w:rFonts w:hint="eastAsia" w:ascii="宋体" w:hAnsi="宋体" w:cs="宋体"/>
        </w:rPr>
        <w:t>7 隐蔽工程防水层基层、防水层、防水附加层和细部节点的现场影像资料及检查验收记录；</w:t>
      </w:r>
    </w:p>
    <w:p w14:paraId="207D43F2">
      <w:pPr>
        <w:spacing w:line="480" w:lineRule="exact"/>
        <w:ind w:firstLine="420" w:firstLineChars="200"/>
        <w:outlineLvl w:val="0"/>
        <w:rPr>
          <w:rFonts w:ascii="宋体" w:hAnsi="宋体" w:cs="宋体"/>
        </w:rPr>
      </w:pPr>
      <w:bookmarkStart w:id="74" w:name="_Toc27970"/>
      <w:r>
        <w:rPr>
          <w:rFonts w:hint="eastAsia" w:ascii="宋体" w:hAnsi="宋体" w:cs="宋体"/>
        </w:rPr>
        <w:t>8 其他重要检查验收记录。</w:t>
      </w:r>
      <w:bookmarkEnd w:id="74"/>
    </w:p>
    <w:p w14:paraId="6704CA0C">
      <w:pPr>
        <w:spacing w:line="480" w:lineRule="exact"/>
        <w:rPr>
          <w:rFonts w:ascii="宋体" w:hAnsi="宋体" w:cs="宋体"/>
        </w:rPr>
      </w:pPr>
      <w:r>
        <w:rPr>
          <w:rFonts w:ascii="宋体" w:hAnsi="宋体" w:cs="宋体"/>
        </w:rPr>
        <w:t>7</w:t>
      </w:r>
      <w:r>
        <w:rPr>
          <w:rFonts w:hint="eastAsia" w:ascii="宋体" w:hAnsi="宋体" w:cs="宋体"/>
        </w:rPr>
        <w:t>.1.3  防排水工程施工应建立各道工序自检、交接检和专职人员检查制度，并应有完整的检查记录。每道工序完成后，应经检查验收，合格后方可进行下道工序施工。</w:t>
      </w:r>
    </w:p>
    <w:p w14:paraId="2AE91D62">
      <w:pPr>
        <w:spacing w:line="480" w:lineRule="exact"/>
        <w:rPr>
          <w:rFonts w:ascii="宋体" w:hAnsi="宋体" w:cs="宋体"/>
        </w:rPr>
      </w:pPr>
      <w:r>
        <w:rPr>
          <w:rFonts w:ascii="宋体" w:hAnsi="宋体" w:cs="宋体"/>
        </w:rPr>
        <w:t>7</w:t>
      </w:r>
      <w:r>
        <w:rPr>
          <w:rFonts w:hint="eastAsia" w:ascii="宋体" w:hAnsi="宋体" w:cs="宋体"/>
        </w:rPr>
        <w:t>.1.4  防排水工程的施工质量验收检验批的划分应符合下列规定：</w:t>
      </w:r>
    </w:p>
    <w:p w14:paraId="61FB51B0">
      <w:pPr>
        <w:spacing w:line="480" w:lineRule="exact"/>
        <w:ind w:firstLine="420" w:firstLineChars="200"/>
        <w:rPr>
          <w:rFonts w:ascii="宋体" w:hAnsi="宋体" w:cs="宋体"/>
        </w:rPr>
      </w:pPr>
      <w:r>
        <w:rPr>
          <w:rFonts w:hint="eastAsia" w:ascii="宋体" w:hAnsi="宋体" w:cs="宋体"/>
        </w:rPr>
        <w:t>1 屋面面积每100m</w:t>
      </w:r>
      <w:r>
        <w:rPr>
          <w:rFonts w:ascii="宋体" w:hAnsi="宋体" w:cs="宋体"/>
          <w:vertAlign w:val="superscript"/>
        </w:rPr>
        <w:t>2</w:t>
      </w:r>
      <w:r>
        <w:rPr>
          <w:rFonts w:hint="eastAsia" w:ascii="宋体" w:hAnsi="宋体" w:cs="宋体"/>
        </w:rPr>
        <w:t>抽查一处，每处10m</w:t>
      </w:r>
      <w:r>
        <w:rPr>
          <w:rFonts w:ascii="宋体" w:hAnsi="宋体" w:cs="宋体"/>
          <w:vertAlign w:val="superscript"/>
        </w:rPr>
        <w:t>2</w:t>
      </w:r>
      <w:r>
        <w:rPr>
          <w:rFonts w:hint="eastAsia" w:ascii="宋体" w:hAnsi="宋体" w:cs="宋体"/>
        </w:rPr>
        <w:t>，且不应少于3处；</w:t>
      </w:r>
    </w:p>
    <w:p w14:paraId="73EC45EC">
      <w:pPr>
        <w:spacing w:line="480" w:lineRule="exact"/>
        <w:ind w:firstLine="420" w:firstLineChars="200"/>
        <w:rPr>
          <w:rFonts w:ascii="宋体" w:hAnsi="宋体" w:cs="宋体"/>
        </w:rPr>
      </w:pPr>
      <w:r>
        <w:rPr>
          <w:rFonts w:hint="eastAsia" w:ascii="宋体" w:hAnsi="宋体" w:cs="宋体"/>
        </w:rPr>
        <w:t>2 接缝密封防水部位，每50m抽查一处，每处5.0m，且不应少于3处；</w:t>
      </w:r>
    </w:p>
    <w:p w14:paraId="2E290924">
      <w:pPr>
        <w:spacing w:line="480" w:lineRule="exact"/>
        <w:rPr>
          <w:rFonts w:ascii="宋体" w:hAnsi="宋体" w:cs="宋体"/>
        </w:rPr>
      </w:pPr>
      <w:r>
        <w:rPr>
          <w:rFonts w:hint="eastAsia" w:ascii="宋体" w:hAnsi="宋体" w:cs="宋体"/>
        </w:rPr>
        <w:t>处；</w:t>
      </w:r>
    </w:p>
    <w:p w14:paraId="7A193506">
      <w:pPr>
        <w:spacing w:line="480" w:lineRule="exact"/>
        <w:ind w:firstLine="420" w:firstLineChars="200"/>
        <w:outlineLvl w:val="0"/>
        <w:rPr>
          <w:rFonts w:ascii="宋体" w:hAnsi="宋体" w:cs="宋体"/>
        </w:rPr>
      </w:pPr>
      <w:bookmarkStart w:id="75" w:name="_Toc2373"/>
      <w:r>
        <w:rPr>
          <w:rFonts w:hint="eastAsia" w:ascii="宋体" w:hAnsi="宋体" w:cs="宋体"/>
        </w:rPr>
        <w:t>3 细部构造部位应全部进行检查。</w:t>
      </w:r>
      <w:bookmarkEnd w:id="75"/>
    </w:p>
    <w:p w14:paraId="6535B006">
      <w:pPr>
        <w:spacing w:line="480" w:lineRule="exact"/>
        <w:rPr>
          <w:rFonts w:ascii="宋体" w:hAnsi="宋体" w:cs="宋体"/>
        </w:rPr>
      </w:pPr>
      <w:r>
        <w:rPr>
          <w:rFonts w:ascii="宋体" w:hAnsi="宋体" w:cs="宋体"/>
        </w:rPr>
        <w:t>7</w:t>
      </w:r>
      <w:r>
        <w:rPr>
          <w:rFonts w:hint="eastAsia" w:ascii="宋体" w:hAnsi="宋体" w:cs="宋体"/>
        </w:rPr>
        <w:t>.1.5  种植屋面找坡（找平）层、保护层和细部构造的质量验收应符合现行国家标准《屋面工程质量验收规范》GB50207、《地下防水工程质量验收规范》GB50208的有关规定。</w:t>
      </w:r>
    </w:p>
    <w:p w14:paraId="18EB92BA">
      <w:pPr>
        <w:spacing w:line="480" w:lineRule="exact"/>
        <w:rPr>
          <w:rFonts w:ascii="宋体" w:hAnsi="宋体" w:cs="宋体"/>
        </w:rPr>
      </w:pPr>
      <w:r>
        <w:rPr>
          <w:rFonts w:ascii="宋体" w:hAnsi="宋体" w:cs="宋体"/>
        </w:rPr>
        <w:t>7</w:t>
      </w:r>
      <w:r>
        <w:rPr>
          <w:rFonts w:hint="eastAsia" w:ascii="宋体" w:hAnsi="宋体" w:cs="宋体"/>
        </w:rPr>
        <w:t>.1.6  质量验收应符合国家现行标准《建筑工程施工质量验收统一标准》GB 50300、《屋面工程质量验收规范》GB 50207、《种植屋面工程技术规程》JGJ155的有关规定。</w:t>
      </w:r>
    </w:p>
    <w:p w14:paraId="2564190B">
      <w:pPr>
        <w:spacing w:line="480" w:lineRule="exact"/>
        <w:jc w:val="center"/>
        <w:outlineLvl w:val="1"/>
        <w:rPr>
          <w:rFonts w:ascii="黑体" w:hAnsi="黑体" w:eastAsia="黑体" w:cs="黑体"/>
        </w:rPr>
      </w:pPr>
      <w:bookmarkStart w:id="76" w:name="_Toc24971"/>
      <w:r>
        <w:rPr>
          <w:rFonts w:ascii="黑体" w:hAnsi="黑体" w:eastAsia="黑体" w:cs="黑体"/>
        </w:rPr>
        <w:t>7</w:t>
      </w:r>
      <w:r>
        <w:rPr>
          <w:rFonts w:hint="eastAsia" w:ascii="黑体" w:hAnsi="黑体" w:eastAsia="黑体" w:cs="黑体"/>
        </w:rPr>
        <w:t>.2  普通防水层</w:t>
      </w:r>
      <w:bookmarkEnd w:id="76"/>
    </w:p>
    <w:p w14:paraId="14B57224">
      <w:pPr>
        <w:spacing w:line="480" w:lineRule="exact"/>
        <w:jc w:val="center"/>
        <w:rPr>
          <w:rFonts w:ascii="黑体" w:hAnsi="黑体" w:eastAsia="黑体" w:cs="黑体"/>
        </w:rPr>
      </w:pPr>
      <w:r>
        <w:rPr>
          <w:rFonts w:hint="eastAsia" w:ascii="黑体" w:hAnsi="黑体" w:eastAsia="黑体" w:cs="黑体"/>
        </w:rPr>
        <w:t>Ⅰ  主控项目</w:t>
      </w:r>
    </w:p>
    <w:p w14:paraId="12962A7C">
      <w:pPr>
        <w:spacing w:line="480" w:lineRule="exact"/>
        <w:rPr>
          <w:rFonts w:ascii="宋体" w:hAnsi="宋体" w:cs="宋体"/>
        </w:rPr>
      </w:pPr>
      <w:r>
        <w:rPr>
          <w:rFonts w:ascii="宋体" w:hAnsi="宋体" w:cs="宋体"/>
        </w:rPr>
        <w:t>7</w:t>
      </w:r>
      <w:r>
        <w:rPr>
          <w:rFonts w:hint="eastAsia" w:ascii="宋体" w:hAnsi="宋体" w:cs="宋体"/>
        </w:rPr>
        <w:t>.2.1  防水材料、排（蓄）水板、复合一体化塑料排水板及其配套材料的质量应符合设计要求。</w:t>
      </w:r>
    </w:p>
    <w:p w14:paraId="6389D76C">
      <w:pPr>
        <w:spacing w:line="480" w:lineRule="exact"/>
        <w:ind w:firstLine="420" w:firstLineChars="200"/>
        <w:rPr>
          <w:rFonts w:ascii="宋体" w:hAnsi="宋体" w:cs="宋体"/>
        </w:rPr>
      </w:pPr>
      <w:r>
        <w:rPr>
          <w:rFonts w:hint="eastAsia" w:ascii="宋体" w:hAnsi="宋体" w:cs="宋体"/>
        </w:rPr>
        <w:t>检验方法：检查出厂合格证、质量检验报告和进场检验报告。</w:t>
      </w:r>
    </w:p>
    <w:p w14:paraId="7B90C276">
      <w:pPr>
        <w:spacing w:line="480" w:lineRule="exact"/>
        <w:rPr>
          <w:rFonts w:ascii="宋体" w:hAnsi="宋体" w:cs="宋体"/>
        </w:rPr>
      </w:pPr>
      <w:r>
        <w:rPr>
          <w:rFonts w:ascii="宋体" w:hAnsi="宋体" w:cs="宋体"/>
        </w:rPr>
        <w:t>7</w:t>
      </w:r>
      <w:r>
        <w:rPr>
          <w:rFonts w:hint="eastAsia" w:ascii="宋体" w:hAnsi="宋体" w:cs="宋体"/>
        </w:rPr>
        <w:t>.2.2  防水层不应有渗漏或积水现象。</w:t>
      </w:r>
    </w:p>
    <w:p w14:paraId="72F987D6">
      <w:pPr>
        <w:spacing w:line="480" w:lineRule="exact"/>
        <w:ind w:firstLine="420" w:firstLineChars="200"/>
        <w:rPr>
          <w:rFonts w:ascii="宋体" w:hAnsi="宋体" w:cs="宋体"/>
        </w:rPr>
      </w:pPr>
      <w:r>
        <w:rPr>
          <w:rFonts w:hint="eastAsia" w:ascii="宋体" w:hAnsi="宋体" w:cs="宋体"/>
        </w:rPr>
        <w:t>检验方法：雨后观察或淋水、蓄水试验。</w:t>
      </w:r>
    </w:p>
    <w:p w14:paraId="4781A810">
      <w:pPr>
        <w:spacing w:line="480" w:lineRule="exact"/>
        <w:rPr>
          <w:rFonts w:ascii="宋体" w:hAnsi="宋体" w:cs="宋体"/>
        </w:rPr>
      </w:pPr>
      <w:r>
        <w:rPr>
          <w:rFonts w:ascii="宋体" w:hAnsi="宋体" w:cs="宋体"/>
        </w:rPr>
        <w:t>7</w:t>
      </w:r>
      <w:r>
        <w:rPr>
          <w:rFonts w:hint="eastAsia" w:ascii="宋体" w:hAnsi="宋体" w:cs="宋体"/>
        </w:rPr>
        <w:t>.2.3  防水层在檐口、檐沟、天沟、水落口、泛水、变形缝和伸出屋面管道的防水构造，应符合设计要求。</w:t>
      </w:r>
    </w:p>
    <w:p w14:paraId="192DC679">
      <w:pPr>
        <w:spacing w:line="480" w:lineRule="exact"/>
        <w:ind w:firstLine="420" w:firstLineChars="200"/>
        <w:rPr>
          <w:rFonts w:ascii="宋体" w:hAnsi="宋体" w:cs="宋体"/>
        </w:rPr>
      </w:pPr>
      <w:r>
        <w:rPr>
          <w:rFonts w:hint="eastAsia" w:ascii="宋体" w:hAnsi="宋体" w:cs="宋体"/>
        </w:rPr>
        <w:t>检验方法：观察检查。</w:t>
      </w:r>
    </w:p>
    <w:p w14:paraId="6EE9E90F">
      <w:pPr>
        <w:spacing w:line="480" w:lineRule="exact"/>
        <w:rPr>
          <w:rFonts w:ascii="宋体" w:hAnsi="宋体" w:cs="宋体"/>
        </w:rPr>
      </w:pPr>
      <w:r>
        <w:rPr>
          <w:rFonts w:ascii="宋体" w:hAnsi="宋体" w:cs="宋体"/>
        </w:rPr>
        <w:t>7</w:t>
      </w:r>
      <w:r>
        <w:rPr>
          <w:rFonts w:hint="eastAsia" w:ascii="宋体" w:hAnsi="宋体" w:cs="宋体"/>
        </w:rPr>
        <w:t>.2.4  涂膜防水层的平均厚度应符合设计要求，最小厚度不应小于设计厚度的80%。</w:t>
      </w:r>
    </w:p>
    <w:p w14:paraId="09FC1E1B">
      <w:pPr>
        <w:spacing w:line="480" w:lineRule="exact"/>
        <w:rPr>
          <w:rFonts w:ascii="宋体" w:hAnsi="宋体" w:cs="宋体"/>
          <w:highlight w:val="none"/>
        </w:rPr>
      </w:pPr>
      <w:r>
        <w:rPr>
          <w:rFonts w:hint="eastAsia" w:ascii="宋体" w:hAnsi="宋体" w:cs="宋体"/>
        </w:rPr>
        <w:t>检验方法</w:t>
      </w:r>
      <w:r>
        <w:rPr>
          <w:rFonts w:hint="eastAsia" w:ascii="宋体" w:hAnsi="宋体" w:cs="宋体"/>
          <w:highlight w:val="none"/>
        </w:rPr>
        <w:t>：针测法或取样量测。</w:t>
      </w:r>
    </w:p>
    <w:p w14:paraId="2F25221A">
      <w:pPr>
        <w:spacing w:line="480" w:lineRule="exact"/>
        <w:jc w:val="center"/>
        <w:rPr>
          <w:rFonts w:ascii="黑体" w:hAnsi="黑体" w:eastAsia="黑体" w:cs="黑体"/>
        </w:rPr>
      </w:pPr>
      <w:r>
        <w:rPr>
          <w:rFonts w:hint="eastAsia" w:ascii="黑体" w:hAnsi="黑体" w:eastAsia="黑体" w:cs="黑体"/>
        </w:rPr>
        <w:t>Ⅱ  一般项目</w:t>
      </w:r>
    </w:p>
    <w:p w14:paraId="01A743BC">
      <w:pPr>
        <w:spacing w:line="480" w:lineRule="exact"/>
        <w:rPr>
          <w:rFonts w:ascii="宋体" w:hAnsi="宋体" w:cs="宋体"/>
        </w:rPr>
      </w:pPr>
      <w:r>
        <w:rPr>
          <w:rFonts w:ascii="宋体" w:hAnsi="宋体" w:cs="宋体"/>
        </w:rPr>
        <w:t>7</w:t>
      </w:r>
      <w:r>
        <w:rPr>
          <w:rFonts w:hint="eastAsia" w:ascii="宋体" w:hAnsi="宋体" w:cs="宋体"/>
        </w:rPr>
        <w:t>.2.5  卷材的搭接缝应粘结或焊接牢固，密封严密，不应扭曲、皱折或起泡。</w:t>
      </w:r>
    </w:p>
    <w:p w14:paraId="00223F98">
      <w:pPr>
        <w:spacing w:line="480" w:lineRule="exact"/>
        <w:rPr>
          <w:rFonts w:ascii="宋体" w:hAnsi="宋体" w:cs="宋体"/>
        </w:rPr>
      </w:pPr>
      <w:r>
        <w:rPr>
          <w:rFonts w:hint="eastAsia" w:ascii="宋体" w:hAnsi="宋体" w:cs="宋体"/>
        </w:rPr>
        <w:t>检验方法：观察检查。</w:t>
      </w:r>
    </w:p>
    <w:p w14:paraId="38F244BC">
      <w:pPr>
        <w:spacing w:line="480" w:lineRule="exact"/>
        <w:rPr>
          <w:rFonts w:ascii="宋体" w:hAnsi="宋体" w:cs="宋体"/>
        </w:rPr>
      </w:pPr>
      <w:r>
        <w:rPr>
          <w:rFonts w:ascii="宋体" w:hAnsi="宋体" w:cs="宋体"/>
        </w:rPr>
        <w:t>7</w:t>
      </w:r>
      <w:r>
        <w:rPr>
          <w:rFonts w:hint="eastAsia" w:ascii="宋体" w:hAnsi="宋体" w:cs="宋体"/>
        </w:rPr>
        <w:t>.2.6  卷材防水层的收头应与基层粘结并钉压牢固，密封严密，不应翘边。</w:t>
      </w:r>
    </w:p>
    <w:p w14:paraId="29E27AE7">
      <w:pPr>
        <w:spacing w:line="480" w:lineRule="exact"/>
        <w:rPr>
          <w:rFonts w:ascii="宋体" w:hAnsi="宋体" w:cs="宋体"/>
          <w:color w:val="FF0000"/>
        </w:rPr>
      </w:pPr>
      <w:r>
        <w:rPr>
          <w:rFonts w:hint="eastAsia" w:ascii="宋体" w:hAnsi="宋体" w:cs="宋体"/>
        </w:rPr>
        <w:t>检验方法：观察检查。</w:t>
      </w:r>
    </w:p>
    <w:p w14:paraId="14EAD0CF">
      <w:pPr>
        <w:spacing w:line="480" w:lineRule="exact"/>
        <w:rPr>
          <w:rFonts w:ascii="宋体" w:hAnsi="宋体" w:cs="宋体"/>
        </w:rPr>
      </w:pPr>
      <w:r>
        <w:rPr>
          <w:rFonts w:ascii="宋体" w:hAnsi="宋体" w:cs="宋体"/>
        </w:rPr>
        <w:t>7</w:t>
      </w:r>
      <w:r>
        <w:rPr>
          <w:rFonts w:hint="eastAsia" w:ascii="宋体" w:hAnsi="宋体" w:cs="宋体"/>
        </w:rPr>
        <w:t>.2.7  卷材防水层的铺贴方向应正确，卷材搭接宽度的允许偏差应为-10mm。</w:t>
      </w:r>
    </w:p>
    <w:p w14:paraId="609F9B21">
      <w:pPr>
        <w:spacing w:line="480" w:lineRule="exact"/>
        <w:rPr>
          <w:rFonts w:ascii="宋体" w:hAnsi="宋体" w:cs="宋体"/>
          <w:color w:val="FF0000"/>
        </w:rPr>
      </w:pPr>
      <w:r>
        <w:rPr>
          <w:rFonts w:hint="eastAsia" w:ascii="宋体" w:hAnsi="宋体" w:cs="宋体"/>
        </w:rPr>
        <w:t>检验方法：观察和尺量检查。</w:t>
      </w:r>
    </w:p>
    <w:p w14:paraId="370DF082">
      <w:pPr>
        <w:spacing w:line="480" w:lineRule="exact"/>
        <w:rPr>
          <w:rFonts w:ascii="宋体" w:hAnsi="宋体" w:cs="宋体"/>
        </w:rPr>
      </w:pPr>
      <w:r>
        <w:rPr>
          <w:rFonts w:ascii="宋体" w:hAnsi="宋体" w:cs="宋体"/>
        </w:rPr>
        <w:t>7</w:t>
      </w:r>
      <w:r>
        <w:rPr>
          <w:rFonts w:hint="eastAsia" w:ascii="宋体" w:hAnsi="宋体" w:cs="宋体"/>
        </w:rPr>
        <w:t>.2.8  涂膜防水层与基层应粘结牢固，表面平整，涂布均匀，不应有流淌、皱折、鼓泡、露胎体和翘边等缺陷。</w:t>
      </w:r>
    </w:p>
    <w:p w14:paraId="7F6ADC92">
      <w:pPr>
        <w:spacing w:line="480" w:lineRule="exact"/>
        <w:rPr>
          <w:rFonts w:ascii="宋体" w:hAnsi="宋体" w:cs="宋体"/>
        </w:rPr>
      </w:pPr>
      <w:r>
        <w:rPr>
          <w:rFonts w:hint="eastAsia" w:ascii="宋体" w:hAnsi="宋体" w:cs="宋体"/>
        </w:rPr>
        <w:t>检验方法：观察检查。</w:t>
      </w:r>
    </w:p>
    <w:p w14:paraId="0C240F25">
      <w:pPr>
        <w:spacing w:line="480" w:lineRule="exact"/>
        <w:rPr>
          <w:rFonts w:ascii="宋体" w:hAnsi="宋体" w:cs="宋体"/>
        </w:rPr>
      </w:pPr>
      <w:r>
        <w:rPr>
          <w:rFonts w:ascii="宋体" w:hAnsi="宋体" w:cs="宋体"/>
        </w:rPr>
        <w:t>7</w:t>
      </w:r>
      <w:r>
        <w:rPr>
          <w:rFonts w:hint="eastAsia" w:ascii="宋体" w:hAnsi="宋体" w:cs="宋体"/>
        </w:rPr>
        <w:t>.2.9  涂膜防水层的收头应用防水涂料多遍涂刷。</w:t>
      </w:r>
    </w:p>
    <w:p w14:paraId="4765FC79">
      <w:pPr>
        <w:spacing w:line="480" w:lineRule="exact"/>
        <w:rPr>
          <w:rFonts w:ascii="宋体" w:hAnsi="宋体" w:cs="宋体"/>
        </w:rPr>
      </w:pPr>
      <w:r>
        <w:rPr>
          <w:rFonts w:hint="eastAsia" w:ascii="宋体" w:hAnsi="宋体" w:cs="宋体"/>
        </w:rPr>
        <w:t>检验方法：观察检查。</w:t>
      </w:r>
    </w:p>
    <w:p w14:paraId="72336D63">
      <w:pPr>
        <w:spacing w:line="480" w:lineRule="exact"/>
        <w:rPr>
          <w:rFonts w:ascii="宋体" w:hAnsi="宋体" w:cs="宋体"/>
        </w:rPr>
      </w:pPr>
      <w:r>
        <w:rPr>
          <w:rFonts w:ascii="宋体" w:hAnsi="宋体" w:cs="宋体"/>
        </w:rPr>
        <w:t>7</w:t>
      </w:r>
      <w:r>
        <w:rPr>
          <w:rFonts w:hint="eastAsia" w:ascii="宋体" w:hAnsi="宋体" w:cs="宋体"/>
        </w:rPr>
        <w:t>.2.10  铺贴胎体增强材料应平整顺直，搭接尺寸准确，排除气泡，并与涂料粘结牢固；胎体增强材料搭接宽度的允许偏差应为-10mm。</w:t>
      </w:r>
    </w:p>
    <w:p w14:paraId="4E9BD13E">
      <w:pPr>
        <w:spacing w:line="480" w:lineRule="exact"/>
        <w:rPr>
          <w:rFonts w:ascii="宋体" w:hAnsi="宋体" w:cs="宋体"/>
        </w:rPr>
      </w:pPr>
      <w:r>
        <w:rPr>
          <w:rFonts w:hint="eastAsia" w:ascii="宋体" w:hAnsi="宋体" w:cs="宋体"/>
        </w:rPr>
        <w:t>检验方法：观察和检查隐蔽工程验收记录。</w:t>
      </w:r>
    </w:p>
    <w:p w14:paraId="3ABD000C">
      <w:pPr>
        <w:spacing w:line="480" w:lineRule="exact"/>
        <w:jc w:val="center"/>
        <w:outlineLvl w:val="1"/>
        <w:rPr>
          <w:rFonts w:ascii="黑体" w:hAnsi="黑体" w:eastAsia="黑体" w:cs="黑体"/>
        </w:rPr>
      </w:pPr>
      <w:bookmarkStart w:id="77" w:name="_Toc14397"/>
      <w:r>
        <w:rPr>
          <w:rFonts w:ascii="黑体" w:hAnsi="黑体" w:eastAsia="黑体" w:cs="黑体"/>
        </w:rPr>
        <w:t>7</w:t>
      </w:r>
      <w:r>
        <w:rPr>
          <w:rFonts w:hint="eastAsia" w:ascii="黑体" w:hAnsi="黑体" w:eastAsia="黑体" w:cs="黑体"/>
        </w:rPr>
        <w:t>.3  耐根穿刺防水层</w:t>
      </w:r>
      <w:bookmarkEnd w:id="77"/>
    </w:p>
    <w:p w14:paraId="5B10A9FA">
      <w:pPr>
        <w:spacing w:line="480" w:lineRule="exact"/>
        <w:jc w:val="center"/>
        <w:rPr>
          <w:rFonts w:ascii="黑体" w:hAnsi="黑体" w:eastAsia="黑体" w:cs="黑体"/>
        </w:rPr>
      </w:pPr>
      <w:r>
        <w:rPr>
          <w:rFonts w:hint="eastAsia" w:ascii="黑体" w:hAnsi="黑体" w:eastAsia="黑体" w:cs="黑体"/>
        </w:rPr>
        <w:t>Ⅰ  主控项目</w:t>
      </w:r>
    </w:p>
    <w:p w14:paraId="30F5A015">
      <w:pPr>
        <w:spacing w:line="480" w:lineRule="exact"/>
        <w:rPr>
          <w:rFonts w:ascii="宋体" w:hAnsi="宋体" w:cs="宋体"/>
        </w:rPr>
      </w:pPr>
      <w:r>
        <w:rPr>
          <w:rFonts w:ascii="宋体" w:hAnsi="宋体" w:cs="宋体"/>
        </w:rPr>
        <w:t>7</w:t>
      </w:r>
      <w:r>
        <w:rPr>
          <w:rFonts w:hint="eastAsia" w:ascii="宋体" w:hAnsi="宋体" w:cs="宋体"/>
        </w:rPr>
        <w:t>.3.1  耐根穿刺防水材料及其配套材料的质量应符合设计要求。</w:t>
      </w:r>
    </w:p>
    <w:p w14:paraId="6E1976DF">
      <w:pPr>
        <w:spacing w:line="480" w:lineRule="exact"/>
        <w:rPr>
          <w:rFonts w:ascii="宋体" w:hAnsi="宋体" w:cs="宋体"/>
        </w:rPr>
      </w:pPr>
      <w:r>
        <w:rPr>
          <w:rFonts w:hint="eastAsia" w:ascii="宋体" w:hAnsi="宋体" w:cs="宋体"/>
        </w:rPr>
        <w:t>检验方法：检查出厂合格证、质量检验报告、耐根穿刺检验报告和进场检验报告。</w:t>
      </w:r>
    </w:p>
    <w:p w14:paraId="457C9002">
      <w:pPr>
        <w:spacing w:line="480" w:lineRule="exact"/>
        <w:rPr>
          <w:rFonts w:ascii="宋体" w:hAnsi="宋体" w:cs="宋体"/>
        </w:rPr>
      </w:pPr>
      <w:r>
        <w:rPr>
          <w:rFonts w:ascii="宋体" w:hAnsi="宋体" w:cs="宋体"/>
        </w:rPr>
        <w:t>7</w:t>
      </w:r>
      <w:r>
        <w:rPr>
          <w:rFonts w:hint="eastAsia" w:ascii="宋体" w:hAnsi="宋体" w:cs="宋体"/>
        </w:rPr>
        <w:t>.3.2  耐根穿刺防水层施工方式应与耐根穿刺检验报告一致。</w:t>
      </w:r>
    </w:p>
    <w:p w14:paraId="2760F7C7">
      <w:pPr>
        <w:spacing w:line="480" w:lineRule="exact"/>
        <w:rPr>
          <w:rFonts w:ascii="宋体" w:hAnsi="宋体" w:cs="宋体"/>
        </w:rPr>
      </w:pPr>
      <w:r>
        <w:rPr>
          <w:rFonts w:hint="eastAsia" w:ascii="宋体" w:hAnsi="宋体" w:cs="宋体"/>
        </w:rPr>
        <w:t>检验方法：观察检查。</w:t>
      </w:r>
    </w:p>
    <w:p w14:paraId="22BB4128">
      <w:pPr>
        <w:spacing w:line="480" w:lineRule="exact"/>
        <w:rPr>
          <w:rFonts w:ascii="宋体" w:hAnsi="宋体" w:cs="宋体"/>
        </w:rPr>
      </w:pPr>
      <w:r>
        <w:rPr>
          <w:rFonts w:ascii="宋体" w:hAnsi="宋体" w:cs="宋体"/>
        </w:rPr>
        <w:t>7</w:t>
      </w:r>
      <w:r>
        <w:rPr>
          <w:rFonts w:hint="eastAsia" w:ascii="宋体" w:hAnsi="宋体" w:cs="宋体"/>
        </w:rPr>
        <w:t>.3.3  防水层不应有渗漏或积水现象。</w:t>
      </w:r>
    </w:p>
    <w:p w14:paraId="276AA501">
      <w:pPr>
        <w:spacing w:line="480" w:lineRule="exact"/>
        <w:rPr>
          <w:rFonts w:ascii="宋体" w:hAnsi="宋体" w:cs="宋体"/>
        </w:rPr>
      </w:pPr>
      <w:r>
        <w:rPr>
          <w:rFonts w:hint="eastAsia" w:ascii="宋体" w:hAnsi="宋体" w:cs="宋体"/>
        </w:rPr>
        <w:t>检验方法：雨后观察或淋水、蓄水试验。</w:t>
      </w:r>
    </w:p>
    <w:p w14:paraId="6CBB67B5">
      <w:pPr>
        <w:spacing w:line="480" w:lineRule="exact"/>
      </w:pPr>
      <w:r>
        <w:rPr>
          <w:rFonts w:ascii="宋体" w:hAnsi="宋体" w:cs="宋体"/>
        </w:rPr>
        <w:t>7</w:t>
      </w:r>
      <w:r>
        <w:rPr>
          <w:rFonts w:hint="eastAsia" w:ascii="宋体" w:hAnsi="宋体" w:cs="宋体"/>
        </w:rPr>
        <w:t>.3.4  防水层在檐口、檐沟、天沟、水落口、泛水、变形缝和伸出屋面管道的防水构造，应符合设计要求。</w:t>
      </w:r>
    </w:p>
    <w:p w14:paraId="58A18EEF">
      <w:pPr>
        <w:spacing w:line="480" w:lineRule="exact"/>
        <w:rPr>
          <w:rFonts w:ascii="宋体" w:hAnsi="宋体" w:cs="宋体"/>
        </w:rPr>
      </w:pPr>
      <w:r>
        <w:rPr>
          <w:rFonts w:hint="eastAsia" w:ascii="宋体" w:hAnsi="宋体" w:cs="宋体"/>
        </w:rPr>
        <w:t>检验方法：观察检查。</w:t>
      </w:r>
    </w:p>
    <w:p w14:paraId="6386121F">
      <w:pPr>
        <w:spacing w:line="480" w:lineRule="exact"/>
        <w:jc w:val="center"/>
        <w:rPr>
          <w:rFonts w:ascii="黑体" w:hAnsi="黑体" w:eastAsia="黑体" w:cs="黑体"/>
        </w:rPr>
      </w:pPr>
      <w:r>
        <w:rPr>
          <w:rFonts w:hint="eastAsia" w:ascii="黑体" w:hAnsi="黑体" w:eastAsia="黑体" w:cs="黑体"/>
        </w:rPr>
        <w:t>Ⅱ  一般项目</w:t>
      </w:r>
    </w:p>
    <w:p w14:paraId="13FCC69B">
      <w:pPr>
        <w:spacing w:line="480" w:lineRule="exact"/>
        <w:rPr>
          <w:rFonts w:ascii="宋体" w:hAnsi="宋体" w:cs="宋体"/>
          <w:highlight w:val="yellow"/>
        </w:rPr>
      </w:pPr>
      <w:r>
        <w:rPr>
          <w:rFonts w:ascii="宋体" w:hAnsi="宋体" w:cs="宋体"/>
        </w:rPr>
        <w:t>7</w:t>
      </w:r>
      <w:r>
        <w:rPr>
          <w:rFonts w:hint="eastAsia" w:ascii="宋体" w:hAnsi="宋体" w:cs="宋体"/>
        </w:rPr>
        <w:t>.3.6  耐根穿刺防水卷材施工的其它项目应按本规程第6</w:t>
      </w:r>
      <w:r>
        <w:rPr>
          <w:rFonts w:ascii="宋体" w:hAnsi="宋体" w:cs="宋体"/>
        </w:rPr>
        <w:t>.3节的规定执行</w:t>
      </w:r>
      <w:r>
        <w:rPr>
          <w:rFonts w:hint="eastAsia" w:ascii="宋体" w:hAnsi="宋体" w:cs="宋体"/>
        </w:rPr>
        <w:t>。</w:t>
      </w:r>
    </w:p>
    <w:p w14:paraId="255CAD59">
      <w:pPr>
        <w:spacing w:line="480" w:lineRule="exact"/>
        <w:jc w:val="center"/>
        <w:outlineLvl w:val="1"/>
        <w:rPr>
          <w:rFonts w:ascii="黑体" w:hAnsi="黑体" w:eastAsia="黑体" w:cs="黑体"/>
        </w:rPr>
      </w:pPr>
      <w:bookmarkStart w:id="78" w:name="_Toc10313"/>
      <w:r>
        <w:rPr>
          <w:rFonts w:ascii="黑体" w:hAnsi="黑体" w:eastAsia="黑体" w:cs="黑体"/>
        </w:rPr>
        <w:t>7</w:t>
      </w:r>
      <w:r>
        <w:rPr>
          <w:rFonts w:hint="eastAsia" w:ascii="黑体" w:hAnsi="黑体" w:eastAsia="黑体" w:cs="黑体"/>
        </w:rPr>
        <w:t>.4  排（蓄）水层</w:t>
      </w:r>
      <w:bookmarkEnd w:id="78"/>
    </w:p>
    <w:p w14:paraId="6DB7A9E1">
      <w:pPr>
        <w:spacing w:line="480" w:lineRule="exact"/>
        <w:jc w:val="center"/>
        <w:rPr>
          <w:rFonts w:ascii="黑体" w:hAnsi="黑体" w:eastAsia="黑体" w:cs="黑体"/>
        </w:rPr>
      </w:pPr>
      <w:r>
        <w:rPr>
          <w:rFonts w:hint="eastAsia" w:ascii="黑体" w:hAnsi="黑体" w:eastAsia="黑体" w:cs="黑体"/>
        </w:rPr>
        <w:t>Ⅰ  主控项目</w:t>
      </w:r>
    </w:p>
    <w:p w14:paraId="0520273C">
      <w:pPr>
        <w:spacing w:line="480" w:lineRule="exact"/>
        <w:rPr>
          <w:rFonts w:ascii="宋体" w:hAnsi="宋体" w:cs="宋体"/>
        </w:rPr>
      </w:pPr>
      <w:r>
        <w:rPr>
          <w:rFonts w:ascii="宋体" w:hAnsi="宋体" w:cs="宋体"/>
        </w:rPr>
        <w:t>7</w:t>
      </w:r>
      <w:r>
        <w:rPr>
          <w:rFonts w:hint="eastAsia" w:ascii="宋体" w:hAnsi="宋体" w:cs="宋体"/>
        </w:rPr>
        <w:t>.4.1  排水系统应符合设计要求。</w:t>
      </w:r>
    </w:p>
    <w:p w14:paraId="2287EBB0">
      <w:pPr>
        <w:spacing w:line="480" w:lineRule="exact"/>
        <w:rPr>
          <w:rFonts w:ascii="宋体" w:hAnsi="宋体" w:cs="宋体"/>
        </w:rPr>
      </w:pPr>
      <w:r>
        <w:rPr>
          <w:rFonts w:hint="eastAsia" w:ascii="宋体" w:hAnsi="宋体" w:cs="宋体"/>
        </w:rPr>
        <w:t>检验方法：观察检查。</w:t>
      </w:r>
    </w:p>
    <w:p w14:paraId="783E0E8D">
      <w:pPr>
        <w:spacing w:line="480" w:lineRule="exact"/>
        <w:rPr>
          <w:rFonts w:ascii="宋体" w:hAnsi="宋体" w:cs="宋体"/>
        </w:rPr>
      </w:pPr>
      <w:r>
        <w:rPr>
          <w:rFonts w:ascii="宋体" w:hAnsi="宋体" w:cs="宋体"/>
        </w:rPr>
        <w:t>7</w:t>
      </w:r>
      <w:r>
        <w:rPr>
          <w:rFonts w:hint="eastAsia" w:ascii="宋体" w:hAnsi="宋体" w:cs="宋体"/>
        </w:rPr>
        <w:t>.4.2  排水管道应畅通，水落口、观察井不得堵塞。</w:t>
      </w:r>
    </w:p>
    <w:p w14:paraId="190DB351">
      <w:pPr>
        <w:spacing w:line="480" w:lineRule="exact"/>
        <w:rPr>
          <w:rFonts w:ascii="宋体" w:hAnsi="宋体" w:cs="宋体"/>
        </w:rPr>
      </w:pPr>
      <w:r>
        <w:rPr>
          <w:rFonts w:hint="eastAsia" w:ascii="宋体" w:hAnsi="宋体" w:cs="宋体"/>
        </w:rPr>
        <w:t>检验方法：通球试验、闭水试验和观察检查。</w:t>
      </w:r>
    </w:p>
    <w:p w14:paraId="63E3B6A2">
      <w:pPr>
        <w:spacing w:line="480" w:lineRule="exact"/>
        <w:rPr>
          <w:rFonts w:ascii="宋体" w:hAnsi="宋体" w:cs="宋体"/>
        </w:rPr>
      </w:pPr>
      <w:r>
        <w:rPr>
          <w:rFonts w:ascii="宋体" w:hAnsi="宋体" w:cs="宋体"/>
        </w:rPr>
        <w:t>7</w:t>
      </w:r>
      <w:r>
        <w:rPr>
          <w:rFonts w:hint="eastAsia" w:ascii="宋体" w:hAnsi="宋体" w:cs="宋体"/>
        </w:rPr>
        <w:t>.4.3  排（蓄）水层材料、复合一体化塑料排水板及配件的质量应符合设计要求。</w:t>
      </w:r>
    </w:p>
    <w:p w14:paraId="30633636">
      <w:pPr>
        <w:spacing w:line="480" w:lineRule="exact"/>
        <w:rPr>
          <w:rFonts w:ascii="宋体" w:hAnsi="宋体" w:cs="宋体"/>
        </w:rPr>
      </w:pPr>
      <w:r>
        <w:rPr>
          <w:rFonts w:hint="eastAsia" w:ascii="宋体" w:hAnsi="宋体" w:cs="宋体"/>
        </w:rPr>
        <w:t>检验方法：检查出厂合格证、质量检验报告和进场检验报告。</w:t>
      </w:r>
    </w:p>
    <w:p w14:paraId="05D069EB">
      <w:pPr>
        <w:spacing w:line="480" w:lineRule="exact"/>
        <w:rPr>
          <w:rFonts w:ascii="宋体" w:hAnsi="宋体" w:cs="宋体"/>
        </w:rPr>
      </w:pPr>
      <w:r>
        <w:rPr>
          <w:rFonts w:ascii="宋体" w:hAnsi="宋体" w:cs="宋体"/>
        </w:rPr>
        <w:t>7</w:t>
      </w:r>
      <w:r>
        <w:rPr>
          <w:rFonts w:hint="eastAsia" w:ascii="宋体" w:hAnsi="宋体" w:cs="宋体"/>
        </w:rPr>
        <w:t>.4.4  排（蓄）水层、复合一体化塑料排水板及配件材料的厚度、单位面积质量和搭接宽度应符合设计要求。</w:t>
      </w:r>
    </w:p>
    <w:p w14:paraId="3C583B3A">
      <w:pPr>
        <w:spacing w:line="480" w:lineRule="exact"/>
        <w:rPr>
          <w:rFonts w:ascii="宋体" w:hAnsi="宋体" w:cs="宋体"/>
        </w:rPr>
      </w:pPr>
      <w:r>
        <w:rPr>
          <w:rFonts w:hint="eastAsia" w:ascii="宋体" w:hAnsi="宋体" w:cs="宋体"/>
        </w:rPr>
        <w:t>检验方法：尺量检查和称量检查。</w:t>
      </w:r>
    </w:p>
    <w:p w14:paraId="2F0A5891">
      <w:pPr>
        <w:spacing w:line="480" w:lineRule="exact"/>
        <w:jc w:val="center"/>
        <w:rPr>
          <w:rFonts w:ascii="黑体" w:hAnsi="黑体" w:eastAsia="黑体" w:cs="黑体"/>
        </w:rPr>
      </w:pPr>
      <w:r>
        <w:rPr>
          <w:rFonts w:hint="eastAsia" w:ascii="黑体" w:hAnsi="黑体" w:eastAsia="黑体" w:cs="黑体"/>
        </w:rPr>
        <w:t>Ⅱ  一般项目</w:t>
      </w:r>
    </w:p>
    <w:p w14:paraId="5FE8BE78">
      <w:pPr>
        <w:spacing w:line="480" w:lineRule="exact"/>
        <w:rPr>
          <w:rFonts w:ascii="宋体" w:hAnsi="宋体" w:cs="宋体"/>
        </w:rPr>
      </w:pPr>
      <w:r>
        <w:rPr>
          <w:rFonts w:ascii="宋体" w:hAnsi="宋体" w:cs="宋体"/>
        </w:rPr>
        <w:t>7</w:t>
      </w:r>
      <w:r>
        <w:rPr>
          <w:rFonts w:hint="eastAsia" w:ascii="宋体" w:hAnsi="宋体" w:cs="宋体"/>
        </w:rPr>
        <w:t>.4.5  排水层应与排水系统连通，保证排水畅通。</w:t>
      </w:r>
    </w:p>
    <w:p w14:paraId="223BFF3E">
      <w:pPr>
        <w:spacing w:line="480" w:lineRule="exact"/>
        <w:rPr>
          <w:rFonts w:ascii="宋体" w:hAnsi="宋体" w:cs="宋体"/>
        </w:rPr>
      </w:pPr>
      <w:r>
        <w:rPr>
          <w:rFonts w:hint="eastAsia" w:ascii="宋体" w:hAnsi="宋体" w:cs="宋体"/>
        </w:rPr>
        <w:t>检验方法：观察检查。</w:t>
      </w:r>
    </w:p>
    <w:p w14:paraId="02280A37">
      <w:pPr>
        <w:spacing w:line="480" w:lineRule="exact"/>
        <w:rPr>
          <w:rFonts w:ascii="宋体" w:hAnsi="宋体" w:cs="宋体"/>
        </w:rPr>
      </w:pPr>
      <w:r>
        <w:rPr>
          <w:rFonts w:ascii="宋体" w:hAnsi="宋体" w:cs="宋体"/>
        </w:rPr>
        <w:t>7</w:t>
      </w:r>
      <w:r>
        <w:rPr>
          <w:rFonts w:hint="eastAsia" w:ascii="宋体" w:hAnsi="宋体" w:cs="宋体"/>
        </w:rPr>
        <w:t>.4.6  排水层应铺设平整、接缝符合设计要求，其搭接宽度的允许偏差应为±30mm。</w:t>
      </w:r>
    </w:p>
    <w:p w14:paraId="14797AED">
      <w:pPr>
        <w:spacing w:line="480" w:lineRule="exact"/>
        <w:rPr>
          <w:rFonts w:ascii="宋体" w:hAnsi="宋体" w:cs="宋体"/>
        </w:rPr>
      </w:pPr>
      <w:r>
        <w:rPr>
          <w:rFonts w:hint="eastAsia" w:ascii="宋体" w:hAnsi="宋体" w:cs="宋体"/>
        </w:rPr>
        <w:t>检验方法：观察和尺量检查。</w:t>
      </w:r>
    </w:p>
    <w:p w14:paraId="4CBD1395">
      <w:pPr>
        <w:spacing w:line="480" w:lineRule="exact"/>
        <w:jc w:val="center"/>
        <w:outlineLvl w:val="1"/>
        <w:rPr>
          <w:rFonts w:ascii="黑体" w:hAnsi="黑体" w:eastAsia="黑体" w:cs="黑体"/>
        </w:rPr>
      </w:pPr>
      <w:bookmarkStart w:id="79" w:name="_Toc945"/>
      <w:r>
        <w:rPr>
          <w:rFonts w:ascii="黑体" w:hAnsi="黑体" w:eastAsia="黑体" w:cs="黑体"/>
        </w:rPr>
        <w:t>7</w:t>
      </w:r>
      <w:r>
        <w:rPr>
          <w:rFonts w:hint="eastAsia" w:ascii="黑体" w:hAnsi="黑体" w:eastAsia="黑体" w:cs="黑体"/>
        </w:rPr>
        <w:t>.5  细部构造</w:t>
      </w:r>
      <w:bookmarkEnd w:id="79"/>
    </w:p>
    <w:p w14:paraId="69CED44A">
      <w:pPr>
        <w:spacing w:line="480" w:lineRule="exact"/>
        <w:jc w:val="center"/>
        <w:rPr>
          <w:rFonts w:ascii="黑体" w:hAnsi="黑体" w:eastAsia="黑体" w:cs="黑体"/>
        </w:rPr>
      </w:pPr>
      <w:r>
        <w:rPr>
          <w:rFonts w:hint="eastAsia" w:ascii="黑体" w:hAnsi="黑体" w:eastAsia="黑体" w:cs="黑体"/>
        </w:rPr>
        <w:t>主控项目</w:t>
      </w:r>
    </w:p>
    <w:p w14:paraId="29EFE7DD">
      <w:pPr>
        <w:spacing w:line="480" w:lineRule="exact"/>
        <w:rPr>
          <w:rFonts w:ascii="宋体" w:hAnsi="宋体" w:cs="宋体"/>
        </w:rPr>
      </w:pPr>
      <w:r>
        <w:rPr>
          <w:rFonts w:ascii="宋体" w:hAnsi="宋体" w:cs="宋体"/>
        </w:rPr>
        <w:t>7</w:t>
      </w:r>
      <w:r>
        <w:rPr>
          <w:rFonts w:hint="eastAsia" w:ascii="宋体" w:hAnsi="宋体" w:cs="宋体"/>
        </w:rPr>
        <w:t>.5.1  天沟、檐沟的排水坡度应符合设计要求。</w:t>
      </w:r>
    </w:p>
    <w:p w14:paraId="67D9CE0B">
      <w:pPr>
        <w:spacing w:line="480" w:lineRule="exact"/>
        <w:rPr>
          <w:rFonts w:ascii="宋体" w:hAnsi="宋体" w:cs="宋体"/>
        </w:rPr>
      </w:pPr>
      <w:r>
        <w:rPr>
          <w:rFonts w:hint="eastAsia" w:ascii="宋体" w:hAnsi="宋体" w:cs="宋体"/>
        </w:rPr>
        <w:t>检验方法：用水平仪（尺）、拉线和尺量检查。</w:t>
      </w:r>
    </w:p>
    <w:p w14:paraId="0B6B327E">
      <w:pPr>
        <w:spacing w:line="480" w:lineRule="exact"/>
        <w:rPr>
          <w:rFonts w:ascii="宋体" w:hAnsi="宋体" w:cs="宋体"/>
        </w:rPr>
      </w:pPr>
      <w:r>
        <w:rPr>
          <w:rFonts w:ascii="宋体" w:hAnsi="宋体" w:cs="宋体"/>
        </w:rPr>
        <w:t>7</w:t>
      </w:r>
      <w:r>
        <w:rPr>
          <w:rFonts w:hint="eastAsia" w:ascii="宋体" w:hAnsi="宋体" w:cs="宋体"/>
        </w:rPr>
        <w:t>.5.2  天沟、檐沟、檐口、水落口、泛水、变形缝和穿出屋面设施的细部构造应符合设计要求。</w:t>
      </w:r>
    </w:p>
    <w:p w14:paraId="33D56562">
      <w:pPr>
        <w:spacing w:line="480" w:lineRule="exact"/>
        <w:rPr>
          <w:rFonts w:ascii="宋体" w:hAnsi="宋体" w:cs="宋体"/>
        </w:rPr>
      </w:pPr>
      <w:r>
        <w:rPr>
          <w:rFonts w:hint="eastAsia" w:ascii="宋体" w:hAnsi="宋体" w:cs="宋体"/>
        </w:rPr>
        <w:t>检验方法：观察检查、尺量检查和检查隐蔽工程验收记录。</w:t>
      </w:r>
    </w:p>
    <w:p w14:paraId="00CB9153">
      <w:pPr>
        <w:spacing w:line="480" w:lineRule="exact"/>
        <w:jc w:val="center"/>
        <w:outlineLvl w:val="1"/>
        <w:rPr>
          <w:rFonts w:ascii="黑体" w:hAnsi="黑体" w:eastAsia="黑体" w:cs="黑体"/>
        </w:rPr>
      </w:pPr>
      <w:bookmarkStart w:id="80" w:name="_Toc5891"/>
      <w:r>
        <w:rPr>
          <w:rFonts w:hint="eastAsia" w:ascii="黑体" w:hAnsi="黑体" w:eastAsia="黑体" w:cs="黑体"/>
        </w:rPr>
        <w:t xml:space="preserve">7.6 </w:t>
      </w:r>
      <w:r>
        <w:rPr>
          <w:rFonts w:ascii="黑体" w:hAnsi="黑体" w:eastAsia="黑体" w:cs="黑体"/>
        </w:rPr>
        <w:t xml:space="preserve"> 种植（回填）土</w:t>
      </w:r>
      <w:r>
        <w:rPr>
          <w:rFonts w:hint="eastAsia" w:ascii="黑体" w:hAnsi="黑体" w:eastAsia="黑体" w:cs="黑体"/>
        </w:rPr>
        <w:t>验收</w:t>
      </w:r>
      <w:bookmarkEnd w:id="80"/>
    </w:p>
    <w:p w14:paraId="160597B2">
      <w:pPr>
        <w:spacing w:line="360" w:lineRule="auto"/>
        <w:jc w:val="left"/>
      </w:pPr>
      <w:r>
        <w:rPr>
          <w:rFonts w:hint="eastAsia"/>
        </w:rPr>
        <w:t>7.6.1</w:t>
      </w:r>
      <w:r>
        <w:t xml:space="preserve">  </w:t>
      </w:r>
      <w:r>
        <w:rPr>
          <w:rFonts w:hint="eastAsia"/>
        </w:rPr>
        <w:t>种植土层和植被层均应按其规格、质量进行检测、验收。回填土密实度、稳定性和承载能力进行检测、验收。</w:t>
      </w:r>
    </w:p>
    <w:p w14:paraId="417E6C06">
      <w:pPr>
        <w:spacing w:line="360" w:lineRule="auto"/>
        <w:jc w:val="left"/>
      </w:pPr>
      <w:r>
        <w:t>7.6.</w:t>
      </w:r>
      <w:r>
        <w:rPr>
          <w:rFonts w:hint="eastAsia"/>
        </w:rPr>
        <w:t>2</w:t>
      </w:r>
      <w:r>
        <w:t xml:space="preserve">  地形整理应符合竖向设计要求。</w:t>
      </w:r>
    </w:p>
    <w:p w14:paraId="3C368469">
      <w:pPr>
        <w:spacing w:line="360" w:lineRule="auto"/>
        <w:ind w:firstLine="420" w:firstLineChars="200"/>
        <w:jc w:val="left"/>
      </w:pPr>
      <w:r>
        <w:rPr>
          <w:rFonts w:hint="eastAsia"/>
        </w:rPr>
        <w:t>检验方法：</w:t>
      </w:r>
      <w:r>
        <w:t>观察检查。</w:t>
      </w:r>
    </w:p>
    <w:p w14:paraId="6B53A22A">
      <w:pPr>
        <w:spacing w:line="360" w:lineRule="auto"/>
        <w:jc w:val="left"/>
      </w:pPr>
      <w:r>
        <w:t>7.6.</w:t>
      </w:r>
      <w:r>
        <w:rPr>
          <w:rFonts w:hint="eastAsia"/>
        </w:rPr>
        <w:t>3</w:t>
      </w:r>
      <w:r>
        <w:t xml:space="preserve">  种植土的质量应符合设计要求</w:t>
      </w:r>
      <w:r>
        <w:rPr>
          <w:rFonts w:hint="eastAsia"/>
        </w:rPr>
        <w:t>。</w:t>
      </w:r>
    </w:p>
    <w:p w14:paraId="33F1606C">
      <w:pPr>
        <w:spacing w:line="360" w:lineRule="auto"/>
        <w:ind w:firstLine="420" w:firstLineChars="200"/>
        <w:jc w:val="left"/>
      </w:pPr>
      <w:r>
        <w:rPr>
          <w:rFonts w:hint="eastAsia"/>
        </w:rPr>
        <w:t>检验方法：</w:t>
      </w:r>
      <w:r>
        <w:t>检查出厂合格证、质量检验报告和进场检验报告。</w:t>
      </w:r>
    </w:p>
    <w:p w14:paraId="56A1B23F">
      <w:pPr>
        <w:spacing w:line="360" w:lineRule="auto"/>
        <w:jc w:val="left"/>
      </w:pPr>
      <w:r>
        <w:t>7.6.</w:t>
      </w:r>
      <w:r>
        <w:rPr>
          <w:rFonts w:hint="eastAsia"/>
        </w:rPr>
        <w:t>4</w:t>
      </w:r>
      <w:r>
        <w:t xml:space="preserve">  种植土的厚度、密度应符合设计要求</w:t>
      </w:r>
    </w:p>
    <w:p w14:paraId="7142C832">
      <w:pPr>
        <w:spacing w:line="360" w:lineRule="auto"/>
        <w:ind w:firstLine="420" w:firstLineChars="200"/>
        <w:jc w:val="left"/>
      </w:pPr>
      <w:r>
        <w:t>检验方法</w:t>
      </w:r>
      <w:r>
        <w:rPr>
          <w:rFonts w:hint="eastAsia"/>
        </w:rPr>
        <w:t>：</w:t>
      </w:r>
      <w:r>
        <w:t>尺量检查、环刀和称量检查。</w:t>
      </w:r>
    </w:p>
    <w:p w14:paraId="0A93ABD2">
      <w:pPr>
        <w:spacing w:line="360" w:lineRule="auto"/>
        <w:jc w:val="left"/>
      </w:pPr>
      <w:r>
        <w:t>7.6.</w:t>
      </w:r>
      <w:r>
        <w:rPr>
          <w:rFonts w:hint="eastAsia"/>
        </w:rPr>
        <w:t>5</w:t>
      </w:r>
      <w:r>
        <w:t xml:space="preserve">  种植土的pH值应符合设计要求。</w:t>
      </w:r>
    </w:p>
    <w:p w14:paraId="768A611C">
      <w:pPr>
        <w:spacing w:line="360" w:lineRule="auto"/>
        <w:ind w:firstLine="420" w:firstLineChars="200"/>
        <w:jc w:val="left"/>
      </w:pPr>
      <w:r>
        <w:rPr>
          <w:rFonts w:hint="eastAsia"/>
        </w:rPr>
        <w:t>检验方法：</w:t>
      </w:r>
      <w:r>
        <w:t>用便携式pH计检查。</w:t>
      </w:r>
    </w:p>
    <w:p w14:paraId="366C4A7A">
      <w:pPr>
        <w:spacing w:line="360" w:lineRule="auto"/>
        <w:jc w:val="left"/>
      </w:pPr>
      <w:r>
        <w:t>7.6.</w:t>
      </w:r>
      <w:r>
        <w:rPr>
          <w:rFonts w:hint="eastAsia"/>
        </w:rPr>
        <w:t>6</w:t>
      </w:r>
      <w:r>
        <w:t xml:space="preserve">  有机肥料应充分腐熟。</w:t>
      </w:r>
    </w:p>
    <w:p w14:paraId="4FEAFF9D">
      <w:pPr>
        <w:spacing w:line="360" w:lineRule="auto"/>
        <w:ind w:firstLine="420" w:firstLineChars="200"/>
        <w:jc w:val="left"/>
      </w:pPr>
      <w:r>
        <w:rPr>
          <w:rFonts w:hint="eastAsia"/>
        </w:rPr>
        <w:t>检验方法：</w:t>
      </w:r>
      <w:r>
        <w:t>检查出厂合格证、质量检验报告和进场检验</w:t>
      </w:r>
      <w:r>
        <w:rPr>
          <w:rFonts w:hint="eastAsia"/>
        </w:rPr>
        <w:t>报告。</w:t>
      </w:r>
    </w:p>
    <w:p w14:paraId="5275364B">
      <w:pPr>
        <w:spacing w:line="360" w:lineRule="auto"/>
        <w:jc w:val="left"/>
      </w:pPr>
      <w:r>
        <w:rPr>
          <w:rFonts w:hint="eastAsia"/>
        </w:rPr>
        <w:t xml:space="preserve">7.6.7 </w:t>
      </w:r>
      <w:r>
        <w:t xml:space="preserve"> </w:t>
      </w:r>
      <w:r>
        <w:rPr>
          <w:rFonts w:hint="eastAsia"/>
        </w:rPr>
        <w:t>回填土最大颗粒径不得大于车库顶板下的最小间隙宽度的</w:t>
      </w:r>
      <w:r>
        <w:t>1/2</w:t>
      </w:r>
      <w:r>
        <w:rPr>
          <w:rFonts w:hint="eastAsia"/>
        </w:rPr>
        <w:t>。</w:t>
      </w:r>
    </w:p>
    <w:p w14:paraId="5EDFBE09">
      <w:pPr>
        <w:spacing w:line="360" w:lineRule="auto"/>
        <w:ind w:firstLine="420" w:firstLineChars="200"/>
        <w:jc w:val="left"/>
      </w:pPr>
      <w:r>
        <w:rPr>
          <w:rFonts w:hint="eastAsia"/>
        </w:rPr>
        <w:t>检验方法：</w:t>
      </w:r>
      <w:r>
        <w:t>观察检查。</w:t>
      </w:r>
    </w:p>
    <w:p w14:paraId="25B16AEE">
      <w:pPr>
        <w:pStyle w:val="11"/>
      </w:pPr>
    </w:p>
    <w:p w14:paraId="13C8F8D1">
      <w:pPr>
        <w:spacing w:line="480" w:lineRule="exact"/>
        <w:rPr>
          <w:rFonts w:ascii="宋体" w:hAnsi="宋体" w:cs="宋体"/>
        </w:rPr>
      </w:pPr>
      <w:r>
        <w:rPr>
          <w:rFonts w:hint="eastAsia" w:ascii="宋体" w:hAnsi="宋体" w:cs="宋体"/>
        </w:rPr>
        <w:br w:type="page"/>
      </w:r>
      <w:r>
        <w:rPr>
          <w:rFonts w:hint="eastAsia" w:ascii="宋体" w:hAnsi="宋体" w:cs="宋体"/>
        </w:rPr>
        <w:t xml:space="preserve">         </w:t>
      </w:r>
    </w:p>
    <w:p w14:paraId="0B7F4A00">
      <w:pPr>
        <w:pStyle w:val="6"/>
        <w:jc w:val="center"/>
        <w:outlineLvl w:val="0"/>
        <w:rPr>
          <w:rFonts w:ascii="黑体" w:hAnsi="黑体" w:eastAsia="黑体" w:cs="黑体"/>
          <w:sz w:val="32"/>
          <w:szCs w:val="40"/>
        </w:rPr>
      </w:pPr>
      <w:bookmarkStart w:id="81" w:name="_Toc13275"/>
      <w:r>
        <w:rPr>
          <w:rFonts w:hint="eastAsia" w:ascii="黑体" w:hAnsi="黑体" w:eastAsia="黑体" w:cs="黑体"/>
          <w:sz w:val="32"/>
          <w:szCs w:val="40"/>
        </w:rPr>
        <w:t>本规程用词说明</w:t>
      </w:r>
      <w:bookmarkEnd w:id="81"/>
    </w:p>
    <w:p w14:paraId="515F6DD5">
      <w:pPr>
        <w:spacing w:line="480" w:lineRule="exact"/>
        <w:rPr>
          <w:rFonts w:asciiTheme="minorEastAsia" w:hAnsiTheme="minorEastAsia" w:eastAsiaTheme="minorEastAsia" w:cstheme="minorEastAsia"/>
        </w:rPr>
      </w:pPr>
      <w:r>
        <w:rPr>
          <w:rFonts w:asciiTheme="minorEastAsia" w:hAnsiTheme="minorEastAsia" w:eastAsiaTheme="minorEastAsia" w:cstheme="minorEastAsia"/>
        </w:rPr>
        <w:t>1  为方便在执行本规程条文时区别对待，对要求严格程度不同的用词说明如下：</w:t>
      </w:r>
    </w:p>
    <w:p w14:paraId="15B81998">
      <w:pPr>
        <w:spacing w:line="480" w:lineRule="exact"/>
        <w:ind w:firstLine="420" w:firstLineChars="200"/>
        <w:rPr>
          <w:rFonts w:asciiTheme="minorEastAsia" w:hAnsiTheme="minorEastAsia" w:eastAsiaTheme="minorEastAsia" w:cstheme="minorEastAsia"/>
        </w:rPr>
      </w:pPr>
      <w:bookmarkStart w:id="82" w:name="_Toc17114"/>
      <w:bookmarkStart w:id="83" w:name="_Toc14709"/>
      <w:bookmarkStart w:id="84" w:name="_Toc30378"/>
      <w:r>
        <w:rPr>
          <w:rFonts w:asciiTheme="minorEastAsia" w:hAnsiTheme="minorEastAsia" w:eastAsiaTheme="minorEastAsia" w:cstheme="minorEastAsia"/>
        </w:rPr>
        <w:t>1）表示很严格，非这样做不可的用词：</w:t>
      </w:r>
      <w:bookmarkEnd w:id="82"/>
      <w:bookmarkEnd w:id="83"/>
      <w:bookmarkEnd w:id="84"/>
    </w:p>
    <w:p w14:paraId="2DE01CC9">
      <w:pPr>
        <w:spacing w:line="480" w:lineRule="exact"/>
        <w:ind w:firstLine="420" w:firstLineChars="200"/>
        <w:rPr>
          <w:rFonts w:asciiTheme="minorEastAsia" w:hAnsiTheme="minorEastAsia" w:eastAsiaTheme="minorEastAsia" w:cstheme="minorEastAsia"/>
        </w:rPr>
      </w:pPr>
      <w:r>
        <w:rPr>
          <w:rFonts w:asciiTheme="minorEastAsia" w:hAnsiTheme="minorEastAsia" w:eastAsiaTheme="minorEastAsia" w:cstheme="minorEastAsia"/>
        </w:rPr>
        <w:t>正面词采用“必须”， 反面词采用“严禁”。</w:t>
      </w:r>
    </w:p>
    <w:p w14:paraId="2B31AE98">
      <w:pPr>
        <w:spacing w:line="480" w:lineRule="exact"/>
        <w:ind w:firstLine="420" w:firstLineChars="200"/>
        <w:rPr>
          <w:rFonts w:asciiTheme="minorEastAsia" w:hAnsiTheme="minorEastAsia" w:eastAsiaTheme="minorEastAsia" w:cstheme="minorEastAsia"/>
        </w:rPr>
      </w:pPr>
      <w:bookmarkStart w:id="85" w:name="_Toc25985"/>
      <w:bookmarkStart w:id="86" w:name="_Toc13481"/>
      <w:bookmarkStart w:id="87" w:name="_Toc22134"/>
      <w:r>
        <w:rPr>
          <w:rFonts w:asciiTheme="minorEastAsia" w:hAnsiTheme="minorEastAsia" w:eastAsiaTheme="minorEastAsia" w:cstheme="minorEastAsia"/>
        </w:rPr>
        <w:t>2）表示严格，在正常情况下均应这样做的用词：</w:t>
      </w:r>
      <w:bookmarkEnd w:id="85"/>
      <w:bookmarkEnd w:id="86"/>
      <w:bookmarkEnd w:id="87"/>
    </w:p>
    <w:p w14:paraId="50C4FE40">
      <w:pPr>
        <w:spacing w:line="480" w:lineRule="exact"/>
        <w:ind w:firstLine="420" w:firstLineChars="200"/>
        <w:rPr>
          <w:rFonts w:asciiTheme="minorEastAsia" w:hAnsiTheme="minorEastAsia" w:eastAsiaTheme="minorEastAsia" w:cstheme="minorEastAsia"/>
        </w:rPr>
      </w:pPr>
      <w:r>
        <w:rPr>
          <w:rFonts w:asciiTheme="minorEastAsia" w:hAnsiTheme="minorEastAsia" w:eastAsiaTheme="minorEastAsia" w:cstheme="minorEastAsia"/>
        </w:rPr>
        <w:t>正面词采用“应”， 反面词采用“不应”或“不得”。</w:t>
      </w:r>
    </w:p>
    <w:p w14:paraId="573EC20B">
      <w:pPr>
        <w:spacing w:line="480" w:lineRule="exact"/>
        <w:ind w:firstLine="420" w:firstLineChars="200"/>
        <w:rPr>
          <w:rFonts w:asciiTheme="minorEastAsia" w:hAnsiTheme="minorEastAsia" w:eastAsiaTheme="minorEastAsia" w:cstheme="minorEastAsia"/>
        </w:rPr>
      </w:pPr>
      <w:bookmarkStart w:id="88" w:name="_Toc14495"/>
      <w:bookmarkStart w:id="89" w:name="_Toc21354"/>
      <w:bookmarkStart w:id="90" w:name="_Toc18156"/>
      <w:r>
        <w:rPr>
          <w:rFonts w:asciiTheme="minorEastAsia" w:hAnsiTheme="minorEastAsia" w:eastAsiaTheme="minorEastAsia" w:cstheme="minorEastAsia"/>
        </w:rPr>
        <w:t>3）表示允许稍有选择，在条件许可时首先应这样做的用词：</w:t>
      </w:r>
      <w:bookmarkEnd w:id="88"/>
      <w:bookmarkEnd w:id="89"/>
      <w:bookmarkEnd w:id="90"/>
    </w:p>
    <w:p w14:paraId="6166664F">
      <w:pPr>
        <w:spacing w:line="480" w:lineRule="exact"/>
        <w:ind w:firstLine="420" w:firstLineChars="200"/>
        <w:rPr>
          <w:rFonts w:asciiTheme="minorEastAsia" w:hAnsiTheme="minorEastAsia" w:eastAsiaTheme="minorEastAsia" w:cstheme="minorEastAsia"/>
        </w:rPr>
      </w:pPr>
      <w:r>
        <w:rPr>
          <w:rFonts w:asciiTheme="minorEastAsia" w:hAnsiTheme="minorEastAsia" w:eastAsiaTheme="minorEastAsia" w:cstheme="minorEastAsia"/>
        </w:rPr>
        <w:t>正面词采用“宜”， 反面词采用“不宜”。</w:t>
      </w:r>
    </w:p>
    <w:p w14:paraId="321860D1">
      <w:pPr>
        <w:spacing w:line="480" w:lineRule="exact"/>
        <w:ind w:firstLine="420" w:firstLineChars="200"/>
        <w:rPr>
          <w:rFonts w:asciiTheme="minorEastAsia" w:hAnsiTheme="minorEastAsia" w:eastAsiaTheme="minorEastAsia" w:cstheme="minorEastAsia"/>
        </w:rPr>
      </w:pPr>
      <w:bookmarkStart w:id="91" w:name="_Toc19780"/>
      <w:bookmarkStart w:id="92" w:name="_Toc21815"/>
      <w:bookmarkStart w:id="93" w:name="_Toc9395"/>
      <w:r>
        <w:rPr>
          <w:rFonts w:asciiTheme="minorEastAsia" w:hAnsiTheme="minorEastAsia" w:eastAsiaTheme="minorEastAsia" w:cstheme="minorEastAsia"/>
        </w:rPr>
        <w:t>4）表示有选择，在一定条件下可以这样做的用词，采用“可”。</w:t>
      </w:r>
      <w:bookmarkEnd w:id="91"/>
      <w:bookmarkEnd w:id="92"/>
      <w:bookmarkEnd w:id="93"/>
    </w:p>
    <w:p w14:paraId="414A11E3">
      <w:pPr>
        <w:spacing w:line="480" w:lineRule="exact"/>
        <w:rPr>
          <w:rFonts w:asciiTheme="minorEastAsia" w:hAnsiTheme="minorEastAsia" w:eastAsiaTheme="minorEastAsia" w:cstheme="minorEastAsia"/>
        </w:rPr>
      </w:pPr>
      <w:r>
        <w:rPr>
          <w:rFonts w:asciiTheme="minorEastAsia" w:hAnsiTheme="minorEastAsia" w:eastAsiaTheme="minorEastAsia" w:cstheme="minorEastAsia"/>
        </w:rPr>
        <w:t>2  本规程中指明应按其他有关标准执行的写法为：“应符合……的规定” 或“应按……执行”。</w:t>
      </w:r>
    </w:p>
    <w:p w14:paraId="36969131">
      <w:pPr>
        <w:pStyle w:val="6"/>
        <w:rPr>
          <w:rFonts w:asciiTheme="minorEastAsia" w:hAnsiTheme="minorEastAsia" w:eastAsiaTheme="minorEastAsia" w:cstheme="minorEastAsia"/>
        </w:rPr>
      </w:pPr>
    </w:p>
    <w:p w14:paraId="2614512E">
      <w:pPr>
        <w:pStyle w:val="6"/>
        <w:spacing w:line="480" w:lineRule="exact"/>
        <w:rPr>
          <w:rFonts w:asciiTheme="minorEastAsia" w:hAnsiTheme="minorEastAsia" w:eastAsiaTheme="minorEastAsia" w:cstheme="minorEastAsia"/>
          <w:highlight w:val="yellow"/>
        </w:rPr>
        <w:sectPr>
          <w:pgSz w:w="11906" w:h="16838"/>
          <w:pgMar w:top="1440" w:right="1800" w:bottom="1440" w:left="1800" w:header="851" w:footer="992" w:gutter="0"/>
          <w:pgNumType w:fmt="decimal"/>
          <w:cols w:space="425" w:num="1"/>
          <w:docGrid w:type="lines" w:linePitch="312" w:charSpace="0"/>
        </w:sectPr>
      </w:pPr>
    </w:p>
    <w:p w14:paraId="73B4B5B4">
      <w:pPr>
        <w:pStyle w:val="6"/>
        <w:jc w:val="center"/>
        <w:outlineLvl w:val="0"/>
        <w:rPr>
          <w:rFonts w:ascii="黑体" w:hAnsi="黑体" w:eastAsia="黑体" w:cs="黑体"/>
          <w:sz w:val="32"/>
          <w:szCs w:val="40"/>
        </w:rPr>
      </w:pPr>
      <w:bookmarkStart w:id="94" w:name="_Toc17047"/>
      <w:r>
        <w:rPr>
          <w:rFonts w:hint="eastAsia" w:ascii="黑体" w:hAnsi="黑体" w:eastAsia="黑体" w:cs="黑体"/>
          <w:sz w:val="32"/>
          <w:szCs w:val="40"/>
        </w:rPr>
        <w:t>引用标准名录</w:t>
      </w:r>
      <w:bookmarkEnd w:id="94"/>
    </w:p>
    <w:p w14:paraId="0524A8CD">
      <w:pPr>
        <w:pStyle w:val="6"/>
        <w:spacing w:line="480" w:lineRule="exact"/>
        <w:rPr>
          <w:rFonts w:asciiTheme="minorEastAsia" w:hAnsiTheme="minorEastAsia" w:eastAsiaTheme="minorEastAsia" w:cstheme="minorEastAsia"/>
        </w:rPr>
      </w:pPr>
      <w:r>
        <w:rPr>
          <w:rFonts w:hint="eastAsia" w:asciiTheme="minorEastAsia" w:hAnsiTheme="minorEastAsia" w:eastAsiaTheme="minorEastAsia" w:cstheme="minorEastAsia"/>
        </w:rPr>
        <w:t>1  《地下工程防水技术规范》  GB 50108—2008</w:t>
      </w:r>
    </w:p>
    <w:p w14:paraId="733FFDC7">
      <w:pPr>
        <w:pStyle w:val="6"/>
        <w:spacing w:line="480" w:lineRule="exact"/>
        <w:rPr>
          <w:rFonts w:asciiTheme="minorEastAsia" w:hAnsiTheme="minorEastAsia" w:eastAsiaTheme="minorEastAsia" w:cstheme="minorEastAsia"/>
        </w:rPr>
      </w:pPr>
      <w:r>
        <w:rPr>
          <w:rFonts w:hint="eastAsia" w:asciiTheme="minorEastAsia" w:hAnsiTheme="minorEastAsia" w:eastAsiaTheme="minorEastAsia" w:cstheme="minorEastAsia"/>
        </w:rPr>
        <w:t>2  《屋面工程技术规范》  GB 50345—2012</w:t>
      </w:r>
    </w:p>
    <w:p w14:paraId="4B5B2C37">
      <w:pPr>
        <w:pStyle w:val="6"/>
        <w:spacing w:line="480" w:lineRule="exact"/>
        <w:rPr>
          <w:rFonts w:asciiTheme="minorEastAsia" w:hAnsiTheme="minorEastAsia" w:eastAsiaTheme="minorEastAsia" w:cstheme="minorEastAsia"/>
        </w:rPr>
      </w:pPr>
      <w:r>
        <w:rPr>
          <w:rFonts w:hint="eastAsia" w:asciiTheme="minorEastAsia" w:hAnsiTheme="minorEastAsia" w:eastAsiaTheme="minorEastAsia" w:cstheme="minorEastAsia"/>
        </w:rPr>
        <w:t>3  《地下防水工程质量验收规范》  GB 50208—2011</w:t>
      </w:r>
    </w:p>
    <w:p w14:paraId="4CF4F286">
      <w:pPr>
        <w:pStyle w:val="6"/>
        <w:spacing w:line="480" w:lineRule="exact"/>
        <w:outlineLvl w:val="0"/>
        <w:rPr>
          <w:rFonts w:asciiTheme="minorEastAsia" w:hAnsiTheme="minorEastAsia" w:eastAsiaTheme="minorEastAsia" w:cstheme="minorEastAsia"/>
        </w:rPr>
      </w:pPr>
      <w:bookmarkStart w:id="95" w:name="_Toc27016"/>
      <w:r>
        <w:rPr>
          <w:rFonts w:hint="eastAsia" w:asciiTheme="minorEastAsia" w:hAnsiTheme="minorEastAsia" w:eastAsiaTheme="minorEastAsia" w:cstheme="minorEastAsia"/>
        </w:rPr>
        <w:t>4  《屋面工程质量验收规范》  GB 50207—2012</w:t>
      </w:r>
      <w:bookmarkEnd w:id="95"/>
    </w:p>
    <w:p w14:paraId="0AF383E5">
      <w:pPr>
        <w:pStyle w:val="6"/>
        <w:spacing w:line="480" w:lineRule="exact"/>
        <w:rPr>
          <w:rFonts w:asciiTheme="minorEastAsia" w:hAnsiTheme="minorEastAsia" w:eastAsiaTheme="minorEastAsia" w:cstheme="minorEastAsia"/>
        </w:rPr>
      </w:pPr>
      <w:r>
        <w:rPr>
          <w:rFonts w:hint="eastAsia" w:asciiTheme="minorEastAsia" w:hAnsiTheme="minorEastAsia" w:eastAsiaTheme="minorEastAsia" w:cstheme="minorEastAsia"/>
        </w:rPr>
        <w:t>5  《建筑工程施工质量验收统一标准》  GB 50300—2013</w:t>
      </w:r>
    </w:p>
    <w:p w14:paraId="4A53637C">
      <w:pPr>
        <w:pStyle w:val="6"/>
        <w:spacing w:line="480" w:lineRule="exact"/>
        <w:rPr>
          <w:rFonts w:asciiTheme="minorEastAsia" w:hAnsiTheme="minorEastAsia" w:eastAsiaTheme="minorEastAsia" w:cstheme="minorEastAsia"/>
        </w:rPr>
      </w:pPr>
      <w:r>
        <w:rPr>
          <w:rFonts w:hint="eastAsia" w:asciiTheme="minorEastAsia" w:hAnsiTheme="minorEastAsia" w:eastAsiaTheme="minorEastAsia" w:cstheme="minorEastAsia"/>
        </w:rPr>
        <w:t>6  《建设工程施工现场消防安全技术规范》  GB 50720—2011</w:t>
      </w:r>
    </w:p>
    <w:p w14:paraId="1DE6AF93">
      <w:pPr>
        <w:pStyle w:val="6"/>
        <w:spacing w:line="480" w:lineRule="exact"/>
        <w:rPr>
          <w:rFonts w:asciiTheme="minorEastAsia" w:hAnsiTheme="minorEastAsia" w:eastAsiaTheme="minorEastAsia" w:cstheme="minorEastAsia"/>
        </w:rPr>
      </w:pPr>
      <w:r>
        <w:rPr>
          <w:rFonts w:hint="eastAsia" w:asciiTheme="minorEastAsia" w:hAnsiTheme="minorEastAsia" w:eastAsiaTheme="minorEastAsia" w:cstheme="minorEastAsia"/>
        </w:rPr>
        <w:t>7  《园林绿化工程施工及验收规范》  CJJ/T82—2012</w:t>
      </w:r>
    </w:p>
    <w:p w14:paraId="2E679B99">
      <w:pPr>
        <w:pStyle w:val="6"/>
        <w:spacing w:line="480" w:lineRule="exact"/>
        <w:outlineLvl w:val="0"/>
        <w:rPr>
          <w:rFonts w:asciiTheme="minorEastAsia" w:hAnsiTheme="minorEastAsia" w:eastAsiaTheme="minorEastAsia" w:cstheme="minorEastAsia"/>
        </w:rPr>
      </w:pPr>
      <w:bookmarkStart w:id="96" w:name="_Toc12920"/>
      <w:r>
        <w:rPr>
          <w:rFonts w:hint="eastAsia" w:asciiTheme="minorEastAsia" w:hAnsiTheme="minorEastAsia" w:eastAsiaTheme="minorEastAsia" w:cstheme="minorEastAsia"/>
        </w:rPr>
        <w:t>8  《种植屋面工程技术规程》  JGJ 155-2013</w:t>
      </w:r>
      <w:bookmarkEnd w:id="96"/>
      <w:r>
        <w:rPr>
          <w:rFonts w:hint="eastAsia" w:asciiTheme="minorEastAsia" w:hAnsiTheme="minorEastAsia" w:eastAsiaTheme="minorEastAsia" w:cstheme="minorEastAsia"/>
        </w:rPr>
        <w:t xml:space="preserve"> </w:t>
      </w:r>
    </w:p>
    <w:p w14:paraId="6F5260BC">
      <w:pPr>
        <w:pStyle w:val="6"/>
        <w:spacing w:line="480" w:lineRule="exact"/>
        <w:rPr>
          <w:rFonts w:asciiTheme="minorEastAsia" w:hAnsiTheme="minorEastAsia" w:eastAsiaTheme="minorEastAsia" w:cstheme="minorEastAsia"/>
        </w:rPr>
      </w:pPr>
      <w:r>
        <w:rPr>
          <w:rFonts w:hint="eastAsia" w:asciiTheme="minorEastAsia" w:hAnsiTheme="minorEastAsia" w:eastAsiaTheme="minorEastAsia" w:cstheme="minorEastAsia"/>
        </w:rPr>
        <w:t>9  《种植屋面用耐根穿刺防水卷材》  GB/T35468—2017</w:t>
      </w:r>
    </w:p>
    <w:p w14:paraId="7CDAB092">
      <w:pPr>
        <w:pStyle w:val="6"/>
        <w:spacing w:line="480" w:lineRule="exact"/>
        <w:rPr>
          <w:rFonts w:asciiTheme="minorEastAsia" w:hAnsiTheme="minorEastAsia" w:eastAsiaTheme="minorEastAsia" w:cstheme="minorEastAsia"/>
        </w:rPr>
      </w:pPr>
      <w:r>
        <w:rPr>
          <w:rFonts w:hint="eastAsia" w:asciiTheme="minorEastAsia" w:hAnsiTheme="minorEastAsia" w:eastAsiaTheme="minorEastAsia" w:cstheme="minorEastAsia"/>
        </w:rPr>
        <w:t>10  《单层防水卷材屋面工程技术规程》  JGJ/T 316—2013</w:t>
      </w:r>
    </w:p>
    <w:p w14:paraId="7C4ACA46">
      <w:pPr>
        <w:pStyle w:val="6"/>
        <w:spacing w:line="480" w:lineRule="exact"/>
        <w:rPr>
          <w:rFonts w:asciiTheme="minorEastAsia" w:hAnsiTheme="minorEastAsia" w:eastAsiaTheme="minorEastAsia" w:cstheme="minorEastAsia"/>
        </w:rPr>
      </w:pPr>
      <w:r>
        <w:rPr>
          <w:rFonts w:hint="eastAsia" w:asciiTheme="minorEastAsia" w:hAnsiTheme="minorEastAsia" w:eastAsiaTheme="minorEastAsia" w:cstheme="minorEastAsia"/>
        </w:rPr>
        <w:t>11  《高分子防水材料第1部分：片材》  GB 18173.1—2012</w:t>
      </w:r>
    </w:p>
    <w:p w14:paraId="73A9675A">
      <w:pPr>
        <w:pStyle w:val="6"/>
        <w:spacing w:line="480" w:lineRule="exact"/>
        <w:outlineLvl w:val="0"/>
        <w:rPr>
          <w:rFonts w:asciiTheme="minorEastAsia" w:hAnsiTheme="minorEastAsia" w:eastAsiaTheme="minorEastAsia" w:cstheme="minorEastAsia"/>
        </w:rPr>
      </w:pPr>
      <w:bookmarkStart w:id="97" w:name="_Toc14542"/>
      <w:r>
        <w:rPr>
          <w:rFonts w:hint="eastAsia" w:asciiTheme="minorEastAsia" w:hAnsiTheme="minorEastAsia" w:eastAsiaTheme="minorEastAsia" w:cstheme="minorEastAsia"/>
        </w:rPr>
        <w:t>12  《塑料防护排水板》  JC/T 2112—2012</w:t>
      </w:r>
      <w:bookmarkEnd w:id="97"/>
    </w:p>
    <w:p w14:paraId="4B204CFE">
      <w:pPr>
        <w:pStyle w:val="6"/>
        <w:spacing w:line="480" w:lineRule="exact"/>
        <w:rPr>
          <w:rFonts w:asciiTheme="minorEastAsia" w:hAnsiTheme="minorEastAsia" w:eastAsiaTheme="minorEastAsia" w:cstheme="minorEastAsia"/>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rPr>
        <w:t>13  《土工合成材料 聚乙烯土工膜》  GB/T 17643—2011</w:t>
      </w:r>
    </w:p>
    <w:p w14:paraId="32895A71">
      <w:pPr>
        <w:tabs>
          <w:tab w:val="left" w:pos="8280"/>
        </w:tabs>
        <w:adjustRightInd w:val="0"/>
        <w:snapToGrid w:val="0"/>
        <w:spacing w:before="312" w:beforeLines="100"/>
        <w:jc w:val="center"/>
        <w:rPr>
          <w:rFonts w:hint="eastAsia" w:ascii="Times New Roman" w:hAnsi="Times New Roman" w:cs="Times New Roman"/>
          <w:b/>
          <w:sz w:val="32"/>
          <w:szCs w:val="36"/>
          <w:lang w:val="en-US" w:eastAsia="zh-CN"/>
        </w:rPr>
      </w:pPr>
      <w:bookmarkStart w:id="98" w:name="_Toc29453"/>
    </w:p>
    <w:p w14:paraId="4629FF27">
      <w:pPr>
        <w:tabs>
          <w:tab w:val="left" w:pos="8280"/>
        </w:tabs>
        <w:adjustRightInd w:val="0"/>
        <w:snapToGrid w:val="0"/>
        <w:spacing w:before="312" w:beforeLines="100"/>
        <w:jc w:val="center"/>
        <w:rPr>
          <w:rFonts w:hint="eastAsia" w:ascii="Times New Roman" w:hAnsi="Times New Roman" w:cs="Times New Roman"/>
          <w:b/>
          <w:sz w:val="32"/>
          <w:szCs w:val="36"/>
          <w:lang w:val="en-US" w:eastAsia="zh-CN"/>
        </w:rPr>
      </w:pPr>
    </w:p>
    <w:p w14:paraId="149BE2B6">
      <w:pPr>
        <w:tabs>
          <w:tab w:val="left" w:pos="8280"/>
        </w:tabs>
        <w:adjustRightInd w:val="0"/>
        <w:snapToGrid w:val="0"/>
        <w:spacing w:before="312" w:beforeLines="100"/>
        <w:jc w:val="center"/>
        <w:rPr>
          <w:rFonts w:hint="eastAsia" w:ascii="Times New Roman" w:hAnsi="Times New Roman" w:cs="Times New Roman"/>
          <w:b/>
          <w:sz w:val="32"/>
          <w:szCs w:val="36"/>
          <w:lang w:val="en-US" w:eastAsia="zh-CN"/>
        </w:rPr>
      </w:pPr>
    </w:p>
    <w:p w14:paraId="5269AB0F">
      <w:pPr>
        <w:tabs>
          <w:tab w:val="left" w:pos="8280"/>
        </w:tabs>
        <w:adjustRightInd w:val="0"/>
        <w:snapToGrid w:val="0"/>
        <w:spacing w:before="312" w:beforeLines="100"/>
        <w:jc w:val="center"/>
        <w:rPr>
          <w:rFonts w:ascii="Times New Roman" w:hAnsi="Times New Roman" w:cs="Times New Roman"/>
          <w:b/>
          <w:kern w:val="0"/>
          <w:szCs w:val="28"/>
        </w:rPr>
      </w:pPr>
      <w:r>
        <w:rPr>
          <w:rFonts w:hint="eastAsia" w:ascii="Times New Roman" w:hAnsi="Times New Roman" w:cs="Times New Roman"/>
          <w:b/>
          <w:sz w:val="32"/>
          <w:szCs w:val="36"/>
          <w:lang w:val="en-US" w:eastAsia="zh-CN"/>
        </w:rPr>
        <w:t>中</w:t>
      </w:r>
      <w:r>
        <w:rPr>
          <w:rFonts w:ascii="Times New Roman" w:hAnsi="Times New Roman" w:cs="Times New Roman"/>
          <w:b/>
          <w:sz w:val="32"/>
          <w:szCs w:val="36"/>
        </w:rPr>
        <w:t>国工程建设标准化协会标准</w:t>
      </w:r>
    </w:p>
    <w:p w14:paraId="2914250C">
      <w:pPr>
        <w:tabs>
          <w:tab w:val="left" w:pos="8280"/>
        </w:tabs>
        <w:adjustRightInd w:val="0"/>
        <w:snapToGrid w:val="0"/>
        <w:spacing w:before="156" w:beforeLines="50" w:after="156" w:afterLines="50"/>
        <w:jc w:val="center"/>
        <w:rPr>
          <w:rFonts w:ascii="Times New Roman" w:hAnsi="Times New Roman" w:cs="Times New Roman"/>
          <w:kern w:val="0"/>
          <w:sz w:val="28"/>
          <w:szCs w:val="28"/>
        </w:rPr>
      </w:pPr>
    </w:p>
    <w:p w14:paraId="48518C85">
      <w:pPr>
        <w:pStyle w:val="13"/>
        <w:keepNext w:val="0"/>
        <w:keepLines w:val="0"/>
        <w:widowControl/>
        <w:suppressLineNumbers w:val="0"/>
        <w:spacing w:before="0" w:beforeAutospacing="0" w:after="0" w:afterAutospacing="0"/>
        <w:ind w:left="0" w:right="0" w:firstLine="0"/>
        <w:jc w:val="center"/>
        <w:rPr>
          <w:rFonts w:ascii="Times New Roman" w:hAnsi="Times New Roman" w:eastAsia="宋体" w:cs="Times New Roman"/>
          <w:b/>
          <w:sz w:val="48"/>
          <w:szCs w:val="44"/>
          <w:lang w:val="en-US" w:eastAsia="zh-CN"/>
        </w:rPr>
      </w:pPr>
      <w:r>
        <w:rPr>
          <w:rFonts w:ascii="Times New Roman" w:hAnsi="Times New Roman" w:eastAsia="宋体" w:cs="Times New Roman"/>
          <w:b/>
          <w:sz w:val="48"/>
          <w:szCs w:val="44"/>
          <w:lang w:val="en-US" w:eastAsia="zh-CN"/>
        </w:rPr>
        <w:t>种植屋面用防排水系统技术规程</w:t>
      </w:r>
    </w:p>
    <w:p w14:paraId="7BCDEABF">
      <w:pPr>
        <w:widowControl/>
        <w:adjustRightInd w:val="0"/>
        <w:snapToGrid w:val="0"/>
        <w:spacing w:before="312" w:beforeLines="100" w:after="156" w:afterLines="50" w:line="360" w:lineRule="auto"/>
        <w:jc w:val="center"/>
        <w:rPr>
          <w:rFonts w:ascii="Times New Roman" w:hAnsi="Times New Roman" w:cs="Times New Roman"/>
          <w:b/>
          <w:sz w:val="48"/>
          <w:szCs w:val="44"/>
        </w:rPr>
      </w:pPr>
    </w:p>
    <w:p w14:paraId="075435C0">
      <w:pPr>
        <w:widowControl/>
        <w:adjustRightInd w:val="0"/>
        <w:snapToGrid w:val="0"/>
        <w:spacing w:before="312" w:beforeLines="100" w:after="312" w:afterLines="100" w:line="360" w:lineRule="auto"/>
        <w:jc w:val="center"/>
        <w:rPr>
          <w:rFonts w:ascii="Times New Roman" w:hAnsi="Times New Roman" w:cs="Times New Roman"/>
          <w:b/>
          <w:bCs/>
          <w:spacing w:val="20"/>
          <w:sz w:val="28"/>
          <w:szCs w:val="32"/>
        </w:rPr>
      </w:pPr>
      <w:r>
        <w:rPr>
          <w:rFonts w:ascii="Times New Roman" w:hAnsi="Times New Roman" w:cs="Times New Roman"/>
          <w:b/>
          <w:bCs/>
          <w:spacing w:val="20"/>
          <w:sz w:val="28"/>
          <w:szCs w:val="32"/>
        </w:rPr>
        <w:t>T/CECS ×××－202×</w:t>
      </w:r>
    </w:p>
    <w:p w14:paraId="0919F6FF">
      <w:pPr>
        <w:rPr>
          <w:rFonts w:ascii="Times New Roman" w:hAnsi="Times New Roman" w:cs="Times New Roman"/>
          <w:sz w:val="30"/>
          <w:szCs w:val="30"/>
        </w:rPr>
      </w:pPr>
    </w:p>
    <w:p w14:paraId="38A2DB90">
      <w:pPr>
        <w:rPr>
          <w:rFonts w:ascii="Times New Roman" w:hAnsi="Times New Roman" w:cs="Times New Roman"/>
          <w:sz w:val="30"/>
          <w:szCs w:val="30"/>
        </w:rPr>
      </w:pPr>
    </w:p>
    <w:p w14:paraId="5D38E44C">
      <w:pPr>
        <w:pStyle w:val="2"/>
        <w:widowControl/>
        <w:tabs>
          <w:tab w:val="left" w:pos="0"/>
        </w:tabs>
        <w:spacing w:before="0" w:after="0" w:line="360" w:lineRule="auto"/>
        <w:ind w:right="2988" w:rightChars="1423" w:firstLine="3112" w:firstLineChars="775"/>
        <w:jc w:val="distribute"/>
        <w:rPr>
          <w:rFonts w:ascii="Times New Roman" w:hAnsi="Times New Roman" w:eastAsia="宋体" w:cs="Times New Roman"/>
          <w:bCs w:val="0"/>
          <w:sz w:val="40"/>
          <w:szCs w:val="20"/>
          <w:lang w:val="zh-CN"/>
        </w:rPr>
        <w:sectPr>
          <w:pgSz w:w="11906" w:h="16838"/>
          <w:pgMar w:top="1440" w:right="1800" w:bottom="1440" w:left="1800" w:header="851" w:footer="992" w:gutter="0"/>
          <w:pgNumType w:fmt="decimal"/>
          <w:cols w:space="425" w:num="1"/>
          <w:docGrid w:type="lines" w:linePitch="312" w:charSpace="0"/>
        </w:sectPr>
      </w:pPr>
      <w:bookmarkStart w:id="99" w:name="_Toc13518"/>
      <w:bookmarkStart w:id="100" w:name="_Toc2685"/>
      <w:bookmarkStart w:id="101" w:name="_Toc2592"/>
      <w:bookmarkStart w:id="102" w:name="_Toc26554"/>
      <w:bookmarkStart w:id="103" w:name="_Toc22497"/>
      <w:bookmarkStart w:id="104" w:name="_Toc23732"/>
      <w:bookmarkStart w:id="105" w:name="_Toc27848"/>
      <w:bookmarkStart w:id="106" w:name="_Toc2707"/>
      <w:bookmarkStart w:id="107" w:name="_Toc33285722"/>
      <w:bookmarkStart w:id="108" w:name="_Toc781"/>
      <w:bookmarkStart w:id="109" w:name="_Toc29682"/>
      <w:bookmarkStart w:id="110" w:name="_Toc4102"/>
      <w:bookmarkStart w:id="111" w:name="_Toc9092"/>
      <w:bookmarkStart w:id="112" w:name="_Toc25077"/>
      <w:bookmarkStart w:id="113" w:name="_Toc22311"/>
      <w:r>
        <w:rPr>
          <w:rFonts w:ascii="Times New Roman" w:hAnsi="Times New Roman" w:eastAsia="宋体" w:cs="Times New Roman"/>
          <w:bCs w:val="0"/>
          <w:sz w:val="40"/>
          <w:szCs w:val="20"/>
          <w:lang w:val="zh-CN"/>
        </w:rPr>
        <w:t>条文说明</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4508F177">
      <w:pPr>
        <w:jc w:val="center"/>
        <w:rPr>
          <w:b/>
          <w:bCs/>
          <w:sz w:val="28"/>
          <w:szCs w:val="28"/>
        </w:rPr>
      </w:pPr>
      <w:r>
        <w:rPr>
          <w:rFonts w:hint="eastAsia"/>
          <w:b/>
          <w:bCs/>
          <w:sz w:val="28"/>
          <w:szCs w:val="28"/>
        </w:rPr>
        <w:t>制定说明</w:t>
      </w:r>
    </w:p>
    <w:p w14:paraId="3A79BBE4">
      <w:pPr>
        <w:widowControl/>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本标准制定过程中</w:t>
      </w:r>
      <w:r>
        <w:rPr>
          <w:rFonts w:hint="eastAsia" w:ascii="Times New Roman" w:hAnsi="Times New Roman" w:cs="Times New Roman"/>
          <w:sz w:val="24"/>
          <w:szCs w:val="24"/>
        </w:rPr>
        <w:t>，</w:t>
      </w:r>
      <w:r>
        <w:rPr>
          <w:rFonts w:ascii="Times New Roman" w:hAnsi="Times New Roman" w:cs="Times New Roman"/>
          <w:sz w:val="24"/>
          <w:szCs w:val="24"/>
        </w:rPr>
        <w:t>编制组</w:t>
      </w:r>
      <w:r>
        <w:rPr>
          <w:rFonts w:hint="eastAsia" w:ascii="Times New Roman" w:hAnsi="Times New Roman" w:cs="Times New Roman"/>
          <w:sz w:val="24"/>
          <w:szCs w:val="24"/>
        </w:rPr>
        <w:t>对种植屋面用防排水系统</w:t>
      </w:r>
      <w:r>
        <w:rPr>
          <w:rFonts w:ascii="Times New Roman" w:hAnsi="Times New Roman" w:cs="Times New Roman"/>
          <w:sz w:val="24"/>
          <w:szCs w:val="24"/>
        </w:rPr>
        <w:t>进行了</w:t>
      </w:r>
      <w:r>
        <w:rPr>
          <w:rFonts w:hint="eastAsia" w:ascii="Times New Roman" w:hAnsi="Times New Roman" w:cs="Times New Roman"/>
          <w:sz w:val="24"/>
          <w:szCs w:val="24"/>
        </w:rPr>
        <w:t>广泛</w:t>
      </w:r>
      <w:r>
        <w:rPr>
          <w:rFonts w:ascii="Times New Roman" w:hAnsi="Times New Roman" w:cs="Times New Roman"/>
          <w:sz w:val="24"/>
          <w:szCs w:val="24"/>
        </w:rPr>
        <w:t>的调查研究</w:t>
      </w:r>
      <w:r>
        <w:rPr>
          <w:rFonts w:hint="eastAsia" w:ascii="Times New Roman" w:hAnsi="Times New Roman" w:cs="Times New Roman"/>
          <w:sz w:val="24"/>
          <w:szCs w:val="24"/>
        </w:rPr>
        <w:t>，</w:t>
      </w:r>
      <w:r>
        <w:rPr>
          <w:rFonts w:ascii="Times New Roman" w:hAnsi="Times New Roman" w:cs="Times New Roman"/>
          <w:sz w:val="24"/>
          <w:szCs w:val="24"/>
        </w:rPr>
        <w:t>总结了</w:t>
      </w:r>
      <w:r>
        <w:rPr>
          <w:rFonts w:hint="eastAsia" w:ascii="Times New Roman" w:hAnsi="Times New Roman" w:cs="Times New Roman"/>
          <w:sz w:val="24"/>
          <w:szCs w:val="24"/>
        </w:rPr>
        <w:t>种植屋面用防排水系统</w:t>
      </w:r>
      <w:r>
        <w:rPr>
          <w:rFonts w:ascii="Times New Roman" w:hAnsi="Times New Roman" w:cs="Times New Roman"/>
          <w:sz w:val="24"/>
          <w:szCs w:val="24"/>
          <w:lang w:val="zh-CN"/>
        </w:rPr>
        <w:t>工程</w:t>
      </w:r>
      <w:r>
        <w:rPr>
          <w:rFonts w:hint="eastAsia" w:ascii="Times New Roman" w:hAnsi="Times New Roman" w:cs="Times New Roman"/>
          <w:sz w:val="24"/>
          <w:szCs w:val="24"/>
          <w:lang w:val="en-US" w:eastAsia="zh-CN"/>
        </w:rPr>
        <w:t>中</w:t>
      </w:r>
      <w:r>
        <w:rPr>
          <w:rFonts w:ascii="Times New Roman" w:hAnsi="Times New Roman" w:cs="Times New Roman"/>
          <w:sz w:val="24"/>
          <w:szCs w:val="24"/>
          <w:lang w:val="zh-CN"/>
        </w:rPr>
        <w:t>实践经验</w:t>
      </w:r>
      <w:r>
        <w:rPr>
          <w:rFonts w:ascii="Times New Roman" w:hAnsi="Times New Roman" w:cs="Times New Roman"/>
          <w:sz w:val="24"/>
          <w:szCs w:val="24"/>
        </w:rPr>
        <w:t>，同时参考了国外先进技术法规、技术标准</w:t>
      </w:r>
      <w:r>
        <w:rPr>
          <w:rFonts w:hint="eastAsia" w:ascii="Times New Roman" w:hAnsi="Times New Roman" w:cs="Times New Roman"/>
          <w:sz w:val="24"/>
          <w:szCs w:val="24"/>
        </w:rPr>
        <w:t>，</w:t>
      </w:r>
      <w:r>
        <w:rPr>
          <w:rFonts w:ascii="Times New Roman" w:hAnsi="Times New Roman" w:cs="Times New Roman"/>
          <w:sz w:val="24"/>
          <w:szCs w:val="24"/>
        </w:rPr>
        <w:t>通过试验取得了</w:t>
      </w:r>
      <w:r>
        <w:rPr>
          <w:rFonts w:hint="eastAsia" w:ascii="Times New Roman" w:hAnsi="Times New Roman" w:cs="Times New Roman"/>
          <w:sz w:val="24"/>
          <w:szCs w:val="24"/>
        </w:rPr>
        <w:t>重要技术参数。</w:t>
      </w:r>
    </w:p>
    <w:p w14:paraId="74576E05">
      <w:pPr>
        <w:widowControl/>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为便于广大技术和管理人员在使用本</w:t>
      </w:r>
      <w:r>
        <w:rPr>
          <w:rFonts w:hint="eastAsia" w:ascii="Times New Roman" w:hAnsi="Times New Roman" w:cs="Times New Roman"/>
          <w:sz w:val="24"/>
          <w:szCs w:val="24"/>
        </w:rPr>
        <w:t>规程</w:t>
      </w:r>
      <w:r>
        <w:rPr>
          <w:rFonts w:ascii="Times New Roman" w:hAnsi="Times New Roman" w:cs="Times New Roman"/>
          <w:sz w:val="24"/>
          <w:szCs w:val="24"/>
        </w:rPr>
        <w:t>时能正确理解和执行条款规定</w:t>
      </w:r>
      <w:r>
        <w:rPr>
          <w:rFonts w:hint="eastAsia" w:ascii="Times New Roman" w:hAnsi="Times New Roman" w:cs="Times New Roman"/>
          <w:sz w:val="24"/>
          <w:szCs w:val="24"/>
        </w:rPr>
        <w:t>，</w:t>
      </w:r>
      <w:r>
        <w:rPr>
          <w:rFonts w:ascii="Times New Roman" w:hAnsi="Times New Roman" w:cs="Times New Roman"/>
          <w:sz w:val="24"/>
          <w:szCs w:val="24"/>
        </w:rPr>
        <w:t>《</w:t>
      </w:r>
      <w:r>
        <w:rPr>
          <w:rFonts w:hint="eastAsia" w:ascii="Times New Roman" w:hAnsi="Times New Roman" w:cs="Times New Roman"/>
          <w:sz w:val="24"/>
          <w:szCs w:val="24"/>
        </w:rPr>
        <w:t>种植屋面用防排水系统技术规程》</w:t>
      </w:r>
      <w:r>
        <w:rPr>
          <w:rFonts w:ascii="Times New Roman" w:hAnsi="Times New Roman" w:cs="Times New Roman"/>
          <w:sz w:val="24"/>
          <w:szCs w:val="24"/>
        </w:rPr>
        <w:t>编制组按章</w:t>
      </w:r>
      <w:r>
        <w:rPr>
          <w:rFonts w:hint="eastAsia" w:ascii="Times New Roman" w:hAnsi="Times New Roman" w:cs="Times New Roman"/>
          <w:sz w:val="24"/>
          <w:szCs w:val="24"/>
        </w:rPr>
        <w:t>、</w:t>
      </w:r>
      <w:r>
        <w:rPr>
          <w:rFonts w:ascii="Times New Roman" w:hAnsi="Times New Roman" w:cs="Times New Roman"/>
          <w:sz w:val="24"/>
          <w:szCs w:val="24"/>
        </w:rPr>
        <w:t>节、条顺序编制了本</w:t>
      </w:r>
      <w:r>
        <w:rPr>
          <w:rFonts w:hint="eastAsia" w:ascii="Times New Roman" w:hAnsi="Times New Roman" w:cs="Times New Roman"/>
          <w:sz w:val="24"/>
          <w:szCs w:val="24"/>
        </w:rPr>
        <w:t>规程</w:t>
      </w:r>
      <w:r>
        <w:rPr>
          <w:rFonts w:ascii="Times New Roman" w:hAnsi="Times New Roman" w:cs="Times New Roman"/>
          <w:sz w:val="24"/>
          <w:szCs w:val="24"/>
        </w:rPr>
        <w:t>的条文说明</w:t>
      </w:r>
      <w:r>
        <w:rPr>
          <w:rFonts w:hint="eastAsia" w:ascii="Times New Roman" w:hAnsi="Times New Roman" w:cs="Times New Roman"/>
          <w:sz w:val="24"/>
          <w:szCs w:val="24"/>
        </w:rPr>
        <w:t>，</w:t>
      </w:r>
      <w:r>
        <w:rPr>
          <w:rFonts w:ascii="Times New Roman" w:hAnsi="Times New Roman" w:cs="Times New Roman"/>
          <w:sz w:val="24"/>
          <w:szCs w:val="24"/>
        </w:rPr>
        <w:t>对条款规定的目的、依据以及执行中需注意的有关事项等进行了说明。本条文说明不具备与标准正文及附录同等的法律效力</w:t>
      </w:r>
      <w:r>
        <w:rPr>
          <w:rFonts w:hint="eastAsia" w:ascii="Times New Roman" w:hAnsi="Times New Roman" w:cs="Times New Roman"/>
          <w:sz w:val="24"/>
          <w:szCs w:val="24"/>
        </w:rPr>
        <w:t>。</w:t>
      </w:r>
      <w:r>
        <w:rPr>
          <w:rFonts w:ascii="Times New Roman" w:hAnsi="Times New Roman" w:cs="Times New Roman"/>
          <w:sz w:val="24"/>
          <w:szCs w:val="24"/>
        </w:rPr>
        <w:t>仅供使用者作为理解和把握标准规定的参考。</w:t>
      </w:r>
    </w:p>
    <w:p w14:paraId="3EE1A11B">
      <w:pPr>
        <w:rPr>
          <w:lang w:val="zh-CN"/>
        </w:rPr>
        <w:sectPr>
          <w:pgSz w:w="11906" w:h="16838"/>
          <w:pgMar w:top="1440" w:right="1800" w:bottom="1440" w:left="1800" w:header="851" w:footer="992" w:gutter="0"/>
          <w:pgNumType w:fmt="decimal"/>
          <w:cols w:space="425" w:num="1"/>
          <w:docGrid w:type="lines" w:linePitch="312" w:charSpace="0"/>
        </w:sectPr>
      </w:pPr>
    </w:p>
    <w:p w14:paraId="1CC0C2A1">
      <w:pPr>
        <w:rPr>
          <w:lang w:val="zh-CN"/>
        </w:rPr>
      </w:pPr>
    </w:p>
    <w:sdt>
      <w:sdtPr>
        <w:rPr>
          <w:rFonts w:hint="eastAsia" w:ascii="宋体" w:hAnsi="宋体" w:eastAsia="宋体" w:cs="宋体"/>
          <w:kern w:val="2"/>
          <w:sz w:val="28"/>
          <w:szCs w:val="28"/>
          <w:lang w:val="en-US" w:eastAsia="zh-CN" w:bidi="ar-SA"/>
        </w:rPr>
        <w:id w:val="147474202"/>
        <w15:color w:val="DBDBDB"/>
        <w:docPartObj>
          <w:docPartGallery w:val="Table of Contents"/>
          <w:docPartUnique/>
        </w:docPartObj>
      </w:sdtPr>
      <w:sdtEndPr>
        <w:rPr>
          <w:rFonts w:hint="eastAsia" w:ascii="宋体" w:hAnsi="宋体" w:eastAsia="宋体" w:cs="宋体"/>
          <w:kern w:val="2"/>
          <w:sz w:val="21"/>
          <w:szCs w:val="21"/>
          <w:lang w:val="en-US" w:eastAsia="zh-CN" w:bidi="ar-SA"/>
        </w:rPr>
      </w:sdtEndPr>
      <w:sdtContent>
        <w:p w14:paraId="1C3AF72B">
          <w:pPr>
            <w:tabs>
              <w:tab w:val="right" w:leader="dot" w:pos="8506"/>
            </w:tabs>
            <w:spacing w:before="78" w:after="78" w:line="360" w:lineRule="auto"/>
            <w:jc w:val="center"/>
            <w:rPr>
              <w:rFonts w:ascii="Times New Roman" w:hAnsi="Times New Roman" w:cs="Times New Roman"/>
              <w:sz w:val="24"/>
              <w:szCs w:val="24"/>
            </w:rPr>
          </w:pPr>
          <w:r>
            <w:rPr>
              <w:rFonts w:ascii="Times New Roman" w:hAnsi="Times New Roman" w:cs="Times New Roman"/>
              <w:b/>
              <w:sz w:val="28"/>
              <w:szCs w:val="36"/>
            </w:rPr>
            <w:t>目</w:t>
          </w:r>
          <w:r>
            <w:rPr>
              <w:rFonts w:hint="eastAsia" w:ascii="Times New Roman" w:hAnsi="Times New Roman" w:cs="Times New Roman"/>
              <w:b/>
              <w:sz w:val="28"/>
              <w:szCs w:val="36"/>
            </w:rPr>
            <w:t xml:space="preserve">    </w:t>
          </w:r>
          <w:r>
            <w:rPr>
              <w:rFonts w:ascii="Times New Roman" w:hAnsi="Times New Roman" w:cs="Times New Roman"/>
              <w:b/>
              <w:sz w:val="28"/>
              <w:szCs w:val="36"/>
            </w:rPr>
            <w:t>次</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TOC \o "1-2" \h \u </w:instrText>
          </w:r>
          <w:r>
            <w:rPr>
              <w:rFonts w:ascii="Times New Roman" w:hAnsi="Times New Roman" w:cs="Times New Roman"/>
              <w:b/>
              <w:sz w:val="24"/>
              <w:szCs w:val="24"/>
            </w:rPr>
            <w:fldChar w:fldCharType="separate"/>
          </w:r>
        </w:p>
        <w:p w14:paraId="50BEB965">
          <w:pPr>
            <w:pStyle w:val="11"/>
            <w:tabs>
              <w:tab w:val="right" w:leader="dot" w:pos="8788"/>
            </w:tabs>
            <w:spacing w:before="78" w:after="78" w:line="360" w:lineRule="auto"/>
            <w:rPr>
              <w:rFonts w:hint="eastAsia"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_Toc8123 </w:instrText>
          </w:r>
          <w:r>
            <w:rPr>
              <w:rFonts w:hint="eastAsia" w:ascii="宋体" w:hAnsi="宋体" w:cs="宋体"/>
              <w:sz w:val="24"/>
              <w:szCs w:val="24"/>
            </w:rPr>
            <w:fldChar w:fldCharType="separate"/>
          </w:r>
          <w:r>
            <w:rPr>
              <w:rFonts w:hint="eastAsia" w:ascii="宋体" w:hAnsi="宋体" w:cs="宋体"/>
              <w:sz w:val="24"/>
              <w:szCs w:val="24"/>
              <w:lang w:val="en-US"/>
            </w:rPr>
            <w:t xml:space="preserve">1  </w:t>
          </w:r>
          <w:r>
            <w:rPr>
              <w:rFonts w:hint="eastAsia" w:ascii="宋体" w:hAnsi="宋体" w:cs="宋体"/>
              <w:sz w:val="24"/>
              <w:szCs w:val="24"/>
              <w:lang w:val="zh-CN"/>
            </w:rPr>
            <w:t>总</w:t>
          </w:r>
          <w:r>
            <w:rPr>
              <w:rFonts w:hint="eastAsia" w:ascii="宋体" w:hAnsi="宋体" w:cs="宋体"/>
              <w:sz w:val="24"/>
              <w:szCs w:val="24"/>
            </w:rPr>
            <w:t xml:space="preserve">    </w:t>
          </w:r>
          <w:r>
            <w:rPr>
              <w:rFonts w:hint="eastAsia" w:ascii="宋体" w:hAnsi="宋体" w:cs="宋体"/>
              <w:sz w:val="24"/>
              <w:szCs w:val="24"/>
              <w:lang w:val="zh-CN"/>
            </w:rPr>
            <w:t>则</w:t>
          </w:r>
          <w:r>
            <w:rPr>
              <w:rFonts w:hint="eastAsia" w:hAnsi="宋体" w:cs="宋体"/>
              <w:sz w:val="24"/>
              <w:szCs w:val="24"/>
            </w:rPr>
            <w:tab/>
          </w:r>
          <w:r>
            <w:rPr>
              <w:rFonts w:hint="eastAsia" w:hAnsi="宋体" w:cs="宋体"/>
              <w:sz w:val="24"/>
              <w:szCs w:val="24"/>
            </w:rPr>
            <w:t>（</w:t>
          </w:r>
          <w:r>
            <w:rPr>
              <w:rFonts w:hint="eastAsia" w:hAnsi="宋体" w:cs="宋体"/>
              <w:sz w:val="24"/>
              <w:szCs w:val="24"/>
              <w:lang w:val="en-US" w:eastAsia="zh-CN"/>
            </w:rPr>
            <w:t>3</w:t>
          </w:r>
          <w:r>
            <w:rPr>
              <w:rFonts w:hint="eastAsia" w:ascii="宋体" w:hAnsi="宋体" w:cs="宋体"/>
              <w:sz w:val="24"/>
              <w:szCs w:val="24"/>
            </w:rPr>
            <w:fldChar w:fldCharType="end"/>
          </w:r>
          <w:r>
            <w:rPr>
              <w:rFonts w:hint="eastAsia" w:ascii="宋体" w:hAnsi="宋体" w:cs="宋体"/>
              <w:sz w:val="24"/>
              <w:szCs w:val="24"/>
              <w:lang w:val="en-US" w:eastAsia="zh-CN"/>
            </w:rPr>
            <w:t>6</w:t>
          </w:r>
          <w:r>
            <w:rPr>
              <w:rFonts w:hint="eastAsia" w:ascii="宋体" w:hAnsi="宋体" w:cs="宋体"/>
              <w:sz w:val="24"/>
              <w:szCs w:val="24"/>
            </w:rPr>
            <w:t>）</w:t>
          </w:r>
        </w:p>
        <w:p w14:paraId="3888D8C3">
          <w:pPr>
            <w:pStyle w:val="11"/>
            <w:tabs>
              <w:tab w:val="right" w:leader="dot" w:pos="8788"/>
            </w:tabs>
            <w:spacing w:before="78" w:after="78" w:line="360" w:lineRule="auto"/>
            <w:rPr>
              <w:rFonts w:hint="eastAsia"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_Toc916 </w:instrText>
          </w:r>
          <w:r>
            <w:rPr>
              <w:rFonts w:hint="eastAsia" w:ascii="宋体" w:hAnsi="宋体" w:cs="宋体"/>
              <w:sz w:val="24"/>
              <w:szCs w:val="24"/>
            </w:rPr>
            <w:fldChar w:fldCharType="separate"/>
          </w:r>
          <w:r>
            <w:rPr>
              <w:rFonts w:hint="eastAsia" w:ascii="宋体" w:hAnsi="宋体" w:cs="宋体"/>
              <w:sz w:val="24"/>
              <w:szCs w:val="24"/>
              <w:lang w:val="en-US"/>
            </w:rPr>
            <w:t xml:space="preserve">2  </w:t>
          </w:r>
          <w:r>
            <w:rPr>
              <w:rFonts w:hint="eastAsia" w:ascii="宋体" w:hAnsi="宋体" w:cs="宋体"/>
              <w:sz w:val="24"/>
              <w:szCs w:val="24"/>
              <w:lang w:val="zh-CN"/>
            </w:rPr>
            <w:t>术</w:t>
          </w:r>
          <w:r>
            <w:rPr>
              <w:rFonts w:hint="eastAsia" w:ascii="宋体" w:hAnsi="宋体" w:cs="宋体"/>
              <w:sz w:val="24"/>
              <w:szCs w:val="24"/>
              <w:lang w:val="en-US"/>
            </w:rPr>
            <w:t xml:space="preserve">    </w:t>
          </w:r>
          <w:r>
            <w:rPr>
              <w:rFonts w:hint="eastAsia" w:ascii="宋体" w:hAnsi="宋体" w:cs="宋体"/>
              <w:sz w:val="24"/>
              <w:szCs w:val="24"/>
              <w:lang w:val="zh-CN"/>
            </w:rPr>
            <w:t>语</w:t>
          </w:r>
          <w:r>
            <w:rPr>
              <w:rFonts w:hint="eastAsia" w:hAnsi="宋体" w:cs="宋体"/>
              <w:sz w:val="24"/>
              <w:szCs w:val="24"/>
            </w:rPr>
            <w:tab/>
          </w:r>
          <w:r>
            <w:rPr>
              <w:rFonts w:hint="eastAsia" w:hAnsi="宋体" w:cs="宋体"/>
              <w:sz w:val="24"/>
              <w:szCs w:val="24"/>
            </w:rPr>
            <w:t>（</w:t>
          </w:r>
          <w:r>
            <w:rPr>
              <w:rFonts w:hint="eastAsia" w:hAnsi="宋体" w:cs="宋体"/>
              <w:sz w:val="24"/>
              <w:szCs w:val="24"/>
              <w:lang w:val="en-US" w:eastAsia="zh-CN"/>
            </w:rPr>
            <w:t>3</w:t>
          </w:r>
          <w:r>
            <w:rPr>
              <w:rFonts w:hint="eastAsia" w:ascii="宋体" w:hAnsi="宋体" w:cs="宋体"/>
              <w:sz w:val="24"/>
              <w:szCs w:val="24"/>
            </w:rPr>
            <w:fldChar w:fldCharType="end"/>
          </w:r>
          <w:r>
            <w:rPr>
              <w:rFonts w:hint="eastAsia" w:ascii="宋体" w:hAnsi="宋体" w:cs="宋体"/>
              <w:sz w:val="24"/>
              <w:szCs w:val="24"/>
              <w:lang w:val="en-US" w:eastAsia="zh-CN"/>
            </w:rPr>
            <w:t>7</w:t>
          </w:r>
          <w:r>
            <w:rPr>
              <w:rFonts w:hint="eastAsia" w:hAnsi="宋体" w:cs="宋体"/>
              <w:sz w:val="24"/>
              <w:szCs w:val="24"/>
            </w:rPr>
            <w:t>）</w:t>
          </w:r>
        </w:p>
        <w:p w14:paraId="53256E3D">
          <w:pPr>
            <w:pStyle w:val="11"/>
            <w:tabs>
              <w:tab w:val="right" w:leader="dot" w:pos="8788"/>
            </w:tabs>
            <w:spacing w:before="78" w:after="78" w:line="360" w:lineRule="auto"/>
            <w:rPr>
              <w:rFonts w:hint="eastAsia"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_Toc6924 </w:instrText>
          </w:r>
          <w:r>
            <w:rPr>
              <w:rFonts w:hint="eastAsia" w:ascii="宋体" w:hAnsi="宋体" w:cs="宋体"/>
              <w:sz w:val="24"/>
              <w:szCs w:val="24"/>
            </w:rPr>
            <w:fldChar w:fldCharType="separate"/>
          </w:r>
          <w:r>
            <w:rPr>
              <w:rFonts w:hint="eastAsia" w:ascii="宋体" w:hAnsi="宋体" w:cs="宋体"/>
              <w:sz w:val="24"/>
              <w:szCs w:val="24"/>
              <w:lang w:val="en-US"/>
            </w:rPr>
            <w:t>3</w:t>
          </w:r>
          <w:r>
            <w:rPr>
              <w:rFonts w:hint="eastAsia" w:ascii="宋体" w:hAnsi="宋体" w:cs="宋体"/>
              <w:sz w:val="24"/>
              <w:szCs w:val="24"/>
            </w:rPr>
            <w:t xml:space="preserve">  </w:t>
          </w:r>
          <w:r>
            <w:rPr>
              <w:rFonts w:hint="eastAsia" w:ascii="宋体" w:hAnsi="宋体" w:cs="宋体"/>
              <w:sz w:val="24"/>
              <w:szCs w:val="24"/>
              <w:lang w:val="zh-CN"/>
            </w:rPr>
            <w:t>基本规定</w:t>
          </w:r>
          <w:r>
            <w:rPr>
              <w:rFonts w:hint="eastAsia" w:hAnsi="宋体" w:cs="宋体"/>
              <w:sz w:val="24"/>
              <w:szCs w:val="24"/>
            </w:rPr>
            <w:tab/>
          </w:r>
          <w:r>
            <w:rPr>
              <w:rFonts w:hint="eastAsia" w:hAnsi="宋体" w:cs="宋体"/>
              <w:sz w:val="24"/>
              <w:szCs w:val="24"/>
            </w:rPr>
            <w:t>（</w:t>
          </w:r>
          <w:r>
            <w:rPr>
              <w:rFonts w:hint="eastAsia" w:hAnsi="宋体" w:cs="宋体"/>
              <w:sz w:val="24"/>
              <w:szCs w:val="24"/>
              <w:lang w:val="en-US" w:eastAsia="zh-CN"/>
            </w:rPr>
            <w:t>3</w:t>
          </w:r>
          <w:r>
            <w:rPr>
              <w:rFonts w:hint="eastAsia" w:ascii="宋体" w:hAnsi="宋体" w:cs="宋体"/>
              <w:sz w:val="24"/>
              <w:szCs w:val="24"/>
            </w:rPr>
            <w:fldChar w:fldCharType="end"/>
          </w:r>
          <w:r>
            <w:rPr>
              <w:rFonts w:hint="eastAsia" w:ascii="宋体" w:hAnsi="宋体" w:cs="宋体"/>
              <w:sz w:val="24"/>
              <w:szCs w:val="24"/>
              <w:lang w:val="en-US" w:eastAsia="zh-CN"/>
            </w:rPr>
            <w:t>8</w:t>
          </w:r>
          <w:r>
            <w:rPr>
              <w:rFonts w:hint="eastAsia" w:hAnsi="宋体" w:cs="宋体"/>
              <w:sz w:val="24"/>
              <w:szCs w:val="24"/>
            </w:rPr>
            <w:t>）</w:t>
          </w:r>
        </w:p>
        <w:p w14:paraId="24C6CFAA">
          <w:pPr>
            <w:pStyle w:val="11"/>
            <w:tabs>
              <w:tab w:val="right" w:leader="dot" w:pos="8788"/>
            </w:tabs>
            <w:spacing w:before="78" w:after="78" w:line="360" w:lineRule="auto"/>
            <w:rPr>
              <w:rFonts w:hint="eastAsia"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_Toc31117 </w:instrText>
          </w:r>
          <w:r>
            <w:rPr>
              <w:rFonts w:hint="eastAsia" w:ascii="宋体" w:hAnsi="宋体" w:cs="宋体"/>
              <w:sz w:val="24"/>
              <w:szCs w:val="24"/>
            </w:rPr>
            <w:fldChar w:fldCharType="separate"/>
          </w:r>
          <w:r>
            <w:rPr>
              <w:rFonts w:hint="eastAsia" w:ascii="宋体" w:hAnsi="宋体" w:cs="宋体"/>
              <w:sz w:val="24"/>
              <w:szCs w:val="24"/>
              <w:lang w:val="en-US"/>
            </w:rPr>
            <w:t xml:space="preserve">4  </w:t>
          </w:r>
          <w:r>
            <w:rPr>
              <w:rFonts w:hint="eastAsia" w:ascii="宋体" w:hAnsi="宋体" w:cs="宋体"/>
              <w:sz w:val="24"/>
              <w:szCs w:val="24"/>
              <w:lang w:val="zh-CN"/>
            </w:rPr>
            <w:t>材</w:t>
          </w:r>
          <w:r>
            <w:rPr>
              <w:rFonts w:hint="eastAsia" w:ascii="宋体" w:hAnsi="宋体" w:cs="宋体"/>
              <w:sz w:val="24"/>
              <w:szCs w:val="24"/>
              <w:lang w:val="en-US"/>
            </w:rPr>
            <w:t xml:space="preserve">    </w:t>
          </w:r>
          <w:r>
            <w:rPr>
              <w:rFonts w:hint="eastAsia" w:ascii="宋体" w:hAnsi="宋体" w:cs="宋体"/>
              <w:sz w:val="24"/>
              <w:szCs w:val="24"/>
              <w:lang w:val="zh-CN"/>
            </w:rPr>
            <w:t>料</w:t>
          </w:r>
          <w:r>
            <w:rPr>
              <w:rFonts w:hint="eastAsia" w:hAnsi="宋体" w:cs="宋体"/>
              <w:sz w:val="24"/>
              <w:szCs w:val="24"/>
            </w:rPr>
            <w:tab/>
          </w:r>
          <w:r>
            <w:rPr>
              <w:rFonts w:hint="eastAsia" w:hAnsi="宋体" w:cs="宋体"/>
              <w:sz w:val="24"/>
              <w:szCs w:val="24"/>
            </w:rPr>
            <w:t>（</w:t>
          </w:r>
          <w:r>
            <w:rPr>
              <w:rFonts w:hint="eastAsia" w:hAnsi="宋体" w:cs="宋体"/>
              <w:sz w:val="24"/>
              <w:szCs w:val="24"/>
              <w:lang w:val="en-US" w:eastAsia="zh-CN"/>
            </w:rPr>
            <w:t>3</w:t>
          </w:r>
          <w:r>
            <w:rPr>
              <w:rFonts w:hint="eastAsia" w:ascii="宋体" w:hAnsi="宋体" w:cs="宋体"/>
              <w:sz w:val="24"/>
              <w:szCs w:val="24"/>
            </w:rPr>
            <w:fldChar w:fldCharType="end"/>
          </w:r>
          <w:r>
            <w:rPr>
              <w:rFonts w:hint="eastAsia" w:ascii="宋体" w:hAnsi="宋体" w:cs="宋体"/>
              <w:sz w:val="24"/>
              <w:szCs w:val="24"/>
              <w:lang w:val="en-US" w:eastAsia="zh-CN"/>
            </w:rPr>
            <w:t>8</w:t>
          </w:r>
          <w:r>
            <w:rPr>
              <w:rFonts w:hint="eastAsia" w:hAnsi="宋体" w:cs="宋体"/>
              <w:sz w:val="24"/>
              <w:szCs w:val="24"/>
            </w:rPr>
            <w:t>）</w:t>
          </w:r>
        </w:p>
        <w:p w14:paraId="69E28BFB">
          <w:pPr>
            <w:pStyle w:val="11"/>
            <w:tabs>
              <w:tab w:val="right" w:leader="dot" w:pos="8788"/>
            </w:tabs>
            <w:spacing w:before="78" w:after="78" w:line="360" w:lineRule="auto"/>
            <w:rPr>
              <w:rFonts w:hint="eastAsia"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_Toc25986 </w:instrText>
          </w:r>
          <w:r>
            <w:rPr>
              <w:rFonts w:hint="eastAsia" w:ascii="宋体" w:hAnsi="宋体" w:cs="宋体"/>
              <w:sz w:val="24"/>
              <w:szCs w:val="24"/>
            </w:rPr>
            <w:fldChar w:fldCharType="separate"/>
          </w:r>
          <w:r>
            <w:rPr>
              <w:rFonts w:hint="eastAsia" w:ascii="宋体" w:hAnsi="宋体" w:cs="宋体"/>
              <w:sz w:val="24"/>
              <w:szCs w:val="24"/>
              <w:lang w:val="en-US"/>
            </w:rPr>
            <w:t xml:space="preserve">5  </w:t>
          </w:r>
          <w:r>
            <w:rPr>
              <w:rFonts w:hint="eastAsia" w:ascii="宋体" w:hAnsi="宋体" w:cs="宋体"/>
              <w:sz w:val="24"/>
              <w:szCs w:val="24"/>
              <w:lang w:val="zh-CN"/>
            </w:rPr>
            <w:t>设</w:t>
          </w:r>
          <w:r>
            <w:rPr>
              <w:rFonts w:hint="eastAsia" w:ascii="宋体" w:hAnsi="宋体" w:cs="宋体"/>
              <w:sz w:val="24"/>
              <w:szCs w:val="24"/>
            </w:rPr>
            <w:t xml:space="preserve">    </w:t>
          </w:r>
          <w:r>
            <w:rPr>
              <w:rFonts w:hint="eastAsia" w:ascii="宋体" w:hAnsi="宋体" w:cs="宋体"/>
              <w:sz w:val="24"/>
              <w:szCs w:val="24"/>
              <w:lang w:val="zh-CN"/>
            </w:rPr>
            <w:t>计</w:t>
          </w:r>
          <w:r>
            <w:rPr>
              <w:rFonts w:hint="eastAsia" w:hAnsi="宋体" w:cs="宋体"/>
              <w:sz w:val="24"/>
              <w:szCs w:val="24"/>
            </w:rPr>
            <w:tab/>
          </w:r>
          <w:r>
            <w:rPr>
              <w:rFonts w:hint="eastAsia" w:hAnsi="宋体" w:cs="宋体"/>
              <w:sz w:val="24"/>
              <w:szCs w:val="24"/>
            </w:rPr>
            <w:t>（</w:t>
          </w:r>
          <w:r>
            <w:rPr>
              <w:rFonts w:hint="eastAsia" w:hAnsi="宋体" w:cs="宋体"/>
              <w:sz w:val="24"/>
              <w:szCs w:val="24"/>
              <w:lang w:val="en-US" w:eastAsia="zh-CN"/>
            </w:rPr>
            <w:t>3</w:t>
          </w:r>
          <w:r>
            <w:rPr>
              <w:rFonts w:hint="eastAsia" w:ascii="宋体" w:hAnsi="宋体" w:cs="宋体"/>
              <w:sz w:val="24"/>
              <w:szCs w:val="24"/>
            </w:rPr>
            <w:fldChar w:fldCharType="end"/>
          </w:r>
          <w:r>
            <w:rPr>
              <w:rFonts w:hint="eastAsia" w:ascii="宋体" w:hAnsi="宋体" w:cs="宋体"/>
              <w:sz w:val="24"/>
              <w:szCs w:val="24"/>
              <w:lang w:val="en-US" w:eastAsia="zh-CN"/>
            </w:rPr>
            <w:t>9</w:t>
          </w:r>
          <w:r>
            <w:rPr>
              <w:rFonts w:hint="eastAsia" w:hAnsi="宋体" w:cs="宋体"/>
              <w:sz w:val="24"/>
              <w:szCs w:val="24"/>
            </w:rPr>
            <w:t>）</w:t>
          </w:r>
        </w:p>
        <w:p w14:paraId="142D94E8">
          <w:pPr>
            <w:pStyle w:val="11"/>
            <w:tabs>
              <w:tab w:val="right" w:leader="dot" w:pos="8788"/>
            </w:tabs>
            <w:spacing w:before="78" w:after="78" w:line="360" w:lineRule="auto"/>
            <w:rPr>
              <w:rFonts w:hint="eastAsia"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_Toc26791 </w:instrText>
          </w:r>
          <w:r>
            <w:rPr>
              <w:rFonts w:hint="eastAsia" w:ascii="宋体" w:hAnsi="宋体" w:cs="宋体"/>
              <w:sz w:val="24"/>
              <w:szCs w:val="24"/>
            </w:rPr>
            <w:fldChar w:fldCharType="separate"/>
          </w:r>
          <w:r>
            <w:rPr>
              <w:rFonts w:hint="eastAsia" w:ascii="宋体" w:hAnsi="宋体" w:cs="宋体"/>
              <w:sz w:val="24"/>
              <w:szCs w:val="24"/>
              <w:lang w:val="en-US"/>
            </w:rPr>
            <w:t xml:space="preserve">6  </w:t>
          </w:r>
          <w:r>
            <w:rPr>
              <w:rFonts w:hint="eastAsia" w:ascii="宋体" w:hAnsi="宋体" w:cs="宋体"/>
              <w:sz w:val="24"/>
              <w:szCs w:val="24"/>
              <w:lang w:val="zh-CN"/>
            </w:rPr>
            <w:t>施</w:t>
          </w:r>
          <w:r>
            <w:rPr>
              <w:rFonts w:hint="eastAsia" w:ascii="宋体" w:hAnsi="宋体" w:cs="宋体"/>
              <w:sz w:val="24"/>
              <w:szCs w:val="24"/>
              <w:lang w:val="en-US"/>
            </w:rPr>
            <w:t xml:space="preserve">    </w:t>
          </w:r>
          <w:r>
            <w:rPr>
              <w:rFonts w:hint="eastAsia" w:ascii="宋体" w:hAnsi="宋体" w:cs="宋体"/>
              <w:sz w:val="24"/>
              <w:szCs w:val="24"/>
              <w:lang w:val="zh-CN"/>
            </w:rPr>
            <w:t>工</w:t>
          </w:r>
          <w:r>
            <w:rPr>
              <w:rFonts w:hint="eastAsia" w:hAnsi="宋体" w:cs="宋体"/>
              <w:sz w:val="24"/>
              <w:szCs w:val="24"/>
            </w:rPr>
            <w:tab/>
          </w:r>
          <w:r>
            <w:rPr>
              <w:rFonts w:hint="eastAsia" w:hAnsi="宋体" w:cs="宋体"/>
              <w:sz w:val="24"/>
              <w:szCs w:val="24"/>
            </w:rPr>
            <w:t>（</w:t>
          </w:r>
          <w:r>
            <w:rPr>
              <w:rFonts w:hint="eastAsia" w:hAnsi="宋体" w:cs="宋体"/>
              <w:sz w:val="24"/>
              <w:szCs w:val="24"/>
              <w:lang w:val="en-US" w:eastAsia="zh-CN"/>
            </w:rPr>
            <w:t>4</w:t>
          </w:r>
          <w:r>
            <w:rPr>
              <w:rFonts w:hint="eastAsia" w:ascii="宋体" w:hAnsi="宋体" w:cs="宋体"/>
              <w:sz w:val="24"/>
              <w:szCs w:val="24"/>
            </w:rPr>
            <w:fldChar w:fldCharType="end"/>
          </w:r>
          <w:r>
            <w:rPr>
              <w:rFonts w:hint="eastAsia" w:ascii="宋体" w:hAnsi="宋体" w:cs="宋体"/>
              <w:sz w:val="24"/>
              <w:szCs w:val="24"/>
              <w:lang w:val="en-US" w:eastAsia="zh-CN"/>
            </w:rPr>
            <w:t>0</w:t>
          </w:r>
          <w:r>
            <w:rPr>
              <w:rFonts w:hint="eastAsia" w:hAnsi="宋体" w:cs="宋体"/>
              <w:sz w:val="24"/>
              <w:szCs w:val="24"/>
            </w:rPr>
            <w:t>）</w:t>
          </w:r>
        </w:p>
        <w:p w14:paraId="2968BCEA">
          <w:pPr>
            <w:pStyle w:val="11"/>
            <w:tabs>
              <w:tab w:val="right" w:leader="dot" w:pos="8788"/>
            </w:tabs>
            <w:spacing w:before="78" w:after="78" w:line="360" w:lineRule="auto"/>
            <w:rPr>
              <w:rFonts w:hint="eastAsia"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HYPERLINK \l _Toc14509 </w:instrText>
          </w:r>
          <w:r>
            <w:rPr>
              <w:rFonts w:hint="eastAsia" w:ascii="宋体" w:hAnsi="宋体" w:cs="宋体"/>
              <w:sz w:val="24"/>
              <w:szCs w:val="24"/>
            </w:rPr>
            <w:fldChar w:fldCharType="separate"/>
          </w:r>
          <w:r>
            <w:rPr>
              <w:rFonts w:hint="eastAsia" w:ascii="宋体" w:hAnsi="宋体" w:cs="宋体"/>
              <w:sz w:val="24"/>
              <w:szCs w:val="24"/>
              <w:lang w:val="en-US"/>
            </w:rPr>
            <w:t xml:space="preserve">7  </w:t>
          </w:r>
          <w:r>
            <w:rPr>
              <w:rFonts w:hint="eastAsia" w:ascii="宋体" w:hAnsi="宋体" w:cs="宋体"/>
              <w:sz w:val="24"/>
              <w:szCs w:val="24"/>
              <w:lang w:val="en-US" w:eastAsia="zh-CN"/>
            </w:rPr>
            <w:t>质量</w:t>
          </w:r>
          <w:r>
            <w:rPr>
              <w:rFonts w:hint="eastAsia" w:ascii="宋体" w:hAnsi="宋体" w:cs="宋体"/>
              <w:sz w:val="24"/>
              <w:szCs w:val="24"/>
              <w:lang w:val="zh-CN"/>
            </w:rPr>
            <w:t>验收</w:t>
          </w:r>
          <w:r>
            <w:rPr>
              <w:rFonts w:hint="eastAsia" w:hAnsi="宋体" w:cs="宋体"/>
              <w:sz w:val="24"/>
              <w:szCs w:val="24"/>
            </w:rPr>
            <w:tab/>
          </w:r>
          <w:r>
            <w:rPr>
              <w:rFonts w:hint="eastAsia" w:hAnsi="宋体" w:cs="宋体"/>
              <w:sz w:val="24"/>
              <w:szCs w:val="24"/>
            </w:rPr>
            <w:t>（</w:t>
          </w:r>
          <w:r>
            <w:rPr>
              <w:rFonts w:hint="eastAsia" w:ascii="宋体" w:hAnsi="宋体" w:cs="宋体"/>
              <w:sz w:val="24"/>
              <w:szCs w:val="24"/>
            </w:rPr>
            <w:fldChar w:fldCharType="end"/>
          </w:r>
          <w:r>
            <w:rPr>
              <w:rFonts w:hint="eastAsia" w:hAnsi="宋体" w:cs="宋体"/>
              <w:sz w:val="24"/>
              <w:szCs w:val="24"/>
              <w:lang w:val="en-US" w:eastAsia="zh-CN"/>
            </w:rPr>
            <w:t>42</w:t>
          </w:r>
          <w:r>
            <w:rPr>
              <w:rFonts w:hint="eastAsia" w:hAnsi="宋体" w:cs="宋体"/>
              <w:sz w:val="24"/>
              <w:szCs w:val="24"/>
            </w:rPr>
            <w:t>）</w:t>
          </w:r>
        </w:p>
        <w:p w14:paraId="6B30DC91">
          <w:pPr>
            <w:pStyle w:val="6"/>
            <w:jc w:val="center"/>
            <w:outlineLvl w:val="1"/>
            <w:rPr>
              <w:rFonts w:hint="eastAsia" w:ascii="宋体" w:hAnsi="宋体" w:eastAsia="宋体" w:cs="宋体"/>
              <w:kern w:val="2"/>
              <w:sz w:val="21"/>
              <w:szCs w:val="21"/>
              <w:lang w:val="en-US" w:eastAsia="zh-CN" w:bidi="ar-SA"/>
            </w:rPr>
          </w:pPr>
          <w:r>
            <w:rPr>
              <w:rFonts w:ascii="Times New Roman" w:hAnsi="Times New Roman" w:cs="Times New Roman"/>
              <w:sz w:val="24"/>
              <w:szCs w:val="24"/>
            </w:rPr>
            <w:fldChar w:fldCharType="end"/>
          </w:r>
        </w:p>
      </w:sdtContent>
    </w:sdt>
    <w:p w14:paraId="2A166017">
      <w:pPr>
        <w:pStyle w:val="6"/>
        <w:jc w:val="center"/>
        <w:outlineLvl w:val="1"/>
        <w:rPr>
          <w:rFonts w:hint="eastAsia" w:ascii="宋体" w:hAnsi="宋体" w:eastAsia="宋体" w:cs="宋体"/>
          <w:kern w:val="2"/>
          <w:sz w:val="21"/>
          <w:szCs w:val="21"/>
          <w:lang w:val="en-US" w:eastAsia="zh-CN" w:bidi="ar-SA"/>
        </w:rPr>
        <w:sectPr>
          <w:pgSz w:w="11906" w:h="16838"/>
          <w:pgMar w:top="1440" w:right="1800" w:bottom="1440" w:left="1800" w:header="851" w:footer="992" w:gutter="0"/>
          <w:pgNumType w:fmt="decimal"/>
          <w:cols w:space="425" w:num="1"/>
          <w:docGrid w:type="lines" w:linePitch="312" w:charSpace="0"/>
        </w:sectPr>
      </w:pPr>
    </w:p>
    <w:bookmarkEnd w:id="98"/>
    <w:p w14:paraId="79A20CDB">
      <w:pPr>
        <w:pStyle w:val="2"/>
        <w:widowControl/>
        <w:tabs>
          <w:tab w:val="left" w:pos="0"/>
        </w:tabs>
        <w:spacing w:before="0" w:after="0" w:line="360" w:lineRule="auto"/>
        <w:jc w:val="center"/>
        <w:rPr>
          <w:rFonts w:ascii="Times New Roman" w:hAnsi="Times New Roman" w:eastAsia="宋体" w:cs="Times New Roman"/>
          <w:bCs w:val="0"/>
          <w:color w:val="000000" w:themeColor="text1"/>
          <w:sz w:val="32"/>
          <w:szCs w:val="32"/>
          <w:lang w:val="zh-CN"/>
          <w14:textFill>
            <w14:solidFill>
              <w14:schemeClr w14:val="tx1"/>
            </w14:solidFill>
          </w14:textFill>
        </w:rPr>
      </w:pPr>
      <w:bookmarkStart w:id="114" w:name="_Toc7281"/>
      <w:bookmarkStart w:id="115" w:name="_Toc28713"/>
      <w:bookmarkStart w:id="116" w:name="_Toc23132"/>
      <w:bookmarkStart w:id="117" w:name="_Toc10694"/>
      <w:bookmarkStart w:id="118" w:name="_Toc6923"/>
      <w:bookmarkStart w:id="119" w:name="_Toc19162"/>
      <w:bookmarkStart w:id="120" w:name="_Toc26189"/>
      <w:bookmarkStart w:id="121" w:name="_Toc8123"/>
      <w:bookmarkStart w:id="122" w:name="_Toc15430"/>
      <w:bookmarkStart w:id="123" w:name="_Toc13617"/>
      <w:bookmarkStart w:id="124" w:name="_Toc4567"/>
      <w:bookmarkStart w:id="125" w:name="_Toc31957"/>
      <w:bookmarkStart w:id="126" w:name="_Toc7826"/>
      <w:bookmarkStart w:id="127" w:name="_Toc6534"/>
      <w:bookmarkStart w:id="128" w:name="_Toc31056"/>
      <w:r>
        <w:rPr>
          <w:rFonts w:ascii="Times New Roman" w:hAnsi="Times New Roman" w:eastAsia="宋体" w:cs="Times New Roman"/>
          <w:bCs w:val="0"/>
          <w:color w:val="000000" w:themeColor="text1"/>
          <w:sz w:val="32"/>
          <w:szCs w:val="32"/>
          <w:lang w:val="zh-CN"/>
          <w14:textFill>
            <w14:solidFill>
              <w14:schemeClr w14:val="tx1"/>
            </w14:solidFill>
          </w14:textFill>
        </w:rPr>
        <w:t>1  总</w:t>
      </w:r>
      <w:r>
        <w:rPr>
          <w:rFonts w:hint="eastAsia" w:ascii="Times New Roman" w:hAnsi="Times New Roman" w:eastAsia="宋体" w:cs="Times New Roman"/>
          <w:bCs w:val="0"/>
          <w:color w:val="000000" w:themeColor="text1"/>
          <w:sz w:val="32"/>
          <w:szCs w:val="32"/>
          <w14:textFill>
            <w14:solidFill>
              <w14:schemeClr w14:val="tx1"/>
            </w14:solidFill>
          </w14:textFill>
        </w:rPr>
        <w:t xml:space="preserve">    </w:t>
      </w:r>
      <w:r>
        <w:rPr>
          <w:rFonts w:ascii="Times New Roman" w:hAnsi="Times New Roman" w:eastAsia="宋体" w:cs="Times New Roman"/>
          <w:bCs w:val="0"/>
          <w:color w:val="000000" w:themeColor="text1"/>
          <w:sz w:val="32"/>
          <w:szCs w:val="32"/>
          <w:lang w:val="zh-CN"/>
          <w14:textFill>
            <w14:solidFill>
              <w14:schemeClr w14:val="tx1"/>
            </w14:solidFill>
          </w14:textFill>
        </w:rPr>
        <w:t>则</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7175F95E">
      <w:pPr>
        <w:spacing w:line="480" w:lineRule="exact"/>
        <w:rPr>
          <w:rFonts w:ascii="宋体" w:hAnsi="宋体" w:cs="宋体"/>
        </w:rPr>
      </w:pPr>
      <w:r>
        <w:rPr>
          <w:rFonts w:hint="eastAsia" w:asciiTheme="minorEastAsia" w:hAnsiTheme="minorEastAsia" w:eastAsiaTheme="minorEastAsia" w:cstheme="minorEastAsia"/>
        </w:rPr>
        <w:t>1.0.3</w:t>
      </w:r>
      <w:r>
        <w:rPr>
          <w:rFonts w:asciiTheme="minorEastAsia" w:hAnsiTheme="minorEastAsia" w:eastAsiaTheme="minorEastAsia" w:cstheme="minorEastAsia"/>
        </w:rPr>
        <w:t xml:space="preserve">  </w:t>
      </w:r>
      <w:r>
        <w:rPr>
          <w:rFonts w:hint="eastAsia" w:ascii="宋体" w:hAnsi="宋体" w:cs="宋体"/>
        </w:rPr>
        <w:t>种植屋面及种植顶板防水工程涉及多方面内容，除应按本规程执行外，尚应符合相关国家和行业标准的规定，具体见本规程引用标准名录。</w:t>
      </w:r>
    </w:p>
    <w:p w14:paraId="389A71D0">
      <w:pPr>
        <w:pStyle w:val="6"/>
        <w:jc w:val="center"/>
        <w:outlineLvl w:val="0"/>
        <w:rPr>
          <w:rFonts w:hint="eastAsia" w:ascii="黑体" w:hAnsi="黑体" w:eastAsia="黑体" w:cs="黑体"/>
          <w:sz w:val="32"/>
          <w:szCs w:val="40"/>
        </w:rPr>
        <w:sectPr>
          <w:pgSz w:w="11906" w:h="16838"/>
          <w:pgMar w:top="1440" w:right="1800" w:bottom="1440" w:left="1800" w:header="851" w:footer="992" w:gutter="0"/>
          <w:pgNumType w:fmt="decimal"/>
          <w:cols w:space="425" w:num="1"/>
          <w:docGrid w:type="lines" w:linePitch="312" w:charSpace="0"/>
        </w:sectPr>
      </w:pPr>
      <w:bookmarkStart w:id="129" w:name="_Toc10224"/>
    </w:p>
    <w:p w14:paraId="15299BC7">
      <w:pPr>
        <w:pStyle w:val="2"/>
        <w:widowControl/>
        <w:tabs>
          <w:tab w:val="left" w:pos="0"/>
        </w:tabs>
        <w:spacing w:before="0" w:after="0" w:line="360" w:lineRule="auto"/>
        <w:jc w:val="center"/>
        <w:rPr>
          <w:rFonts w:hint="eastAsia" w:ascii="Times New Roman" w:hAnsi="Times New Roman" w:eastAsia="宋体" w:cs="Times New Roman"/>
          <w:b/>
          <w:bCs w:val="0"/>
          <w:color w:val="000000" w:themeColor="text1"/>
          <w:kern w:val="44"/>
          <w:sz w:val="32"/>
          <w:szCs w:val="32"/>
          <w:lang w:val="zh-CN" w:eastAsia="zh-CN" w:bidi="ar-SA"/>
          <w14:textFill>
            <w14:solidFill>
              <w14:schemeClr w14:val="tx1"/>
            </w14:solidFill>
          </w14:textFill>
        </w:rPr>
      </w:pPr>
      <w:r>
        <w:rPr>
          <w:rFonts w:hint="eastAsia" w:ascii="Times New Roman" w:hAnsi="Times New Roman" w:cs="Times New Roman"/>
          <w:bCs w:val="0"/>
          <w:color w:val="000000" w:themeColor="text1"/>
          <w:sz w:val="32"/>
          <w:szCs w:val="32"/>
          <w:lang w:val="en-US" w:eastAsia="zh-CN"/>
          <w14:textFill>
            <w14:solidFill>
              <w14:schemeClr w14:val="tx1"/>
            </w14:solidFill>
          </w14:textFill>
        </w:rPr>
        <w:t>2</w:t>
      </w:r>
      <w:r>
        <w:rPr>
          <w:rFonts w:ascii="Times New Roman" w:hAnsi="Times New Roman" w:eastAsia="宋体" w:cs="Times New Roman"/>
          <w:bCs w:val="0"/>
          <w:color w:val="000000" w:themeColor="text1"/>
          <w:sz w:val="32"/>
          <w:szCs w:val="32"/>
          <w:lang w:val="zh-CN"/>
          <w14:textFill>
            <w14:solidFill>
              <w14:schemeClr w14:val="tx1"/>
            </w14:solidFill>
          </w14:textFill>
        </w:rPr>
        <w:t xml:space="preserve">  </w:t>
      </w:r>
      <w:r>
        <w:rPr>
          <w:rFonts w:hint="eastAsia" w:ascii="Times New Roman" w:hAnsi="Times New Roman" w:cs="Times New Roman"/>
          <w:bCs w:val="0"/>
          <w:color w:val="000000" w:themeColor="text1"/>
          <w:sz w:val="32"/>
          <w:szCs w:val="32"/>
          <w:lang w:val="en-US" w:eastAsia="zh-CN"/>
          <w14:textFill>
            <w14:solidFill>
              <w14:schemeClr w14:val="tx1"/>
            </w14:solidFill>
          </w14:textFill>
        </w:rPr>
        <w:t>术</w:t>
      </w:r>
      <w:r>
        <w:rPr>
          <w:rFonts w:hint="eastAsia" w:ascii="Times New Roman" w:hAnsi="Times New Roman" w:eastAsia="宋体" w:cs="Times New Roman"/>
          <w:bCs w:val="0"/>
          <w:color w:val="000000" w:themeColor="text1"/>
          <w:sz w:val="32"/>
          <w:szCs w:val="32"/>
          <w14:textFill>
            <w14:solidFill>
              <w14:schemeClr w14:val="tx1"/>
            </w14:solidFill>
          </w14:textFill>
        </w:rPr>
        <w:t xml:space="preserve">    </w:t>
      </w:r>
      <w:r>
        <w:rPr>
          <w:rFonts w:hint="eastAsia" w:ascii="Times New Roman" w:hAnsi="Times New Roman" w:cs="Times New Roman"/>
          <w:bCs w:val="0"/>
          <w:color w:val="000000" w:themeColor="text1"/>
          <w:sz w:val="32"/>
          <w:szCs w:val="32"/>
          <w:lang w:val="en-US" w:eastAsia="zh-CN"/>
          <w14:textFill>
            <w14:solidFill>
              <w14:schemeClr w14:val="tx1"/>
            </w14:solidFill>
          </w14:textFill>
        </w:rPr>
        <w:t>语</w:t>
      </w:r>
    </w:p>
    <w:p w14:paraId="0D2AD8D2">
      <w:pPr>
        <w:spacing w:line="480" w:lineRule="exac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2.0.5  防止植物根系刺穿的防水层，又称隔根层、阻根层、抗根层等。为统一名词称谓，本规程定为耐根穿刺防水层。</w:t>
      </w:r>
    </w:p>
    <w:p w14:paraId="10D46893">
      <w:pPr>
        <w:spacing w:line="480" w:lineRule="exact"/>
        <w:rPr>
          <w:rFonts w:hint="default" w:asciiTheme="minorEastAsia" w:hAnsiTheme="minorEastAsia" w:eastAsiaTheme="minorEastAsia" w:cstheme="minorEastAsia"/>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lang w:val="en-US" w:eastAsia="zh-CN"/>
        </w:rPr>
        <w:t>2.0.9  缓冲带具有滤水、排水、防火、养护通道、隔离等功能，也可降低土的侧压力，一般使用卵石、陶粒等材料构成。在寒冷地区，缓冲带可以起到消除冻胀作用。</w:t>
      </w:r>
    </w:p>
    <w:p w14:paraId="551D3D55">
      <w:pPr>
        <w:pStyle w:val="6"/>
        <w:jc w:val="center"/>
        <w:outlineLvl w:val="0"/>
        <w:rPr>
          <w:rFonts w:ascii="Times New Roman" w:hAnsi="Times New Roman" w:eastAsia="宋体" w:cs="Times New Roman"/>
          <w:b/>
          <w:bCs w:val="0"/>
          <w:color w:val="000000" w:themeColor="text1"/>
          <w:kern w:val="44"/>
          <w:sz w:val="32"/>
          <w:szCs w:val="32"/>
          <w:lang w:val="zh-CN" w:eastAsia="zh-CN" w:bidi="ar-SA"/>
          <w14:textFill>
            <w14:solidFill>
              <w14:schemeClr w14:val="tx1"/>
            </w14:solidFill>
          </w14:textFill>
        </w:rPr>
      </w:pPr>
      <w:r>
        <w:rPr>
          <w:rFonts w:hint="eastAsia" w:ascii="Times New Roman" w:hAnsi="Times New Roman" w:eastAsia="宋体" w:cs="Times New Roman"/>
          <w:b/>
          <w:bCs w:val="0"/>
          <w:color w:val="000000" w:themeColor="text1"/>
          <w:kern w:val="44"/>
          <w:sz w:val="32"/>
          <w:szCs w:val="32"/>
          <w:lang w:val="zh-CN" w:eastAsia="zh-CN" w:bidi="ar-SA"/>
          <w14:textFill>
            <w14:solidFill>
              <w14:schemeClr w14:val="tx1"/>
            </w14:solidFill>
          </w14:textFill>
        </w:rPr>
        <w:t xml:space="preserve">3 </w:t>
      </w:r>
      <w:r>
        <w:rPr>
          <w:rFonts w:ascii="Times New Roman" w:hAnsi="Times New Roman" w:eastAsia="宋体" w:cs="Times New Roman"/>
          <w:b/>
          <w:bCs w:val="0"/>
          <w:color w:val="000000" w:themeColor="text1"/>
          <w:kern w:val="44"/>
          <w:sz w:val="32"/>
          <w:szCs w:val="32"/>
          <w:lang w:val="zh-CN" w:eastAsia="zh-CN" w:bidi="ar-SA"/>
          <w14:textFill>
            <w14:solidFill>
              <w14:schemeClr w14:val="tx1"/>
            </w14:solidFill>
          </w14:textFill>
        </w:rPr>
        <w:t xml:space="preserve"> </w:t>
      </w:r>
      <w:r>
        <w:rPr>
          <w:rFonts w:hint="eastAsia" w:ascii="Times New Roman" w:hAnsi="Times New Roman" w:eastAsia="宋体" w:cs="Times New Roman"/>
          <w:b/>
          <w:bCs w:val="0"/>
          <w:color w:val="000000" w:themeColor="text1"/>
          <w:kern w:val="44"/>
          <w:sz w:val="32"/>
          <w:szCs w:val="32"/>
          <w:lang w:val="zh-CN" w:eastAsia="zh-CN" w:bidi="ar-SA"/>
          <w14:textFill>
            <w14:solidFill>
              <w14:schemeClr w14:val="tx1"/>
            </w14:solidFill>
          </w14:textFill>
        </w:rPr>
        <w:t>基 本 规 定</w:t>
      </w:r>
    </w:p>
    <w:p w14:paraId="32DEE91D">
      <w:pPr>
        <w:spacing w:line="480" w:lineRule="exact"/>
        <w:rPr>
          <w:rFonts w:ascii="宋体" w:hAnsi="宋体" w:cs="宋体"/>
        </w:rPr>
      </w:pPr>
      <w:r>
        <w:rPr>
          <w:rFonts w:hint="eastAsia" w:ascii="宋体" w:hAnsi="宋体" w:cs="宋体"/>
        </w:rPr>
        <w:t xml:space="preserve">3.0.4 </w:t>
      </w:r>
      <w:r>
        <w:rPr>
          <w:rFonts w:ascii="宋体" w:hAnsi="宋体" w:cs="宋体"/>
        </w:rPr>
        <w:t xml:space="preserve"> </w:t>
      </w:r>
      <w:r>
        <w:rPr>
          <w:rFonts w:hint="eastAsia" w:ascii="宋体" w:hAnsi="宋体" w:cs="宋体"/>
        </w:rPr>
        <w:t>改性沥青类耐根穿刺防水材料或接缝材料如不含化学阻根剂，植物根系易穿透防水卷材，破坏防水层。耐根穿刺防水材料供应商应将阻根剂生产企业、类别及产品说明书和包装上明示。</w:t>
      </w:r>
    </w:p>
    <w:p w14:paraId="67750E67">
      <w:pPr>
        <w:spacing w:line="480" w:lineRule="exact"/>
        <w:rPr>
          <w:rFonts w:ascii="宋体" w:hAnsi="宋体" w:cs="宋体"/>
        </w:rPr>
      </w:pPr>
      <w:r>
        <w:rPr>
          <w:rFonts w:hint="eastAsia" w:ascii="宋体" w:hAnsi="宋体" w:cs="宋体"/>
        </w:rPr>
        <w:t>在防水材料表面存在肉眼可见的毛绒状菌落，这类真菌通过产生有机酸酶或其他分泌物对材料本身造成侵蚀和破坏、降低材料的使用期限，所以耐根穿刺防水材料应该具有耐霉菌腐蚀的性能。</w:t>
      </w:r>
    </w:p>
    <w:p w14:paraId="47411C93">
      <w:pPr>
        <w:pStyle w:val="6"/>
        <w:jc w:val="center"/>
        <w:outlineLvl w:val="0"/>
        <w:rPr>
          <w:rFonts w:hint="eastAsia" w:ascii="黑体" w:hAnsi="黑体" w:eastAsia="黑体" w:cs="黑体"/>
          <w:sz w:val="32"/>
          <w:szCs w:val="40"/>
        </w:rPr>
        <w:sectPr>
          <w:pgSz w:w="11906" w:h="16838"/>
          <w:pgMar w:top="1440" w:right="1800" w:bottom="1440" w:left="1800" w:header="851" w:footer="992" w:gutter="0"/>
          <w:pgNumType w:fmt="decimal"/>
          <w:cols w:space="425" w:num="1"/>
          <w:docGrid w:type="lines" w:linePitch="312" w:charSpace="0"/>
        </w:sectPr>
      </w:pPr>
    </w:p>
    <w:bookmarkEnd w:id="129"/>
    <w:p w14:paraId="43888E63">
      <w:pPr>
        <w:pStyle w:val="6"/>
        <w:jc w:val="center"/>
        <w:outlineLvl w:val="0"/>
        <w:rPr>
          <w:rFonts w:asciiTheme="minorEastAsia" w:hAnsiTheme="minorEastAsia" w:eastAsiaTheme="minorEastAsia" w:cstheme="minorEastAsia"/>
          <w:highlight w:val="yellow"/>
        </w:rPr>
      </w:pPr>
      <w:bookmarkStart w:id="130" w:name="_Toc16847"/>
      <w:r>
        <w:rPr>
          <w:rFonts w:hint="eastAsia" w:ascii="黑体" w:hAnsi="黑体" w:eastAsia="黑体" w:cs="黑体"/>
          <w:sz w:val="32"/>
          <w:szCs w:val="40"/>
        </w:rPr>
        <w:t xml:space="preserve">4 </w:t>
      </w:r>
      <w:r>
        <w:rPr>
          <w:rFonts w:ascii="黑体" w:hAnsi="黑体" w:eastAsia="黑体" w:cs="黑体"/>
          <w:sz w:val="32"/>
          <w:szCs w:val="40"/>
        </w:rPr>
        <w:t xml:space="preserve"> </w:t>
      </w:r>
      <w:r>
        <w:rPr>
          <w:rFonts w:hint="eastAsia" w:ascii="黑体" w:hAnsi="黑体" w:eastAsia="黑体" w:cs="黑体"/>
          <w:sz w:val="32"/>
          <w:szCs w:val="40"/>
        </w:rPr>
        <w:t>材  料</w:t>
      </w:r>
      <w:bookmarkEnd w:id="130"/>
    </w:p>
    <w:p w14:paraId="20F8CE6B">
      <w:pPr>
        <w:spacing w:line="480" w:lineRule="exact"/>
        <w:jc w:val="center"/>
        <w:outlineLvl w:val="1"/>
        <w:rPr>
          <w:rFonts w:ascii="黑体" w:hAnsi="黑体" w:eastAsia="黑体" w:cs="黑体"/>
        </w:rPr>
      </w:pPr>
      <w:bookmarkStart w:id="131" w:name="_Toc1295"/>
      <w:r>
        <w:rPr>
          <w:rFonts w:hint="eastAsia" w:ascii="黑体" w:hAnsi="黑体" w:eastAsia="黑体" w:cs="黑体"/>
        </w:rPr>
        <w:t>4.1  一般规定</w:t>
      </w:r>
      <w:bookmarkEnd w:id="131"/>
    </w:p>
    <w:p w14:paraId="4DE9F578">
      <w:pPr>
        <w:pStyle w:val="11"/>
        <w:spacing w:line="360" w:lineRule="auto"/>
      </w:pPr>
      <w:r>
        <w:rPr>
          <w:rFonts w:hint="eastAsia"/>
        </w:rPr>
        <w:t>4</w:t>
      </w:r>
      <w:r>
        <w:t xml:space="preserve">.1.1  </w:t>
      </w:r>
      <w:r>
        <w:rPr>
          <w:rFonts w:hint="eastAsia"/>
        </w:rPr>
        <w:t>设计选用的耐根穿刺防水材料应符合《种植屋面用耐根穿刺防水卷材》GB/T 35468-2017及相关标准的规定。</w:t>
      </w:r>
    </w:p>
    <w:p w14:paraId="08DC277A">
      <w:pPr>
        <w:pStyle w:val="11"/>
        <w:spacing w:line="360" w:lineRule="auto"/>
      </w:pPr>
      <w:r>
        <w:rPr>
          <w:rFonts w:hint="eastAsia" w:ascii="宋体" w:hAnsi="宋体" w:cs="宋体"/>
        </w:rPr>
        <w:t>4.1.</w:t>
      </w:r>
      <w:r>
        <w:rPr>
          <w:rFonts w:ascii="宋体" w:hAnsi="宋体" w:cs="宋体"/>
        </w:rPr>
        <w:t>2</w:t>
      </w:r>
      <w:r>
        <w:rPr>
          <w:rFonts w:hAnsi="宋体" w:cs="宋体"/>
        </w:rPr>
        <w:t xml:space="preserve">  </w:t>
      </w:r>
      <w:r>
        <w:rPr>
          <w:rFonts w:hint="eastAsia"/>
        </w:rPr>
        <w:t>目前国内使用较多的是塑料排水板，与传统的材料相比，具有厚度薄、质量轻，降低建筑荷载、施工简便等优势。</w:t>
      </w:r>
    </w:p>
    <w:p w14:paraId="14609E92">
      <w:pPr>
        <w:pStyle w:val="6"/>
        <w:spacing w:line="360" w:lineRule="auto"/>
        <w:rPr>
          <w:rFonts w:hAnsi="宋体" w:cs="宋体"/>
          <w:szCs w:val="21"/>
        </w:rPr>
      </w:pPr>
      <w:r>
        <w:rPr>
          <w:rFonts w:hint="eastAsia" w:hAnsi="宋体" w:cs="宋体"/>
        </w:rPr>
        <w:t>4.1.</w:t>
      </w:r>
      <w:r>
        <w:rPr>
          <w:rFonts w:hAnsi="宋体" w:cs="宋体"/>
        </w:rPr>
        <w:t xml:space="preserve">6  </w:t>
      </w:r>
      <w:r>
        <w:rPr>
          <w:rFonts w:hint="eastAsia"/>
        </w:rPr>
        <w:t>种植屋面散装绝热材料由于抗压强度小、吸水率大，不易选用。</w:t>
      </w:r>
      <w:r>
        <w:t>为减轻种植屋面荷载</w:t>
      </w:r>
      <w:r>
        <w:rPr>
          <w:rFonts w:hint="eastAsia"/>
        </w:rPr>
        <w:t>，</w:t>
      </w:r>
      <w:r>
        <w:t>本规程建议选用密度不大于</w:t>
      </w:r>
      <w:r>
        <w:rPr>
          <w:rFonts w:hint="eastAsia"/>
        </w:rPr>
        <w:t>1</w:t>
      </w:r>
      <w:r>
        <w:t>00Kg/m</w:t>
      </w:r>
      <w:r>
        <w:rPr>
          <w:vertAlign w:val="superscript"/>
        </w:rPr>
        <w:t>3</w:t>
      </w:r>
      <w:r>
        <w:rPr>
          <w:rFonts w:hint="eastAsia"/>
        </w:rPr>
        <w:t>、</w:t>
      </w:r>
      <w:r>
        <w:rPr>
          <w:rFonts w:hint="eastAsia" w:hAnsi="宋体" w:cs="宋体"/>
          <w:szCs w:val="21"/>
        </w:rPr>
        <w:t>压缩强度不应低于100KPa的保温材料。</w:t>
      </w:r>
    </w:p>
    <w:p w14:paraId="5E185309">
      <w:pPr>
        <w:spacing w:line="480" w:lineRule="exact"/>
        <w:jc w:val="center"/>
        <w:outlineLvl w:val="1"/>
      </w:pPr>
      <w:bookmarkStart w:id="132" w:name="_Toc20903"/>
      <w:r>
        <w:rPr>
          <w:rFonts w:hint="eastAsia" w:ascii="黑体" w:hAnsi="黑体" w:eastAsia="黑体" w:cs="黑体"/>
        </w:rPr>
        <w:t>4.2  耐根穿刺防水材料</w:t>
      </w:r>
      <w:bookmarkEnd w:id="132"/>
    </w:p>
    <w:p w14:paraId="4ACEC087">
      <w:pPr>
        <w:pStyle w:val="6"/>
        <w:spacing w:line="360" w:lineRule="auto"/>
      </w:pPr>
      <w:r>
        <w:rPr>
          <w:rFonts w:hint="eastAsia" w:hAnsi="宋体" w:cs="宋体"/>
        </w:rPr>
        <w:t>4.2.4</w:t>
      </w:r>
      <w:r>
        <w:rPr>
          <w:rFonts w:hAnsi="宋体" w:cs="宋体"/>
        </w:rPr>
        <w:t xml:space="preserve">  </w:t>
      </w:r>
      <w:r>
        <w:rPr>
          <w:rFonts w:hint="eastAsia"/>
        </w:rPr>
        <w:t>热塑性聚烯烃（TPO）防水卷材搭接应选用焊接工艺。</w:t>
      </w:r>
    </w:p>
    <w:p w14:paraId="695915DE">
      <w:pPr>
        <w:pStyle w:val="6"/>
        <w:spacing w:line="360" w:lineRule="auto"/>
      </w:pPr>
      <w:r>
        <w:rPr>
          <w:rFonts w:hint="eastAsia" w:hAnsi="宋体" w:cs="宋体"/>
        </w:rPr>
        <w:t>4.2.5</w:t>
      </w:r>
      <w:r>
        <w:rPr>
          <w:rFonts w:hAnsi="宋体" w:cs="宋体"/>
        </w:rPr>
        <w:t xml:space="preserve">  </w:t>
      </w:r>
      <w:r>
        <w:rPr>
          <w:rFonts w:hint="eastAsia"/>
        </w:rPr>
        <w:t>高度聚乙烯土工膜搭接应选用焊接工艺。</w:t>
      </w:r>
    </w:p>
    <w:p w14:paraId="6AE861FB">
      <w:pPr>
        <w:pStyle w:val="6"/>
        <w:spacing w:line="480" w:lineRule="exact"/>
      </w:pPr>
      <w:r>
        <w:rPr>
          <w:rFonts w:hint="eastAsia" w:hAnsi="宋体" w:cs="宋体"/>
        </w:rPr>
        <w:t>4.2.</w:t>
      </w:r>
      <w:r>
        <w:rPr>
          <w:rFonts w:hAnsi="宋体" w:cs="宋体"/>
        </w:rPr>
        <w:t xml:space="preserve">7  </w:t>
      </w:r>
      <w:r>
        <w:rPr>
          <w:rFonts w:hint="eastAsia"/>
        </w:rPr>
        <w:t>三元乙丙橡胶防水卷材选用胶带搭接处理时，胶带需具有耐根穿刺性能。</w:t>
      </w:r>
    </w:p>
    <w:p w14:paraId="741C7F31">
      <w:pPr>
        <w:spacing w:line="480" w:lineRule="exact"/>
        <w:jc w:val="center"/>
        <w:outlineLvl w:val="1"/>
        <w:rPr>
          <w:rFonts w:ascii="黑体" w:hAnsi="黑体" w:eastAsia="黑体" w:cs="黑体"/>
        </w:rPr>
      </w:pPr>
      <w:bookmarkStart w:id="133" w:name="_Toc3591"/>
      <w:r>
        <w:rPr>
          <w:rFonts w:hint="eastAsia" w:ascii="黑体" w:hAnsi="黑体" w:eastAsia="黑体" w:cs="黑体"/>
        </w:rPr>
        <w:t>4.4  过滤材料</w:t>
      </w:r>
      <w:bookmarkEnd w:id="133"/>
    </w:p>
    <w:p w14:paraId="0442E2FD">
      <w:pPr>
        <w:pStyle w:val="6"/>
        <w:spacing w:line="480" w:lineRule="exact"/>
      </w:pPr>
      <w:r>
        <w:rPr>
          <w:rFonts w:hint="eastAsia" w:hAnsi="宋体" w:cs="宋体"/>
        </w:rPr>
        <w:t>4.4.1</w:t>
      </w:r>
      <w:r>
        <w:rPr>
          <w:rFonts w:hAnsi="宋体" w:cs="宋体"/>
        </w:rPr>
        <w:t xml:space="preserve">  </w:t>
      </w:r>
      <w:r>
        <w:rPr>
          <w:rFonts w:hint="eastAsia"/>
        </w:rPr>
        <w:t xml:space="preserve">过滤层太薄容易导致种植土的流失，太厚的话过滤水速度慢，不利于排水，同是过滤层宜有一定的强度，能够承受种植土的压力，避免造成排水通道堵塞。 </w:t>
      </w:r>
    </w:p>
    <w:p w14:paraId="5499EB7E">
      <w:pPr>
        <w:pStyle w:val="6"/>
        <w:jc w:val="center"/>
        <w:outlineLvl w:val="0"/>
        <w:rPr>
          <w:rFonts w:hint="eastAsia" w:ascii="黑体" w:hAnsi="黑体" w:eastAsia="黑体" w:cs="黑体"/>
          <w:sz w:val="32"/>
          <w:szCs w:val="40"/>
        </w:rPr>
        <w:sectPr>
          <w:pgSz w:w="11906" w:h="16838"/>
          <w:pgMar w:top="1440" w:right="1800" w:bottom="1440" w:left="1800" w:header="851" w:footer="992" w:gutter="0"/>
          <w:pgNumType w:fmt="decimal"/>
          <w:cols w:space="425" w:num="1"/>
          <w:docGrid w:type="lines" w:linePitch="312" w:charSpace="0"/>
        </w:sectPr>
      </w:pPr>
      <w:bookmarkStart w:id="134" w:name="_Toc731"/>
    </w:p>
    <w:p w14:paraId="154B07F5">
      <w:pPr>
        <w:pStyle w:val="6"/>
        <w:jc w:val="center"/>
        <w:outlineLvl w:val="0"/>
        <w:rPr>
          <w:rFonts w:ascii="黑体" w:hAnsi="黑体" w:eastAsia="黑体" w:cs="黑体"/>
          <w:sz w:val="32"/>
          <w:szCs w:val="40"/>
        </w:rPr>
      </w:pPr>
      <w:r>
        <w:rPr>
          <w:rFonts w:hint="eastAsia" w:ascii="黑体" w:hAnsi="黑体" w:eastAsia="黑体" w:cs="黑体"/>
          <w:sz w:val="32"/>
          <w:szCs w:val="40"/>
        </w:rPr>
        <w:t>5 设  计</w:t>
      </w:r>
    </w:p>
    <w:p w14:paraId="0483F267">
      <w:pPr>
        <w:spacing w:line="480" w:lineRule="exact"/>
        <w:jc w:val="center"/>
        <w:outlineLvl w:val="1"/>
        <w:rPr>
          <w:rFonts w:ascii="黑体" w:hAnsi="黑体" w:eastAsia="黑体" w:cs="黑体"/>
        </w:rPr>
      </w:pPr>
      <w:r>
        <w:rPr>
          <w:rFonts w:hint="eastAsia" w:ascii="黑体" w:hAnsi="黑体" w:eastAsia="黑体" w:cs="黑体"/>
        </w:rPr>
        <w:t>5.1  一般规定</w:t>
      </w:r>
    </w:p>
    <w:p w14:paraId="17E2E968">
      <w:pPr>
        <w:spacing w:line="480" w:lineRule="exact"/>
        <w:rPr>
          <w:rFonts w:ascii="宋体" w:hAnsi="宋体" w:cs="宋体"/>
        </w:rPr>
      </w:pPr>
      <w:r>
        <w:rPr>
          <w:rFonts w:hint="eastAsia" w:ascii="宋体" w:hAnsi="宋体" w:cs="宋体"/>
        </w:rPr>
        <w:t xml:space="preserve">5.1.5 </w:t>
      </w:r>
      <w:r>
        <w:rPr>
          <w:rFonts w:ascii="宋体" w:hAnsi="宋体" w:cs="宋体"/>
        </w:rPr>
        <w:t xml:space="preserve"> 第5款</w:t>
      </w:r>
      <w:r>
        <w:rPr>
          <w:rFonts w:hint="eastAsia" w:ascii="宋体" w:hAnsi="宋体" w:cs="宋体"/>
        </w:rPr>
        <w:t>保护层设计根据系统要求可取消。</w:t>
      </w:r>
    </w:p>
    <w:p w14:paraId="5D1E6E6A">
      <w:pPr>
        <w:spacing w:line="480" w:lineRule="exact"/>
        <w:rPr>
          <w:rFonts w:ascii="宋体" w:hAnsi="宋体" w:cs="宋体"/>
          <w:color w:val="000000" w:themeColor="text1"/>
          <w14:textFill>
            <w14:solidFill>
              <w14:schemeClr w14:val="tx1"/>
            </w14:solidFill>
          </w14:textFill>
        </w:rPr>
      </w:pPr>
      <w:r>
        <w:rPr>
          <w:rFonts w:hint="eastAsia" w:ascii="宋体" w:hAnsi="宋体" w:cs="宋体"/>
        </w:rPr>
        <w:t xml:space="preserve">5.1.6 </w:t>
      </w:r>
      <w:r>
        <w:rPr>
          <w:rFonts w:ascii="宋体" w:hAnsi="宋体" w:cs="宋体"/>
          <w:color w:val="000000" w:themeColor="text1"/>
          <w14:textFill>
            <w14:solidFill>
              <w14:schemeClr w14:val="tx1"/>
            </w14:solidFill>
          </w14:textFill>
        </w:rPr>
        <w:t xml:space="preserve"> </w:t>
      </w:r>
      <w:r>
        <w:rPr>
          <w:color w:val="000000" w:themeColor="text1"/>
          <w14:textFill>
            <w14:solidFill>
              <w14:schemeClr w14:val="tx1"/>
            </w14:solidFill>
          </w14:textFill>
        </w:rPr>
        <w:t>种植屋面不设刚性保护层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而增加排蓄水系统，</w:t>
      </w:r>
      <w:r>
        <w:rPr>
          <w:rFonts w:hint="eastAsia"/>
          <w:color w:val="000000" w:themeColor="text1"/>
          <w14:textFill>
            <w14:solidFill>
              <w14:schemeClr w14:val="tx1"/>
            </w14:solidFill>
          </w14:textFill>
        </w:rPr>
        <w:t>排蓄水层的系统形式、观察井、蓄水池等的布置和选用应与建筑、结构和机电各相关专业协调后确定。</w:t>
      </w:r>
    </w:p>
    <w:p w14:paraId="339E30F8">
      <w:pPr>
        <w:spacing w:line="480" w:lineRule="exact"/>
        <w:jc w:val="center"/>
        <w:outlineLvl w:val="1"/>
        <w:rPr>
          <w:rFonts w:ascii="黑体" w:hAnsi="黑体" w:eastAsia="黑体" w:cs="黑体"/>
        </w:rPr>
      </w:pPr>
      <w:r>
        <w:rPr>
          <w:rFonts w:hint="eastAsia" w:ascii="黑体" w:hAnsi="黑体" w:eastAsia="黑体" w:cs="黑体"/>
        </w:rPr>
        <w:t>5.2  种植屋面防排水系统</w:t>
      </w:r>
    </w:p>
    <w:p w14:paraId="434520FD">
      <w:pPr>
        <w:spacing w:line="480" w:lineRule="exact"/>
        <w:rPr>
          <w:rFonts w:ascii="宋体" w:hAnsi="宋体" w:cs="宋体"/>
        </w:rPr>
      </w:pPr>
      <w:r>
        <w:rPr>
          <w:rFonts w:hint="eastAsia" w:ascii="宋体" w:hAnsi="宋体" w:cs="宋体"/>
        </w:rPr>
        <w:t>5.2.1</w:t>
      </w:r>
      <w:r>
        <w:rPr>
          <w:rFonts w:hAnsi="宋体" w:cs="宋体"/>
        </w:rPr>
        <w:t xml:space="preserve">  </w:t>
      </w:r>
      <w:r>
        <w:rPr>
          <w:rFonts w:hint="eastAsia" w:ascii="宋体" w:hAnsi="宋体" w:cs="宋体"/>
        </w:rPr>
        <w:t>图5.2.1的屋面基本构造层次是较为完善的种植平屋面构造，设计人员可在满足设计要求的前提下对基本的构造层次进行增删或修改，以适应具体的项目情况。</w:t>
      </w:r>
    </w:p>
    <w:p w14:paraId="387DE6CB">
      <w:pPr>
        <w:spacing w:line="480" w:lineRule="exact"/>
        <w:rPr>
          <w:rFonts w:ascii="宋体" w:hAnsi="宋体" w:cs="宋体"/>
          <w:color w:val="FF0000"/>
        </w:rPr>
      </w:pPr>
      <w:r>
        <w:rPr>
          <w:rFonts w:hint="eastAsia" w:ascii="宋体" w:hAnsi="宋体" w:cs="宋体"/>
        </w:rPr>
        <w:t>5.2.3</w:t>
      </w:r>
      <w:r>
        <w:rPr>
          <w:rFonts w:hAnsi="宋体" w:cs="宋体"/>
        </w:rPr>
        <w:t xml:space="preserve">  </w:t>
      </w:r>
      <w:r>
        <w:rPr>
          <w:rFonts w:hint="eastAsia" w:ascii="宋体" w:hAnsi="宋体" w:cs="宋体"/>
        </w:rPr>
        <w:t>倒置式屋面是在屋面先施工防水层，后施工保温层的一种屋面类型，由于保温材料吸水性相对较高，不耐根穿刺，故种植屋面不应选用倒置式屋面。</w:t>
      </w:r>
    </w:p>
    <w:p w14:paraId="0BF3BCCC">
      <w:pPr>
        <w:spacing w:line="480" w:lineRule="exact"/>
        <w:rPr>
          <w:rFonts w:ascii="宋体" w:hAnsi="宋体" w:cs="宋体"/>
        </w:rPr>
      </w:pPr>
      <w:r>
        <w:rPr>
          <w:rFonts w:hint="eastAsia" w:ascii="宋体" w:hAnsi="宋体" w:cs="宋体"/>
        </w:rPr>
        <w:t>5.2.5  种植屋面需要将屋面水落口，排蓄水板或排水管共同组成排水系统，形成屋面整体的有组织排水体系，防止屋面出现大量的雨水滞留。</w:t>
      </w:r>
    </w:p>
    <w:p w14:paraId="792E1BE5">
      <w:pPr>
        <w:spacing w:line="360" w:lineRule="auto"/>
        <w:rPr>
          <w:rFonts w:ascii="宋体" w:hAnsi="宋体" w:cs="宋体"/>
        </w:rPr>
      </w:pPr>
      <w:r>
        <w:rPr>
          <w:rFonts w:hint="eastAsia" w:ascii="宋体" w:hAnsi="宋体" w:cs="宋体"/>
        </w:rPr>
        <w:t xml:space="preserve">5.2.6 </w:t>
      </w:r>
      <w:r>
        <w:rPr>
          <w:rFonts w:ascii="宋体" w:hAnsi="宋体" w:cs="宋体"/>
        </w:rPr>
        <w:t xml:space="preserve"> </w:t>
      </w:r>
      <w:r>
        <w:rPr>
          <w:rFonts w:hint="eastAsia" w:ascii="宋体" w:hAnsi="宋体" w:cs="宋体"/>
        </w:rPr>
        <w:t>种植屋面一般荷载较大，屋面坡度大于50%时，种植屋面的各构造层次易产生滑移，为防止出现滑坡等安全事故，不建议设计为种植屋面。</w:t>
      </w:r>
    </w:p>
    <w:p w14:paraId="6E8579B1">
      <w:pPr>
        <w:spacing w:line="480" w:lineRule="exact"/>
        <w:jc w:val="center"/>
        <w:outlineLvl w:val="1"/>
        <w:rPr>
          <w:rFonts w:ascii="黑体" w:hAnsi="黑体" w:eastAsia="黑体" w:cs="黑体"/>
        </w:rPr>
      </w:pPr>
      <w:r>
        <w:rPr>
          <w:rFonts w:hint="eastAsia" w:ascii="黑体" w:hAnsi="黑体" w:eastAsia="黑体" w:cs="黑体"/>
        </w:rPr>
        <w:t>5.3  有保护层的种植顶板防排水系统</w:t>
      </w:r>
    </w:p>
    <w:p w14:paraId="02A250BD">
      <w:pPr>
        <w:pStyle w:val="11"/>
        <w:spacing w:line="360" w:lineRule="auto"/>
        <w:rPr>
          <w:szCs w:val="21"/>
        </w:rPr>
      </w:pPr>
      <w:r>
        <w:rPr>
          <w:rFonts w:hint="eastAsia" w:ascii="宋体" w:hAnsi="宋体" w:cs="宋体"/>
        </w:rPr>
        <w:t>5.3.3</w:t>
      </w:r>
      <w:r>
        <w:rPr>
          <w:rFonts w:hAnsi="宋体" w:cs="宋体"/>
        </w:rPr>
        <w:t xml:space="preserve">  </w:t>
      </w:r>
      <w:r>
        <w:rPr>
          <w:rStyle w:val="19"/>
          <w:rFonts w:hint="eastAsia"/>
        </w:rPr>
        <w:t>当采用结构找坡或有可靠排水措施时可取消找坡层。</w:t>
      </w:r>
    </w:p>
    <w:p w14:paraId="3FB2AED9">
      <w:pPr>
        <w:spacing w:line="360" w:lineRule="auto"/>
        <w:rPr>
          <w:rFonts w:ascii="宋体" w:hAnsi="宋体" w:cs="宋体"/>
        </w:rPr>
      </w:pPr>
      <w:r>
        <w:rPr>
          <w:rFonts w:hint="eastAsia" w:ascii="宋体" w:hAnsi="宋体" w:cs="宋体"/>
        </w:rPr>
        <w:t>5.3.</w:t>
      </w:r>
      <w:r>
        <w:rPr>
          <w:rFonts w:ascii="宋体" w:hAnsi="宋体" w:cs="宋体"/>
        </w:rPr>
        <w:t xml:space="preserve">6  </w:t>
      </w:r>
      <w:r>
        <w:rPr>
          <w:rFonts w:hint="eastAsia" w:ascii="宋体" w:hAnsi="宋体" w:cs="宋体"/>
        </w:rPr>
        <w:t>地下室顶板可能因降雨形成雨水滞留，造成植物根系腐烂，设置排水盲沟或排水明沟能有效的将覆土中的积水排至周边土体或建筑物的排水系统。</w:t>
      </w:r>
    </w:p>
    <w:p w14:paraId="6AD9D072">
      <w:pPr>
        <w:spacing w:line="480" w:lineRule="exact"/>
        <w:jc w:val="center"/>
        <w:outlineLvl w:val="1"/>
        <w:rPr>
          <w:rFonts w:ascii="黑体" w:hAnsi="黑体" w:eastAsia="黑体" w:cs="黑体"/>
        </w:rPr>
      </w:pPr>
      <w:r>
        <w:rPr>
          <w:rFonts w:hint="eastAsia" w:ascii="黑体" w:hAnsi="黑体" w:eastAsia="黑体" w:cs="黑体"/>
        </w:rPr>
        <w:t xml:space="preserve">5.4 </w:t>
      </w:r>
      <w:r>
        <w:rPr>
          <w:rFonts w:ascii="黑体" w:hAnsi="黑体" w:eastAsia="黑体" w:cs="黑体"/>
        </w:rPr>
        <w:t xml:space="preserve"> </w:t>
      </w:r>
      <w:r>
        <w:rPr>
          <w:rFonts w:hint="eastAsia" w:ascii="黑体" w:hAnsi="黑体" w:eastAsia="黑体" w:cs="黑体"/>
        </w:rPr>
        <w:t>无保护层的种植顶板防排水系统</w:t>
      </w:r>
    </w:p>
    <w:p w14:paraId="129A4707">
      <w:pPr>
        <w:spacing w:line="480" w:lineRule="exact"/>
        <w:rPr>
          <w:rFonts w:ascii="宋体" w:hAnsi="宋体" w:cs="宋体"/>
        </w:rPr>
      </w:pPr>
      <w:r>
        <w:rPr>
          <w:rFonts w:hint="eastAsia" w:ascii="宋体" w:hAnsi="宋体" w:cs="宋体"/>
        </w:rPr>
        <w:t>5.4.3  面积较大一般指1万平米以上的地下建筑顶板。</w:t>
      </w:r>
    </w:p>
    <w:p w14:paraId="32881A51">
      <w:pPr>
        <w:pStyle w:val="6"/>
        <w:jc w:val="center"/>
        <w:outlineLvl w:val="0"/>
        <w:rPr>
          <w:rFonts w:hint="eastAsia" w:ascii="黑体" w:hAnsi="黑体" w:eastAsia="黑体" w:cs="黑体"/>
          <w:sz w:val="32"/>
          <w:szCs w:val="40"/>
        </w:rPr>
        <w:sectPr>
          <w:pgSz w:w="11906" w:h="16838"/>
          <w:pgMar w:top="1440" w:right="1800" w:bottom="1440" w:left="1800" w:header="851" w:footer="992" w:gutter="0"/>
          <w:pgNumType w:fmt="decimal"/>
          <w:cols w:space="425" w:num="1"/>
          <w:docGrid w:type="lines" w:linePitch="312" w:charSpace="0"/>
        </w:sectPr>
      </w:pPr>
    </w:p>
    <w:bookmarkEnd w:id="134"/>
    <w:p w14:paraId="4AE89020">
      <w:pPr>
        <w:pStyle w:val="6"/>
        <w:jc w:val="center"/>
        <w:outlineLvl w:val="0"/>
        <w:rPr>
          <w:rFonts w:asciiTheme="minorEastAsia" w:hAnsiTheme="minorEastAsia" w:eastAsiaTheme="minorEastAsia" w:cstheme="minorEastAsia"/>
          <w:highlight w:val="yellow"/>
        </w:rPr>
      </w:pPr>
      <w:bookmarkStart w:id="135" w:name="_Toc17987"/>
      <w:r>
        <w:rPr>
          <w:rFonts w:hint="eastAsia" w:ascii="黑体" w:hAnsi="黑体" w:eastAsia="黑体" w:cs="黑体"/>
          <w:sz w:val="32"/>
          <w:szCs w:val="40"/>
        </w:rPr>
        <w:t>6 施  工</w:t>
      </w:r>
      <w:bookmarkEnd w:id="135"/>
    </w:p>
    <w:p w14:paraId="4D403A08">
      <w:pPr>
        <w:spacing w:line="480" w:lineRule="exact"/>
        <w:jc w:val="center"/>
        <w:outlineLvl w:val="1"/>
        <w:rPr>
          <w:rFonts w:ascii="黑体" w:hAnsi="黑体" w:eastAsia="黑体" w:cs="黑体"/>
        </w:rPr>
      </w:pPr>
      <w:bookmarkStart w:id="136" w:name="_Toc15188"/>
      <w:r>
        <w:rPr>
          <w:rFonts w:hint="eastAsia" w:ascii="黑体" w:hAnsi="黑体" w:eastAsia="黑体" w:cs="黑体"/>
        </w:rPr>
        <w:t>6.1</w:t>
      </w:r>
      <w:r>
        <w:rPr>
          <w:rFonts w:ascii="黑体" w:hAnsi="黑体" w:eastAsia="黑体" w:cs="黑体"/>
        </w:rPr>
        <w:t xml:space="preserve">  </w:t>
      </w:r>
      <w:r>
        <w:rPr>
          <w:rFonts w:hint="eastAsia" w:ascii="黑体" w:hAnsi="黑体" w:eastAsia="黑体" w:cs="黑体"/>
        </w:rPr>
        <w:t>一般规定</w:t>
      </w:r>
      <w:bookmarkEnd w:id="136"/>
    </w:p>
    <w:p w14:paraId="03C3EF08">
      <w:pPr>
        <w:spacing w:line="480" w:lineRule="exact"/>
        <w:rPr>
          <w:rFonts w:ascii="宋体" w:hAnsi="宋体" w:cs="宋体"/>
        </w:rPr>
      </w:pPr>
      <w:r>
        <w:rPr>
          <w:rFonts w:hint="eastAsia" w:ascii="宋体" w:hAnsi="宋体" w:cs="宋体"/>
        </w:rPr>
        <w:t>6.1.3  按上述做法相当于地下室侧墙与顶板形成的阳角两侧250mm范围内各多做一道防水层，等同于多做了一道附加层，且该做法便于施工，还能防止侧墙防水层脱落，也能避免该部位防水层次过多，解决现场附加层相关争议。</w:t>
      </w:r>
    </w:p>
    <w:p w14:paraId="213F64C5">
      <w:pPr>
        <w:spacing w:line="480" w:lineRule="exact"/>
        <w:rPr>
          <w:rFonts w:ascii="宋体" w:hAnsi="宋体" w:cs="宋体"/>
        </w:rPr>
      </w:pPr>
      <w:r>
        <w:rPr>
          <w:rFonts w:hint="eastAsia" w:ascii="宋体" w:hAnsi="宋体" w:cs="宋体"/>
        </w:rPr>
        <w:t>6.1.4  植被根系深浅不一，生长方向不仅仅只有垂直向下，故涉及到墙体上返部位宜采用和大面相同的做法。</w:t>
      </w:r>
    </w:p>
    <w:p w14:paraId="65CE636C">
      <w:pPr>
        <w:spacing w:line="480" w:lineRule="exact"/>
        <w:jc w:val="center"/>
        <w:outlineLvl w:val="1"/>
        <w:rPr>
          <w:rFonts w:ascii="黑体" w:hAnsi="黑体" w:eastAsia="黑体" w:cs="黑体"/>
        </w:rPr>
      </w:pPr>
      <w:bookmarkStart w:id="137" w:name="_Toc31649"/>
      <w:r>
        <w:rPr>
          <w:rFonts w:hint="eastAsia" w:ascii="黑体" w:hAnsi="黑体" w:eastAsia="黑体" w:cs="黑体"/>
        </w:rPr>
        <w:t>6.2</w:t>
      </w:r>
      <w:r>
        <w:rPr>
          <w:rFonts w:ascii="黑体" w:hAnsi="黑体" w:eastAsia="黑体" w:cs="黑体"/>
        </w:rPr>
        <w:t xml:space="preserve">  </w:t>
      </w:r>
      <w:r>
        <w:rPr>
          <w:rFonts w:hint="eastAsia" w:ascii="黑体" w:hAnsi="黑体" w:eastAsia="黑体" w:cs="黑体"/>
        </w:rPr>
        <w:t>普通防水层施工</w:t>
      </w:r>
      <w:bookmarkEnd w:id="137"/>
    </w:p>
    <w:p w14:paraId="59CE0B28">
      <w:pPr>
        <w:spacing w:line="480" w:lineRule="exact"/>
        <w:rPr>
          <w:rFonts w:ascii="宋体" w:hAnsi="宋体" w:cs="宋体"/>
          <w:color w:val="FF0000"/>
        </w:rPr>
      </w:pPr>
      <w:r>
        <w:rPr>
          <w:rFonts w:hint="eastAsia" w:ascii="宋体" w:hAnsi="宋体" w:cs="宋体"/>
        </w:rPr>
        <w:t>6.2.1</w:t>
      </w:r>
      <w:r>
        <w:rPr>
          <w:rFonts w:hAnsi="宋体" w:cs="宋体"/>
        </w:rPr>
        <w:t xml:space="preserve">  </w:t>
      </w:r>
      <w:r>
        <w:rPr>
          <w:rFonts w:hint="eastAsia" w:ascii="宋体" w:hAnsi="宋体" w:cs="宋体"/>
        </w:rPr>
        <w:t>原JGJ155要求附加层与大面防水层同质或相容，范围较广，为避免实施过程中有争议，这里进行了明确，宽度为500mm，宜与普通防水层材料为同种材料。</w:t>
      </w:r>
    </w:p>
    <w:p w14:paraId="71899C31">
      <w:pPr>
        <w:spacing w:line="480" w:lineRule="exact"/>
        <w:rPr>
          <w:rFonts w:ascii="宋体" w:hAnsi="宋体" w:cs="宋体"/>
        </w:rPr>
      </w:pPr>
      <w:r>
        <w:rPr>
          <w:rFonts w:hint="eastAsia" w:ascii="宋体" w:hAnsi="宋体" w:cs="宋体"/>
        </w:rPr>
        <w:t>6.2.</w:t>
      </w:r>
      <w:r>
        <w:rPr>
          <w:rFonts w:ascii="宋体" w:hAnsi="宋体" w:cs="宋体"/>
        </w:rPr>
        <w:t>5</w:t>
      </w:r>
      <w:r>
        <w:rPr>
          <w:rFonts w:hint="eastAsia" w:ascii="宋体" w:hAnsi="宋体" w:cs="宋体"/>
        </w:rPr>
        <w:t xml:space="preserve">  基层上满涂基层胶粘剂，涂刷量过少露底或过多堆积，都会影响防水层粘结质量。为保证防水卷材与基层具有良好的粘结性，卷材底面和基层均应满涂基层胶粘剂。</w:t>
      </w:r>
    </w:p>
    <w:p w14:paraId="3ED54B2E">
      <w:pPr>
        <w:spacing w:line="480" w:lineRule="exact"/>
        <w:rPr>
          <w:rFonts w:ascii="宋体" w:hAnsi="宋体" w:cs="宋体"/>
        </w:rPr>
      </w:pPr>
      <w:r>
        <w:rPr>
          <w:rFonts w:hint="eastAsia" w:ascii="宋体" w:hAnsi="宋体" w:cs="宋体"/>
        </w:rPr>
        <w:t>6.2.</w:t>
      </w:r>
      <w:r>
        <w:rPr>
          <w:rFonts w:ascii="宋体" w:hAnsi="宋体" w:cs="宋体"/>
        </w:rPr>
        <w:t>6</w:t>
      </w:r>
      <w:r>
        <w:rPr>
          <w:rFonts w:hint="eastAsia" w:ascii="宋体" w:hAnsi="宋体" w:cs="宋体"/>
        </w:rPr>
        <w:t xml:space="preserve">  涂刷防水涂料实干才能成膜，如果第一遍涂料未实干，就涂刷第二遍，极易造成涂膜起鼓、脱层等质量问题。因此，必须控制好涂层的干燥程度。</w:t>
      </w:r>
      <w:r>
        <w:rPr>
          <w:rFonts w:ascii="宋体" w:hAnsi="宋体" w:cs="宋体"/>
        </w:rPr>
        <w:t xml:space="preserve"> </w:t>
      </w:r>
    </w:p>
    <w:p w14:paraId="023C6B5F">
      <w:pPr>
        <w:spacing w:line="480" w:lineRule="exact"/>
        <w:jc w:val="center"/>
        <w:outlineLvl w:val="1"/>
        <w:rPr>
          <w:rFonts w:ascii="黑体" w:hAnsi="黑体" w:eastAsia="黑体" w:cs="黑体"/>
        </w:rPr>
      </w:pPr>
      <w:bookmarkStart w:id="138" w:name="_Toc8878"/>
      <w:r>
        <w:rPr>
          <w:rFonts w:hint="eastAsia" w:ascii="黑体" w:hAnsi="黑体" w:eastAsia="黑体" w:cs="黑体"/>
        </w:rPr>
        <w:t xml:space="preserve">6.3 </w:t>
      </w:r>
      <w:r>
        <w:rPr>
          <w:rFonts w:ascii="黑体" w:hAnsi="黑体" w:eastAsia="黑体" w:cs="黑体"/>
        </w:rPr>
        <w:t xml:space="preserve"> </w:t>
      </w:r>
      <w:r>
        <w:rPr>
          <w:rFonts w:hint="eastAsia" w:ascii="黑体" w:hAnsi="黑体" w:eastAsia="黑体" w:cs="黑体"/>
        </w:rPr>
        <w:t>耐根穿刺防水层</w:t>
      </w:r>
      <w:bookmarkEnd w:id="138"/>
    </w:p>
    <w:p w14:paraId="4CE1C97B">
      <w:pPr>
        <w:spacing w:line="480" w:lineRule="exact"/>
        <w:rPr>
          <w:rFonts w:ascii="宋体" w:hAnsi="宋体" w:cs="宋体"/>
        </w:rPr>
      </w:pPr>
      <w:r>
        <w:rPr>
          <w:rFonts w:hint="eastAsia" w:ascii="宋体" w:hAnsi="宋体" w:cs="宋体"/>
        </w:rPr>
        <w:t>6.3.1</w:t>
      </w:r>
      <w:r>
        <w:rPr>
          <w:rFonts w:ascii="宋体" w:hAnsi="宋体" w:cs="宋体"/>
          <w:color w:val="FF0000"/>
        </w:rPr>
        <w:t xml:space="preserve">  </w:t>
      </w:r>
      <w:r>
        <w:rPr>
          <w:rFonts w:hint="eastAsia" w:ascii="宋体" w:hAnsi="宋体" w:cs="宋体"/>
        </w:rPr>
        <w:t xml:space="preserve">耐根穿刺防水卷材的耐根穿刺性能和施工方式密切相关，包括卷材的施工方法、配件、工艺参数、搭接宽度、附加层、加强层和节点处理等内容，耐根穿刺防水卷材的现场施工方式应与检测报告中列明的施工方式一致。 </w:t>
      </w:r>
    </w:p>
    <w:p w14:paraId="6C5BF76C">
      <w:pPr>
        <w:spacing w:line="480" w:lineRule="exact"/>
        <w:rPr>
          <w:rFonts w:ascii="宋体" w:hAnsi="宋体" w:cs="宋体"/>
        </w:rPr>
      </w:pPr>
      <w:r>
        <w:rPr>
          <w:rFonts w:hint="eastAsia" w:ascii="宋体" w:hAnsi="宋体" w:cs="宋体"/>
        </w:rPr>
        <w:t xml:space="preserve">6.3.2 第2款 </w:t>
      </w:r>
      <w:r>
        <w:rPr>
          <w:rFonts w:ascii="宋体" w:hAnsi="宋体" w:cs="宋体"/>
        </w:rPr>
        <w:t xml:space="preserve"> </w:t>
      </w:r>
      <w:r>
        <w:rPr>
          <w:rFonts w:hint="eastAsia" w:ascii="宋体" w:hAnsi="宋体" w:cs="宋体"/>
        </w:rPr>
        <w:t>塑料类材料储存期间会出现增塑剂迁移现象、表面熟化和施工环境都会影响搭接性能，故应在施工前进行试焊。</w:t>
      </w:r>
    </w:p>
    <w:p w14:paraId="66F98C62">
      <w:pPr>
        <w:spacing w:line="480" w:lineRule="exact"/>
        <w:rPr>
          <w:rFonts w:ascii="宋体" w:hAnsi="宋体" w:cs="宋体"/>
          <w:color w:val="FF0000"/>
        </w:rPr>
      </w:pPr>
      <w:r>
        <w:rPr>
          <w:rFonts w:hint="eastAsia" w:ascii="宋体" w:hAnsi="宋体" w:cs="宋体"/>
        </w:rPr>
        <w:t>6.3.2第3款  材搭接缝可采用焊条熔出物封边或采用密封胶封边，防止芯吸效应。</w:t>
      </w:r>
    </w:p>
    <w:p w14:paraId="6930E398">
      <w:pPr>
        <w:spacing w:line="480" w:lineRule="exact"/>
        <w:rPr>
          <w:rFonts w:ascii="宋体" w:hAnsi="宋体" w:cs="宋体"/>
        </w:rPr>
      </w:pPr>
      <w:r>
        <w:rPr>
          <w:rFonts w:hint="eastAsia" w:ascii="宋体" w:hAnsi="宋体" w:cs="宋体"/>
        </w:rPr>
        <w:t xml:space="preserve">6.3.6 </w:t>
      </w:r>
      <w:r>
        <w:rPr>
          <w:rFonts w:ascii="宋体" w:hAnsi="宋体" w:cs="宋体"/>
        </w:rPr>
        <w:t xml:space="preserve"> 第</w:t>
      </w:r>
      <w:r>
        <w:rPr>
          <w:rFonts w:hint="eastAsia" w:ascii="宋体" w:hAnsi="宋体" w:cs="宋体"/>
        </w:rPr>
        <w:t>3款 聚乙烯丙纶防水卷材+聚合物水泥胶结料复合防水层应尽量避免冬季施工。当施工环境温度低于5℃时，聚合物水泥胶结料无法可靠成膜，可采用特种水泥、添加防冻剂或采用保温被覆盖等防冻措施。</w:t>
      </w:r>
    </w:p>
    <w:p w14:paraId="7040C722">
      <w:pPr>
        <w:spacing w:line="480" w:lineRule="exact"/>
        <w:rPr>
          <w:rFonts w:ascii="宋体" w:hAnsi="宋体" w:cs="宋体"/>
        </w:rPr>
      </w:pPr>
      <w:r>
        <w:rPr>
          <w:rFonts w:hint="eastAsia" w:ascii="宋体" w:hAnsi="宋体" w:cs="宋体"/>
        </w:rPr>
        <w:t>6.3.</w:t>
      </w:r>
      <w:r>
        <w:rPr>
          <w:rFonts w:ascii="宋体" w:hAnsi="宋体" w:cs="宋体"/>
        </w:rPr>
        <w:t>7</w:t>
      </w:r>
      <w:r>
        <w:rPr>
          <w:rFonts w:hint="eastAsia" w:ascii="宋体" w:hAnsi="宋体" w:cs="宋体"/>
        </w:rPr>
        <w:t xml:space="preserve"> 第3款 上下卷材如大面垂直铺贴，两道卷材接缝部位垂直相交部位较多，渗漏水隐患较大，平行错缝可有效避免。</w:t>
      </w:r>
    </w:p>
    <w:p w14:paraId="1801E513">
      <w:pPr>
        <w:spacing w:line="480" w:lineRule="exact"/>
        <w:rPr>
          <w:rFonts w:ascii="宋体" w:hAnsi="宋体" w:cs="宋体"/>
        </w:rPr>
      </w:pPr>
      <w:r>
        <w:rPr>
          <w:rFonts w:hint="eastAsia" w:ascii="宋体" w:hAnsi="宋体" w:cs="宋体"/>
        </w:rPr>
        <w:t>6.3.</w:t>
      </w:r>
      <w:r>
        <w:rPr>
          <w:rFonts w:ascii="宋体" w:hAnsi="宋体" w:cs="宋体"/>
        </w:rPr>
        <w:t>7</w:t>
      </w:r>
      <w:r>
        <w:rPr>
          <w:rFonts w:hint="eastAsia" w:ascii="宋体" w:hAnsi="宋体" w:cs="宋体"/>
        </w:rPr>
        <w:t>第</w:t>
      </w:r>
      <w:r>
        <w:rPr>
          <w:rFonts w:ascii="宋体" w:hAnsi="宋体" w:cs="宋体"/>
        </w:rPr>
        <w:t>4款</w:t>
      </w:r>
      <w:r>
        <w:rPr>
          <w:rFonts w:hint="eastAsia" w:ascii="宋体" w:hAnsi="宋体" w:cs="宋体"/>
        </w:rPr>
        <w:t xml:space="preserve"> 耐根穿刺多为非外露型防水卷材，施工完毕后宜及时尽快做好隐蔽处理。</w:t>
      </w:r>
    </w:p>
    <w:p w14:paraId="789B155C">
      <w:pPr>
        <w:spacing w:line="480" w:lineRule="exact"/>
        <w:rPr>
          <w:rFonts w:ascii="宋体" w:hAnsi="宋体" w:cs="宋体"/>
        </w:rPr>
      </w:pPr>
      <w:r>
        <w:rPr>
          <w:rFonts w:hint="eastAsia" w:ascii="宋体" w:hAnsi="宋体" w:cs="宋体"/>
        </w:rPr>
        <w:t>6.5.</w:t>
      </w:r>
      <w:r>
        <w:rPr>
          <w:rFonts w:ascii="宋体" w:hAnsi="宋体" w:cs="宋体"/>
        </w:rPr>
        <w:t xml:space="preserve">1 </w:t>
      </w:r>
      <w:r>
        <w:rPr>
          <w:rFonts w:hint="eastAsia" w:ascii="宋体" w:hAnsi="宋体" w:cs="宋体"/>
        </w:rPr>
        <w:t>排（蓄）水板搭接部位（尤其在短边裁剪部位）多为对接或搭接，接缝处较薄弱，植物根系容易从接缝处穿透，且根据行业标准《种植屋面工程技术规程》（JGJ 155)第5.1.8规定，种植屋面应采用二道或二道以上防水层设防，最上道防水层必须采用耐根穿刺防水材料，防水层材料应相容。</w:t>
      </w:r>
    </w:p>
    <w:p w14:paraId="0CC6F5AE">
      <w:pPr>
        <w:spacing w:line="480" w:lineRule="exact"/>
        <w:jc w:val="center"/>
        <w:outlineLvl w:val="1"/>
        <w:rPr>
          <w:rFonts w:ascii="黑体" w:hAnsi="黑体" w:eastAsia="黑体" w:cs="黑体"/>
        </w:rPr>
      </w:pPr>
      <w:bookmarkStart w:id="139" w:name="_Toc25180"/>
      <w:r>
        <w:rPr>
          <w:rFonts w:hint="eastAsia" w:ascii="黑体" w:hAnsi="黑体" w:eastAsia="黑体" w:cs="黑体"/>
        </w:rPr>
        <w:t>6.6</w:t>
      </w:r>
      <w:r>
        <w:rPr>
          <w:rFonts w:ascii="黑体" w:hAnsi="黑体" w:eastAsia="黑体" w:cs="黑体"/>
        </w:rPr>
        <w:t xml:space="preserve">  </w:t>
      </w:r>
      <w:r>
        <w:rPr>
          <w:rFonts w:hint="eastAsia" w:ascii="黑体" w:hAnsi="黑体" w:eastAsia="黑体" w:cs="黑体"/>
        </w:rPr>
        <w:t>过滤层施工</w:t>
      </w:r>
      <w:bookmarkEnd w:id="139"/>
    </w:p>
    <w:p w14:paraId="7051FDB1">
      <w:pPr>
        <w:spacing w:line="480" w:lineRule="exact"/>
        <w:rPr>
          <w:rFonts w:ascii="宋体" w:hAnsi="宋体" w:cs="宋体"/>
        </w:rPr>
      </w:pPr>
      <w:r>
        <w:rPr>
          <w:rFonts w:hint="eastAsia" w:ascii="宋体" w:hAnsi="宋体" w:cs="宋体"/>
        </w:rPr>
        <w:t>6.6.</w:t>
      </w:r>
      <w:r>
        <w:rPr>
          <w:rFonts w:ascii="宋体" w:hAnsi="宋体" w:cs="宋体"/>
        </w:rPr>
        <w:t xml:space="preserve">4 </w:t>
      </w:r>
      <w:r>
        <w:rPr>
          <w:rFonts w:hint="eastAsia" w:ascii="宋体" w:hAnsi="宋体" w:cs="宋体"/>
        </w:rPr>
        <w:t>收口部位缝隙朝上，回填时回填土极其容易从缝隙进入排水层内部而影响排水效果，所以该部位需要设置过滤层。</w:t>
      </w:r>
    </w:p>
    <w:p w14:paraId="0BDEA1A2">
      <w:pPr>
        <w:spacing w:line="480" w:lineRule="exact"/>
        <w:rPr>
          <w:rFonts w:ascii="宋体" w:hAnsi="宋体" w:cs="宋体"/>
        </w:rPr>
      </w:pPr>
      <w:r>
        <w:rPr>
          <w:rFonts w:hint="eastAsia" w:ascii="宋体" w:hAnsi="宋体" w:cs="宋体"/>
        </w:rPr>
        <w:t>6.6.6 避免土壤从过滤层遗漏部位渗入排水层内部，造成局部堵塞，所以应该保证过滤层土工布完全覆盖下部排水层。</w:t>
      </w:r>
    </w:p>
    <w:p w14:paraId="1FAE7545">
      <w:pPr>
        <w:spacing w:line="480" w:lineRule="exact"/>
        <w:jc w:val="center"/>
        <w:outlineLvl w:val="1"/>
        <w:rPr>
          <w:rFonts w:ascii="黑体" w:hAnsi="黑体" w:eastAsia="黑体" w:cs="黑体"/>
        </w:rPr>
      </w:pPr>
      <w:bookmarkStart w:id="140" w:name="_Toc32450"/>
      <w:r>
        <w:rPr>
          <w:rFonts w:hint="eastAsia" w:ascii="黑体" w:hAnsi="黑体" w:eastAsia="黑体" w:cs="黑体"/>
        </w:rPr>
        <w:t>6.7</w:t>
      </w:r>
      <w:r>
        <w:rPr>
          <w:rFonts w:ascii="黑体" w:hAnsi="黑体" w:eastAsia="黑体" w:cs="黑体"/>
        </w:rPr>
        <w:t xml:space="preserve">  </w:t>
      </w:r>
      <w:r>
        <w:rPr>
          <w:rFonts w:hint="eastAsia" w:ascii="黑体" w:hAnsi="黑体" w:eastAsia="黑体" w:cs="黑体"/>
        </w:rPr>
        <w:t>种植（回填）土施工</w:t>
      </w:r>
      <w:bookmarkEnd w:id="140"/>
    </w:p>
    <w:p w14:paraId="743C25A7">
      <w:pPr>
        <w:spacing w:line="480" w:lineRule="exact"/>
        <w:rPr>
          <w:rFonts w:ascii="宋体" w:hAnsi="宋体" w:cs="宋体"/>
        </w:rPr>
      </w:pPr>
      <w:r>
        <w:rPr>
          <w:rFonts w:hint="eastAsia" w:ascii="宋体" w:hAnsi="宋体" w:cs="宋体"/>
        </w:rPr>
        <w:t>6.7.1 排水层和过滤层施工完成后应及时进行种植土回填，避免因为天气原因（高温、雨雪、大风）使排（蓄）水板和过滤层脱胶分离。</w:t>
      </w:r>
    </w:p>
    <w:p w14:paraId="3136E119">
      <w:pPr>
        <w:spacing w:line="480" w:lineRule="exact"/>
        <w:jc w:val="center"/>
        <w:outlineLvl w:val="1"/>
        <w:rPr>
          <w:rFonts w:ascii="黑体" w:hAnsi="黑体" w:eastAsia="黑体" w:cs="黑体"/>
        </w:rPr>
      </w:pPr>
      <w:bookmarkStart w:id="141" w:name="_Toc26995"/>
      <w:r>
        <w:rPr>
          <w:rFonts w:hint="eastAsia" w:ascii="黑体" w:hAnsi="黑体" w:eastAsia="黑体" w:cs="黑体"/>
        </w:rPr>
        <w:t>6.9  防水层上无保护层的回填土施工</w:t>
      </w:r>
      <w:bookmarkEnd w:id="141"/>
    </w:p>
    <w:p w14:paraId="585F6A62">
      <w:pPr>
        <w:spacing w:line="480" w:lineRule="exact"/>
        <w:rPr>
          <w:rFonts w:ascii="宋体" w:hAnsi="宋体" w:cs="宋体"/>
        </w:rPr>
      </w:pPr>
      <w:r>
        <w:rPr>
          <w:rFonts w:hint="eastAsia" w:ascii="宋体" w:hAnsi="宋体" w:cs="宋体"/>
        </w:rPr>
        <w:t>6.9.6</w:t>
      </w:r>
      <w:r>
        <w:rPr>
          <w:rFonts w:ascii="宋体" w:hAnsi="宋体" w:cs="宋体"/>
        </w:rPr>
        <w:t xml:space="preserve"> </w:t>
      </w:r>
      <w:r>
        <w:rPr>
          <w:rFonts w:hint="eastAsia" w:ascii="宋体" w:hAnsi="宋体" w:cs="宋体"/>
        </w:rPr>
        <w:t>防止回填过程中，特别是大型机械对出地面各种构配件的物理冲撞问题需要深化管控。</w:t>
      </w:r>
    </w:p>
    <w:p w14:paraId="2B1AC47A">
      <w:pPr>
        <w:spacing w:line="480" w:lineRule="exact"/>
        <w:rPr>
          <w:rFonts w:ascii="宋体" w:hAnsi="宋体" w:cs="宋体"/>
        </w:rPr>
      </w:pPr>
      <w:r>
        <w:rPr>
          <w:rFonts w:hint="eastAsia" w:ascii="宋体" w:hAnsi="宋体" w:cs="宋体"/>
        </w:rPr>
        <w:t>6.9.10 避免其它工种对复合一体化防护排水板主材和聚酯土工布等配套部品的破坏。</w:t>
      </w:r>
    </w:p>
    <w:p w14:paraId="48CC0569">
      <w:pPr>
        <w:widowControl/>
        <w:spacing w:line="360" w:lineRule="auto"/>
        <w:jc w:val="left"/>
        <w:rPr>
          <w:rFonts w:ascii="宋体" w:hAnsi="宋体" w:cs="宋体"/>
        </w:rPr>
      </w:pPr>
      <w:r>
        <w:rPr>
          <w:rFonts w:hint="eastAsia" w:ascii="宋体" w:hAnsi="宋体" w:cs="宋体"/>
        </w:rPr>
        <w:t>6.9.12本条仅适用于回填土在500mm范围以内的施工要求，500mm以上的回填方式按设计要求执行。</w:t>
      </w:r>
    </w:p>
    <w:p w14:paraId="46D8970A">
      <w:pPr>
        <w:pStyle w:val="6"/>
        <w:jc w:val="center"/>
        <w:outlineLvl w:val="0"/>
        <w:rPr>
          <w:rFonts w:ascii="黑体" w:hAnsi="黑体" w:eastAsia="黑体" w:cs="黑体"/>
          <w:sz w:val="32"/>
          <w:szCs w:val="40"/>
        </w:rPr>
        <w:sectPr>
          <w:pgSz w:w="11906" w:h="16838"/>
          <w:pgMar w:top="1440" w:right="1800" w:bottom="1440" w:left="1800" w:header="851" w:footer="992" w:gutter="0"/>
          <w:pgNumType w:fmt="decimal"/>
          <w:cols w:space="425" w:num="1"/>
          <w:docGrid w:type="lines" w:linePitch="312" w:charSpace="0"/>
        </w:sectPr>
      </w:pPr>
      <w:bookmarkStart w:id="142" w:name="_Toc13092"/>
    </w:p>
    <w:p w14:paraId="083EAF12">
      <w:pPr>
        <w:pStyle w:val="6"/>
        <w:jc w:val="center"/>
        <w:outlineLvl w:val="0"/>
        <w:rPr>
          <w:rFonts w:ascii="黑体" w:hAnsi="黑体" w:eastAsia="黑体" w:cs="黑体"/>
          <w:sz w:val="32"/>
          <w:szCs w:val="40"/>
        </w:rPr>
      </w:pPr>
      <w:r>
        <w:rPr>
          <w:rFonts w:ascii="黑体" w:hAnsi="黑体" w:eastAsia="黑体" w:cs="黑体"/>
          <w:sz w:val="32"/>
          <w:szCs w:val="40"/>
        </w:rPr>
        <w:t>7</w:t>
      </w:r>
      <w:r>
        <w:rPr>
          <w:rFonts w:hint="eastAsia" w:ascii="黑体" w:hAnsi="黑体" w:eastAsia="黑体" w:cs="黑体"/>
          <w:sz w:val="32"/>
          <w:szCs w:val="40"/>
        </w:rPr>
        <w:t xml:space="preserve"> 质 量 验 收</w:t>
      </w:r>
      <w:bookmarkEnd w:id="142"/>
    </w:p>
    <w:p w14:paraId="41D0B1E1">
      <w:pPr>
        <w:spacing w:line="480" w:lineRule="exact"/>
        <w:jc w:val="center"/>
        <w:outlineLvl w:val="1"/>
        <w:rPr>
          <w:rFonts w:ascii="黑体" w:hAnsi="黑体" w:eastAsia="黑体" w:cs="黑体"/>
        </w:rPr>
      </w:pPr>
      <w:bookmarkStart w:id="143" w:name="_Toc7282"/>
      <w:r>
        <w:rPr>
          <w:rFonts w:ascii="黑体" w:hAnsi="黑体" w:eastAsia="黑体" w:cs="黑体"/>
        </w:rPr>
        <w:t>7</w:t>
      </w:r>
      <w:r>
        <w:rPr>
          <w:rFonts w:hint="eastAsia" w:ascii="黑体" w:hAnsi="黑体" w:eastAsia="黑体" w:cs="黑体"/>
        </w:rPr>
        <w:t>.1  一般规定</w:t>
      </w:r>
      <w:bookmarkEnd w:id="143"/>
    </w:p>
    <w:p w14:paraId="22724E66">
      <w:pPr>
        <w:spacing w:line="480" w:lineRule="exact"/>
        <w:rPr>
          <w:rFonts w:ascii="宋体" w:hAnsi="宋体" w:cs="宋体"/>
        </w:rPr>
      </w:pPr>
      <w:r>
        <w:rPr>
          <w:rFonts w:ascii="宋体" w:hAnsi="宋体" w:cs="宋体"/>
        </w:rPr>
        <w:t>7</w:t>
      </w:r>
      <w:r>
        <w:rPr>
          <w:rFonts w:hint="eastAsia" w:ascii="宋体" w:hAnsi="宋体" w:cs="宋体"/>
        </w:rPr>
        <w:t>.1.1 种植屋面工程各道工序之间，常常因上道工序存在的问题未解决，而被下道工序所覆盖，给屋面留下质量隐患。因此，需强调按层次、工序进行检查验收，即每道工序施工完成后，首先在施工人员自查合格的基础上，进行工序间的交接检和专职质量检验员的检查，检查结果应有完整的记录，然后经监理单位或建设单位进行检查验收，并做好验收记录，特别对工程的隐蔽部分，需在分项工程验收合格后方可进行下项工程的施工，达到消除质量隐患的目的。</w:t>
      </w:r>
    </w:p>
    <w:p w14:paraId="3806B3A3">
      <w:pPr>
        <w:spacing w:line="480" w:lineRule="exact"/>
        <w:rPr>
          <w:rFonts w:ascii="宋体" w:hAnsi="宋体" w:cs="宋体"/>
        </w:rPr>
      </w:pPr>
      <w:r>
        <w:rPr>
          <w:rFonts w:ascii="宋体" w:hAnsi="宋体" w:cs="宋体"/>
        </w:rPr>
        <w:t>7</w:t>
      </w:r>
      <w:r>
        <w:rPr>
          <w:rFonts w:hint="eastAsia" w:ascii="宋体" w:hAnsi="宋体" w:cs="宋体"/>
        </w:rPr>
        <w:t xml:space="preserve">.1.2 </w:t>
      </w:r>
      <w:r>
        <w:rPr>
          <w:rFonts w:ascii="宋体" w:hAnsi="宋体" w:cs="宋体"/>
        </w:rPr>
        <w:t xml:space="preserve"> </w:t>
      </w:r>
      <w:r>
        <w:rPr>
          <w:rFonts w:hint="eastAsia" w:ascii="宋体" w:hAnsi="宋体" w:cs="宋体"/>
        </w:rPr>
        <w:t>技术文件资料对日后检查、检验工程质量，工程修缮、改造，以及一旦发生工程质量事故纠纷进行民事、刑事诉讼时，都是十分重要的档案证件。</w:t>
      </w:r>
    </w:p>
    <w:p w14:paraId="4990AF48">
      <w:pPr>
        <w:spacing w:line="480" w:lineRule="exact"/>
        <w:rPr>
          <w:rFonts w:ascii="宋体" w:hAnsi="宋体" w:cs="宋体"/>
        </w:rPr>
      </w:pPr>
      <w:r>
        <w:rPr>
          <w:rFonts w:ascii="宋体" w:hAnsi="宋体" w:cs="宋体"/>
        </w:rPr>
        <w:t>7</w:t>
      </w:r>
      <w:r>
        <w:rPr>
          <w:rFonts w:hint="eastAsia" w:ascii="宋体" w:hAnsi="宋体" w:cs="宋体"/>
        </w:rPr>
        <w:t xml:space="preserve">.1.2 </w:t>
      </w:r>
      <w:r>
        <w:rPr>
          <w:rFonts w:ascii="宋体" w:hAnsi="宋体" w:cs="宋体"/>
        </w:rPr>
        <w:t xml:space="preserve"> </w:t>
      </w:r>
      <w:r>
        <w:rPr>
          <w:rFonts w:hint="eastAsia" w:ascii="宋体" w:hAnsi="宋体" w:cs="宋体"/>
        </w:rPr>
        <w:t>第1款根据全文强制标准《建筑与市政防水工程通用规范》对防水工程专项设计的要求增加工程防水专项设计文件，同时删除了工程设计图纸；</w:t>
      </w:r>
    </w:p>
    <w:p w14:paraId="57ACFAAB">
      <w:pPr>
        <w:spacing w:line="480" w:lineRule="exact"/>
        <w:rPr>
          <w:rFonts w:ascii="宋体" w:hAnsi="宋体" w:cs="宋体"/>
        </w:rPr>
      </w:pPr>
      <w:r>
        <w:rPr>
          <w:rFonts w:ascii="宋体" w:hAnsi="宋体" w:cs="宋体"/>
        </w:rPr>
        <w:t>7</w:t>
      </w:r>
      <w:r>
        <w:rPr>
          <w:rFonts w:hint="eastAsia" w:ascii="宋体" w:hAnsi="宋体" w:cs="宋体"/>
        </w:rPr>
        <w:t>.1.2 第</w:t>
      </w:r>
      <w:r>
        <w:rPr>
          <w:rFonts w:ascii="宋体" w:hAnsi="宋体" w:cs="宋体"/>
        </w:rPr>
        <w:t>5</w:t>
      </w:r>
      <w:r>
        <w:rPr>
          <w:rFonts w:hint="eastAsia" w:ascii="宋体" w:hAnsi="宋体" w:cs="宋体"/>
        </w:rPr>
        <w:t>款根据全文强制标准《建筑与市政防水工程通用规范》对施工文件和归档要求增加施工记录。</w:t>
      </w:r>
    </w:p>
    <w:p w14:paraId="29FC73A7">
      <w:pPr>
        <w:spacing w:line="480" w:lineRule="exact"/>
        <w:rPr>
          <w:rFonts w:ascii="宋体" w:hAnsi="宋体" w:cs="宋体"/>
        </w:rPr>
      </w:pPr>
      <w:r>
        <w:rPr>
          <w:rFonts w:ascii="宋体" w:hAnsi="宋体" w:cs="宋体"/>
        </w:rPr>
        <w:t>7</w:t>
      </w:r>
      <w:r>
        <w:rPr>
          <w:rFonts w:hint="eastAsia" w:ascii="宋体" w:hAnsi="宋体" w:cs="宋体"/>
        </w:rPr>
        <w:t xml:space="preserve">.1.2 </w:t>
      </w:r>
      <w:r>
        <w:rPr>
          <w:rFonts w:ascii="宋体" w:hAnsi="宋体" w:cs="宋体"/>
        </w:rPr>
        <w:t xml:space="preserve"> </w:t>
      </w:r>
      <w:r>
        <w:rPr>
          <w:rFonts w:hint="eastAsia" w:ascii="宋体" w:hAnsi="宋体" w:cs="宋体"/>
        </w:rPr>
        <w:t>第</w:t>
      </w:r>
      <w:r>
        <w:rPr>
          <w:rFonts w:ascii="宋体" w:hAnsi="宋体" w:cs="宋体"/>
        </w:rPr>
        <w:t>7</w:t>
      </w:r>
      <w:r>
        <w:rPr>
          <w:rFonts w:hint="eastAsia" w:ascii="宋体" w:hAnsi="宋体" w:cs="宋体"/>
        </w:rPr>
        <w:t>款根据全文强制标准《建筑与市政防水工程通用规范》对隐蔽工程相关记录要求，提出对单层屋面防水层基层、防水层、防水附加层和细部节点等需要提供现场影像资料及检查验收记录。</w:t>
      </w:r>
    </w:p>
    <w:p w14:paraId="6D50D1E7">
      <w:pPr>
        <w:spacing w:line="480" w:lineRule="exact"/>
        <w:rPr>
          <w:rFonts w:ascii="宋体" w:hAnsi="宋体" w:cs="宋体"/>
        </w:rPr>
      </w:pPr>
      <w:r>
        <w:rPr>
          <w:rFonts w:ascii="宋体" w:hAnsi="宋体" w:cs="宋体"/>
        </w:rPr>
        <w:t>7</w:t>
      </w:r>
      <w:r>
        <w:rPr>
          <w:rFonts w:hint="eastAsia" w:ascii="宋体" w:hAnsi="宋体" w:cs="宋体"/>
        </w:rPr>
        <w:t>.1.</w:t>
      </w:r>
      <w:r>
        <w:rPr>
          <w:rFonts w:ascii="宋体" w:hAnsi="宋体" w:cs="宋体"/>
        </w:rPr>
        <w:t xml:space="preserve">4  </w:t>
      </w:r>
      <w:r>
        <w:rPr>
          <w:rFonts w:hint="eastAsia" w:ascii="宋体" w:hAnsi="宋体" w:cs="宋体"/>
        </w:rPr>
        <w:t>第</w:t>
      </w:r>
      <w:r>
        <w:rPr>
          <w:rFonts w:ascii="宋体" w:hAnsi="宋体" w:cs="宋体"/>
        </w:rPr>
        <w:t>3</w:t>
      </w:r>
      <w:r>
        <w:rPr>
          <w:rFonts w:hint="eastAsia" w:ascii="宋体" w:hAnsi="宋体" w:cs="宋体"/>
        </w:rPr>
        <w:t>款细部构造部位是屋面工程中最容易出现渗漏的薄弱环节。据调查表明，在渗漏的屋面工程中，70%以上是节点渗漏。因此，明确规定，对细部构造必须全部进行检查，以确保种植屋面工程质量。</w:t>
      </w:r>
    </w:p>
    <w:p w14:paraId="2A906464">
      <w:pPr>
        <w:spacing w:line="480" w:lineRule="exact"/>
        <w:rPr>
          <w:rFonts w:ascii="宋体" w:hAnsi="宋体" w:cs="宋体"/>
        </w:rPr>
      </w:pPr>
      <w:r>
        <w:rPr>
          <w:rFonts w:ascii="宋体" w:hAnsi="宋体" w:cs="宋体"/>
        </w:rPr>
        <w:t>7</w:t>
      </w:r>
      <w:r>
        <w:rPr>
          <w:rFonts w:hint="eastAsia" w:ascii="宋体" w:hAnsi="宋体" w:cs="宋体"/>
        </w:rPr>
        <w:t>.1.5  细部构造内容很多，在《屋面工程质量验收规范》GB 50207和《地下防水工程质量验收规范》GB 50208中有详细描述，本规程不再赘述。</w:t>
      </w:r>
    </w:p>
    <w:p w14:paraId="1DF3CC8C">
      <w:pPr>
        <w:spacing w:line="480" w:lineRule="exact"/>
        <w:jc w:val="center"/>
        <w:outlineLvl w:val="1"/>
        <w:rPr>
          <w:rFonts w:ascii="黑体" w:hAnsi="黑体" w:eastAsia="黑体" w:cs="黑体"/>
        </w:rPr>
      </w:pPr>
      <w:bookmarkStart w:id="144" w:name="_Toc8790"/>
      <w:r>
        <w:rPr>
          <w:rFonts w:ascii="黑体" w:hAnsi="黑体" w:eastAsia="黑体" w:cs="黑体"/>
        </w:rPr>
        <w:t>7</w:t>
      </w:r>
      <w:r>
        <w:rPr>
          <w:rFonts w:hint="eastAsia" w:ascii="黑体" w:hAnsi="黑体" w:eastAsia="黑体" w:cs="黑体"/>
        </w:rPr>
        <w:t>.2  普通防水层</w:t>
      </w:r>
      <w:bookmarkEnd w:id="144"/>
    </w:p>
    <w:p w14:paraId="709B6862">
      <w:pPr>
        <w:spacing w:line="480" w:lineRule="exact"/>
        <w:rPr>
          <w:rFonts w:ascii="宋体" w:hAnsi="宋体" w:cs="宋体"/>
        </w:rPr>
      </w:pPr>
      <w:r>
        <w:rPr>
          <w:rFonts w:ascii="宋体" w:hAnsi="宋体" w:cs="宋体"/>
        </w:rPr>
        <w:t>7</w:t>
      </w:r>
      <w:r>
        <w:rPr>
          <w:rFonts w:hint="eastAsia" w:ascii="宋体" w:hAnsi="宋体" w:cs="宋体"/>
        </w:rPr>
        <w:t>.2.4  天沟、檐沟、檐口、水落口、泛水、变形缝和穿出屋面设施等细部构造部位，是防水工程中渗漏隐患最严重的部位，需严格按照设计要求施工和验收。天沟、檐沟、水落口等细部节点处的蓄水高度为20mm、时间为24h，之后进行观察检查或，并检查隐蔽工程验收记录。</w:t>
      </w:r>
    </w:p>
    <w:p w14:paraId="7B4CC57F">
      <w:pPr>
        <w:spacing w:line="480" w:lineRule="exact"/>
        <w:rPr>
          <w:rFonts w:ascii="宋体" w:hAnsi="宋体" w:cs="宋体"/>
        </w:rPr>
      </w:pPr>
      <w:r>
        <w:rPr>
          <w:rFonts w:ascii="宋体" w:hAnsi="宋体" w:cs="宋体"/>
        </w:rPr>
        <w:t>7</w:t>
      </w:r>
      <w:r>
        <w:rPr>
          <w:rFonts w:hint="eastAsia" w:ascii="宋体" w:hAnsi="宋体" w:cs="宋体"/>
        </w:rPr>
        <w:t>.2.6  防水卷材热熔搭接和热风焊接时，应将接缝表面的油污、尘土、水滴等赃物擦干净后，才能进行施工，否则会影响防水卷材的搭接质量。</w:t>
      </w:r>
    </w:p>
    <w:p w14:paraId="7F98A55D">
      <w:pPr>
        <w:spacing w:line="480" w:lineRule="exact"/>
        <w:rPr>
          <w:rFonts w:ascii="宋体" w:hAnsi="宋体" w:cs="宋体"/>
        </w:rPr>
      </w:pPr>
      <w:r>
        <w:rPr>
          <w:rFonts w:ascii="宋体" w:hAnsi="宋体" w:cs="宋体"/>
        </w:rPr>
        <w:t>7</w:t>
      </w:r>
      <w:r>
        <w:rPr>
          <w:rFonts w:hint="eastAsia" w:ascii="宋体" w:hAnsi="宋体" w:cs="宋体"/>
        </w:rPr>
        <w:t>.2.7  为避免卷材短边焊缝形成十字接头（或近似）影响防水性能，需相互错开至少300mm。</w:t>
      </w:r>
    </w:p>
    <w:p w14:paraId="760EDBD8">
      <w:pPr>
        <w:spacing w:line="480" w:lineRule="exact"/>
        <w:jc w:val="center"/>
        <w:outlineLvl w:val="1"/>
        <w:rPr>
          <w:rFonts w:ascii="黑体" w:hAnsi="黑体" w:eastAsia="黑体" w:cs="黑体"/>
        </w:rPr>
      </w:pPr>
      <w:bookmarkStart w:id="145" w:name="_Toc19566"/>
      <w:r>
        <w:rPr>
          <w:rFonts w:ascii="黑体" w:hAnsi="黑体" w:eastAsia="黑体" w:cs="黑体"/>
        </w:rPr>
        <w:t>7</w:t>
      </w:r>
      <w:r>
        <w:rPr>
          <w:rFonts w:hint="eastAsia" w:ascii="黑体" w:hAnsi="黑体" w:eastAsia="黑体" w:cs="黑体"/>
        </w:rPr>
        <w:t>.5  细部构造</w:t>
      </w:r>
      <w:bookmarkEnd w:id="145"/>
    </w:p>
    <w:p w14:paraId="75DFDD4B">
      <w:pPr>
        <w:spacing w:line="480" w:lineRule="exact"/>
        <w:rPr>
          <w:rFonts w:ascii="宋体" w:hAnsi="宋体" w:cs="宋体"/>
        </w:rPr>
      </w:pPr>
      <w:r>
        <w:rPr>
          <w:rFonts w:ascii="宋体" w:hAnsi="宋体" w:cs="宋体"/>
        </w:rPr>
        <w:t>7</w:t>
      </w:r>
      <w:r>
        <w:rPr>
          <w:rFonts w:hint="eastAsia" w:ascii="宋体" w:hAnsi="宋体" w:cs="宋体"/>
        </w:rPr>
        <w:t>.5.1  天沟、檐沟的排水坡度和排水方向应保证雨水及时排走，充分体现防排结合的屋面工程设计思想。</w:t>
      </w:r>
    </w:p>
    <w:p w14:paraId="4B9A2BBE">
      <w:pPr>
        <w:spacing w:line="480" w:lineRule="exact"/>
        <w:rPr>
          <w:rFonts w:ascii="宋体" w:hAnsi="宋体" w:cs="宋体"/>
        </w:rPr>
      </w:pPr>
      <w:r>
        <w:rPr>
          <w:rFonts w:ascii="宋体" w:hAnsi="宋体" w:cs="宋体"/>
        </w:rPr>
        <w:t>7</w:t>
      </w:r>
      <w:r>
        <w:rPr>
          <w:rFonts w:hint="eastAsia" w:ascii="宋体" w:hAnsi="宋体" w:cs="宋体"/>
        </w:rPr>
        <w:t>.5.2  天沟、檐沟、檐口、水落口、泛水、变形缝和穿出屋面设施等细部构造部位，是屋面工程中极易出现渗漏的薄弱环节，需符合设计要求。</w:t>
      </w:r>
    </w:p>
    <w:p w14:paraId="3CB43C49">
      <w:pPr>
        <w:spacing w:line="480" w:lineRule="exact"/>
        <w:rPr>
          <w:rFonts w:ascii="宋体" w:hAnsi="宋体" w:cs="宋体"/>
        </w:rPr>
      </w:pPr>
    </w:p>
    <w:p w14:paraId="2FC72E11">
      <w:pPr>
        <w:pStyle w:val="6"/>
        <w:spacing w:line="360" w:lineRule="auto"/>
        <w:rPr>
          <w:rFonts w:asciiTheme="minorEastAsia" w:hAnsiTheme="minorEastAsia" w:eastAsiaTheme="minorEastAsia" w:cstheme="minorEastAsia"/>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DDC27">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F5255">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68D82C">
                          <w:pPr>
                            <w:pStyle w:val="9"/>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E68D82C">
                    <w:pPr>
                      <w:pStyle w:val="9"/>
                    </w:pPr>
                    <w:r>
                      <w:fldChar w:fldCharType="begin"/>
                    </w:r>
                    <w:r>
                      <w:instrText xml:space="preserve"> PAGE  \* MERGEFORMAT </w:instrText>
                    </w:r>
                    <w:r>
                      <w:fldChar w:fldCharType="separate"/>
                    </w:r>
                    <w:r>
                      <w:t>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92232E"/>
    <w:multiLevelType w:val="multilevel"/>
    <w:tmpl w:val="8892232E"/>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4"/>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1C1878A9"/>
    <w:multiLevelType w:val="multilevel"/>
    <w:tmpl w:val="1C1878A9"/>
    <w:lvl w:ilvl="0" w:tentative="0">
      <w:start w:val="1"/>
      <w:numFmt w:val="decimal"/>
      <w:lvlText w:val="%1."/>
      <w:lvlJc w:val="left"/>
      <w:pPr>
        <w:tabs>
          <w:tab w:val="left" w:pos="720"/>
        </w:tabs>
        <w:ind w:left="720" w:hanging="720"/>
      </w:pPr>
    </w:lvl>
    <w:lvl w:ilvl="1" w:tentative="0">
      <w:start w:val="1"/>
      <w:numFmt w:val="decimal"/>
      <w:pStyle w:val="27"/>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2">
    <w:nsid w:val="6CEA2025"/>
    <w:multiLevelType w:val="multilevel"/>
    <w:tmpl w:val="6CEA2025"/>
    <w:lvl w:ilvl="0" w:tentative="0">
      <w:start w:val="1"/>
      <w:numFmt w:val="none"/>
      <w:pStyle w:val="20"/>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840" w:firstLine="0"/>
      </w:pPr>
      <w:rPr>
        <w:rFonts w:hint="eastAsia" w:ascii="黑体" w:hAnsi="Times New Roman" w:eastAsia="黑体"/>
        <w:b w:val="0"/>
        <w:i w:val="0"/>
        <w:sz w:val="21"/>
      </w:rPr>
    </w:lvl>
    <w:lvl w:ilvl="5" w:tentative="0">
      <w:start w:val="1"/>
      <w:numFmt w:val="decimal"/>
      <w:suff w:val="nothing"/>
      <w:lvlText w:val="%1%2.%3.%4.%5.%6　"/>
      <w:lvlJc w:val="left"/>
      <w:pPr>
        <w:ind w:left="568"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hZDk1MzQ4NTBlN2RjYzhhMTk1OWNhYzRmYjg4YWYifQ=="/>
  </w:docVars>
  <w:rsids>
    <w:rsidRoot w:val="4847285F"/>
    <w:rsid w:val="000006A9"/>
    <w:rsid w:val="00002A0F"/>
    <w:rsid w:val="00014B85"/>
    <w:rsid w:val="000201A5"/>
    <w:rsid w:val="00023B37"/>
    <w:rsid w:val="00031921"/>
    <w:rsid w:val="00031BC8"/>
    <w:rsid w:val="000403CF"/>
    <w:rsid w:val="00055A49"/>
    <w:rsid w:val="00061344"/>
    <w:rsid w:val="00066FE4"/>
    <w:rsid w:val="0007111E"/>
    <w:rsid w:val="00086B1E"/>
    <w:rsid w:val="000A0684"/>
    <w:rsid w:val="000B0D68"/>
    <w:rsid w:val="000B688D"/>
    <w:rsid w:val="000B74A6"/>
    <w:rsid w:val="000C3793"/>
    <w:rsid w:val="000C39D3"/>
    <w:rsid w:val="000D62E1"/>
    <w:rsid w:val="000E1643"/>
    <w:rsid w:val="000E1F94"/>
    <w:rsid w:val="000E6BB7"/>
    <w:rsid w:val="000F1284"/>
    <w:rsid w:val="000F44E2"/>
    <w:rsid w:val="000F5203"/>
    <w:rsid w:val="0010185F"/>
    <w:rsid w:val="001018A4"/>
    <w:rsid w:val="00103F06"/>
    <w:rsid w:val="001055B8"/>
    <w:rsid w:val="00107A94"/>
    <w:rsid w:val="001143F0"/>
    <w:rsid w:val="00122342"/>
    <w:rsid w:val="001278AA"/>
    <w:rsid w:val="00162157"/>
    <w:rsid w:val="00164A89"/>
    <w:rsid w:val="00166845"/>
    <w:rsid w:val="001668E0"/>
    <w:rsid w:val="0017190A"/>
    <w:rsid w:val="00171D0B"/>
    <w:rsid w:val="00177946"/>
    <w:rsid w:val="00185A5F"/>
    <w:rsid w:val="00186B18"/>
    <w:rsid w:val="00195709"/>
    <w:rsid w:val="001A087C"/>
    <w:rsid w:val="001A0B7A"/>
    <w:rsid w:val="001A65B2"/>
    <w:rsid w:val="001B5028"/>
    <w:rsid w:val="001B5F54"/>
    <w:rsid w:val="001B6BDF"/>
    <w:rsid w:val="001C1D15"/>
    <w:rsid w:val="001C6A2F"/>
    <w:rsid w:val="001D191B"/>
    <w:rsid w:val="001D73F2"/>
    <w:rsid w:val="001E116D"/>
    <w:rsid w:val="001E2CB6"/>
    <w:rsid w:val="001F16D7"/>
    <w:rsid w:val="001F24CE"/>
    <w:rsid w:val="001F26DE"/>
    <w:rsid w:val="001F4BDD"/>
    <w:rsid w:val="00200663"/>
    <w:rsid w:val="00201D87"/>
    <w:rsid w:val="00210680"/>
    <w:rsid w:val="00214A24"/>
    <w:rsid w:val="0021711A"/>
    <w:rsid w:val="002400A2"/>
    <w:rsid w:val="00251F86"/>
    <w:rsid w:val="00266FD1"/>
    <w:rsid w:val="00270A07"/>
    <w:rsid w:val="00276D42"/>
    <w:rsid w:val="002860D6"/>
    <w:rsid w:val="002910A1"/>
    <w:rsid w:val="00294EC3"/>
    <w:rsid w:val="00295CC1"/>
    <w:rsid w:val="00296CDA"/>
    <w:rsid w:val="002A0C34"/>
    <w:rsid w:val="002B6AF3"/>
    <w:rsid w:val="002C0FEA"/>
    <w:rsid w:val="002E1A9F"/>
    <w:rsid w:val="002E5F2F"/>
    <w:rsid w:val="002F41A5"/>
    <w:rsid w:val="002F4C9B"/>
    <w:rsid w:val="002F6224"/>
    <w:rsid w:val="002F68F8"/>
    <w:rsid w:val="00311018"/>
    <w:rsid w:val="003120B8"/>
    <w:rsid w:val="003139EA"/>
    <w:rsid w:val="003226F0"/>
    <w:rsid w:val="003236D6"/>
    <w:rsid w:val="00324D79"/>
    <w:rsid w:val="00334CB3"/>
    <w:rsid w:val="003361B2"/>
    <w:rsid w:val="003430D1"/>
    <w:rsid w:val="00365B66"/>
    <w:rsid w:val="00370565"/>
    <w:rsid w:val="00374524"/>
    <w:rsid w:val="003A049D"/>
    <w:rsid w:val="003A426D"/>
    <w:rsid w:val="003A5864"/>
    <w:rsid w:val="003B0FFC"/>
    <w:rsid w:val="003B1AE6"/>
    <w:rsid w:val="003B444D"/>
    <w:rsid w:val="003B653A"/>
    <w:rsid w:val="003C11E9"/>
    <w:rsid w:val="003C1FE3"/>
    <w:rsid w:val="003E1FB4"/>
    <w:rsid w:val="003E5897"/>
    <w:rsid w:val="00403D3C"/>
    <w:rsid w:val="00404CA3"/>
    <w:rsid w:val="00407D31"/>
    <w:rsid w:val="00421D18"/>
    <w:rsid w:val="00437AA5"/>
    <w:rsid w:val="00443F75"/>
    <w:rsid w:val="00447012"/>
    <w:rsid w:val="00447712"/>
    <w:rsid w:val="00463A6A"/>
    <w:rsid w:val="00480E2C"/>
    <w:rsid w:val="004959A7"/>
    <w:rsid w:val="004A1908"/>
    <w:rsid w:val="004A4136"/>
    <w:rsid w:val="004B1DDC"/>
    <w:rsid w:val="004D2C21"/>
    <w:rsid w:val="004E0AE6"/>
    <w:rsid w:val="004F07F8"/>
    <w:rsid w:val="004F4020"/>
    <w:rsid w:val="005129E1"/>
    <w:rsid w:val="00526E9C"/>
    <w:rsid w:val="00527B6D"/>
    <w:rsid w:val="00527DA4"/>
    <w:rsid w:val="005328C0"/>
    <w:rsid w:val="00540019"/>
    <w:rsid w:val="00540D2C"/>
    <w:rsid w:val="00555318"/>
    <w:rsid w:val="00557EAE"/>
    <w:rsid w:val="00565888"/>
    <w:rsid w:val="005727BA"/>
    <w:rsid w:val="00574F18"/>
    <w:rsid w:val="00594694"/>
    <w:rsid w:val="00595D96"/>
    <w:rsid w:val="005C78EF"/>
    <w:rsid w:val="005D2713"/>
    <w:rsid w:val="005D4F08"/>
    <w:rsid w:val="005E1852"/>
    <w:rsid w:val="006068CD"/>
    <w:rsid w:val="006074AF"/>
    <w:rsid w:val="0061309E"/>
    <w:rsid w:val="00622DD1"/>
    <w:rsid w:val="0062744F"/>
    <w:rsid w:val="00633C2C"/>
    <w:rsid w:val="006374AF"/>
    <w:rsid w:val="0063792C"/>
    <w:rsid w:val="0064632D"/>
    <w:rsid w:val="00653B35"/>
    <w:rsid w:val="00665B86"/>
    <w:rsid w:val="00693154"/>
    <w:rsid w:val="00693EA7"/>
    <w:rsid w:val="006B33A0"/>
    <w:rsid w:val="006C41E7"/>
    <w:rsid w:val="006D5D6F"/>
    <w:rsid w:val="006D7978"/>
    <w:rsid w:val="006E0D1A"/>
    <w:rsid w:val="006F009C"/>
    <w:rsid w:val="006F5359"/>
    <w:rsid w:val="00701A69"/>
    <w:rsid w:val="00703B98"/>
    <w:rsid w:val="00716643"/>
    <w:rsid w:val="0072390C"/>
    <w:rsid w:val="0072536E"/>
    <w:rsid w:val="007322BA"/>
    <w:rsid w:val="0074781C"/>
    <w:rsid w:val="007560E3"/>
    <w:rsid w:val="00762E87"/>
    <w:rsid w:val="007859A9"/>
    <w:rsid w:val="00796D53"/>
    <w:rsid w:val="007B2EB2"/>
    <w:rsid w:val="007C1D2D"/>
    <w:rsid w:val="007C49F7"/>
    <w:rsid w:val="007D2A85"/>
    <w:rsid w:val="007E7495"/>
    <w:rsid w:val="008045BE"/>
    <w:rsid w:val="00822733"/>
    <w:rsid w:val="0082477F"/>
    <w:rsid w:val="00832A7C"/>
    <w:rsid w:val="008331E8"/>
    <w:rsid w:val="00834B44"/>
    <w:rsid w:val="00835CBD"/>
    <w:rsid w:val="0083668D"/>
    <w:rsid w:val="00854C3D"/>
    <w:rsid w:val="0085704F"/>
    <w:rsid w:val="00863BF0"/>
    <w:rsid w:val="00890334"/>
    <w:rsid w:val="00893B5E"/>
    <w:rsid w:val="00894643"/>
    <w:rsid w:val="00895C21"/>
    <w:rsid w:val="008B0178"/>
    <w:rsid w:val="008B4547"/>
    <w:rsid w:val="008B546F"/>
    <w:rsid w:val="008C18ED"/>
    <w:rsid w:val="008C26F1"/>
    <w:rsid w:val="008D1C90"/>
    <w:rsid w:val="008D2012"/>
    <w:rsid w:val="008D20A8"/>
    <w:rsid w:val="008E2368"/>
    <w:rsid w:val="009001CC"/>
    <w:rsid w:val="0090067D"/>
    <w:rsid w:val="00930702"/>
    <w:rsid w:val="00940779"/>
    <w:rsid w:val="00955CC9"/>
    <w:rsid w:val="00962DF4"/>
    <w:rsid w:val="00967DAB"/>
    <w:rsid w:val="00971065"/>
    <w:rsid w:val="0098692A"/>
    <w:rsid w:val="00995529"/>
    <w:rsid w:val="00995576"/>
    <w:rsid w:val="00997AF8"/>
    <w:rsid w:val="009A08A7"/>
    <w:rsid w:val="009A0D75"/>
    <w:rsid w:val="009B2350"/>
    <w:rsid w:val="009B2D26"/>
    <w:rsid w:val="009B4082"/>
    <w:rsid w:val="009C674A"/>
    <w:rsid w:val="009D6C54"/>
    <w:rsid w:val="009E415E"/>
    <w:rsid w:val="009F31B8"/>
    <w:rsid w:val="00A00D2E"/>
    <w:rsid w:val="00A10CA6"/>
    <w:rsid w:val="00A15124"/>
    <w:rsid w:val="00A24FA2"/>
    <w:rsid w:val="00A25A7E"/>
    <w:rsid w:val="00A47A11"/>
    <w:rsid w:val="00A61B60"/>
    <w:rsid w:val="00A61E94"/>
    <w:rsid w:val="00A630D0"/>
    <w:rsid w:val="00A63790"/>
    <w:rsid w:val="00A6575A"/>
    <w:rsid w:val="00A72692"/>
    <w:rsid w:val="00A800D4"/>
    <w:rsid w:val="00A806EF"/>
    <w:rsid w:val="00A90804"/>
    <w:rsid w:val="00A95860"/>
    <w:rsid w:val="00AB2E4A"/>
    <w:rsid w:val="00AC1F77"/>
    <w:rsid w:val="00AC6C74"/>
    <w:rsid w:val="00AD3046"/>
    <w:rsid w:val="00AF2967"/>
    <w:rsid w:val="00AF2CB4"/>
    <w:rsid w:val="00AF3AE5"/>
    <w:rsid w:val="00B064C0"/>
    <w:rsid w:val="00B12651"/>
    <w:rsid w:val="00B352F3"/>
    <w:rsid w:val="00B354B7"/>
    <w:rsid w:val="00B4208A"/>
    <w:rsid w:val="00B52326"/>
    <w:rsid w:val="00B52A7A"/>
    <w:rsid w:val="00B57777"/>
    <w:rsid w:val="00B625F2"/>
    <w:rsid w:val="00B637AD"/>
    <w:rsid w:val="00B742B7"/>
    <w:rsid w:val="00B742D6"/>
    <w:rsid w:val="00B7710B"/>
    <w:rsid w:val="00B9199C"/>
    <w:rsid w:val="00B949D9"/>
    <w:rsid w:val="00B94AE2"/>
    <w:rsid w:val="00BA034F"/>
    <w:rsid w:val="00BA399E"/>
    <w:rsid w:val="00BA4258"/>
    <w:rsid w:val="00BA4877"/>
    <w:rsid w:val="00BB2070"/>
    <w:rsid w:val="00BB622C"/>
    <w:rsid w:val="00BD30C5"/>
    <w:rsid w:val="00BE181D"/>
    <w:rsid w:val="00BE1981"/>
    <w:rsid w:val="00BE27CE"/>
    <w:rsid w:val="00BE310C"/>
    <w:rsid w:val="00C00ECA"/>
    <w:rsid w:val="00C103A6"/>
    <w:rsid w:val="00C12E12"/>
    <w:rsid w:val="00C154A0"/>
    <w:rsid w:val="00C27CD8"/>
    <w:rsid w:val="00C4128B"/>
    <w:rsid w:val="00C4312F"/>
    <w:rsid w:val="00C53E9F"/>
    <w:rsid w:val="00C62857"/>
    <w:rsid w:val="00C65B2C"/>
    <w:rsid w:val="00C65F9C"/>
    <w:rsid w:val="00C66825"/>
    <w:rsid w:val="00C75FDB"/>
    <w:rsid w:val="00C836DE"/>
    <w:rsid w:val="00C96DAA"/>
    <w:rsid w:val="00CA1D6A"/>
    <w:rsid w:val="00CA4121"/>
    <w:rsid w:val="00CA5971"/>
    <w:rsid w:val="00CA7CB5"/>
    <w:rsid w:val="00CB4DA7"/>
    <w:rsid w:val="00CC2AC8"/>
    <w:rsid w:val="00CD0521"/>
    <w:rsid w:val="00CE1CDC"/>
    <w:rsid w:val="00CF28E7"/>
    <w:rsid w:val="00CF3D27"/>
    <w:rsid w:val="00D07A6C"/>
    <w:rsid w:val="00D13C1F"/>
    <w:rsid w:val="00D15914"/>
    <w:rsid w:val="00D17269"/>
    <w:rsid w:val="00D46921"/>
    <w:rsid w:val="00D54DBF"/>
    <w:rsid w:val="00D57D92"/>
    <w:rsid w:val="00D57DDE"/>
    <w:rsid w:val="00D6245F"/>
    <w:rsid w:val="00D67910"/>
    <w:rsid w:val="00D833E1"/>
    <w:rsid w:val="00D93805"/>
    <w:rsid w:val="00D95471"/>
    <w:rsid w:val="00DA2535"/>
    <w:rsid w:val="00DA377D"/>
    <w:rsid w:val="00DB118D"/>
    <w:rsid w:val="00DB1305"/>
    <w:rsid w:val="00DB63B8"/>
    <w:rsid w:val="00DC1ED5"/>
    <w:rsid w:val="00DC208D"/>
    <w:rsid w:val="00DC6D62"/>
    <w:rsid w:val="00DD5884"/>
    <w:rsid w:val="00E01AD1"/>
    <w:rsid w:val="00E05881"/>
    <w:rsid w:val="00E22ED5"/>
    <w:rsid w:val="00E2505B"/>
    <w:rsid w:val="00E37714"/>
    <w:rsid w:val="00E44102"/>
    <w:rsid w:val="00E542CA"/>
    <w:rsid w:val="00E5558C"/>
    <w:rsid w:val="00E61D55"/>
    <w:rsid w:val="00E63C28"/>
    <w:rsid w:val="00E75A69"/>
    <w:rsid w:val="00E8060A"/>
    <w:rsid w:val="00E8536B"/>
    <w:rsid w:val="00E8646F"/>
    <w:rsid w:val="00E96201"/>
    <w:rsid w:val="00EB01DB"/>
    <w:rsid w:val="00EB07FA"/>
    <w:rsid w:val="00EB157A"/>
    <w:rsid w:val="00EB2AAD"/>
    <w:rsid w:val="00EB39F5"/>
    <w:rsid w:val="00EC00F2"/>
    <w:rsid w:val="00ED06E3"/>
    <w:rsid w:val="00ED4335"/>
    <w:rsid w:val="00ED77B3"/>
    <w:rsid w:val="00EE31D1"/>
    <w:rsid w:val="00EF22DC"/>
    <w:rsid w:val="00EF46C0"/>
    <w:rsid w:val="00EF4D08"/>
    <w:rsid w:val="00F00E0D"/>
    <w:rsid w:val="00F02165"/>
    <w:rsid w:val="00F03CCD"/>
    <w:rsid w:val="00F05506"/>
    <w:rsid w:val="00F13F67"/>
    <w:rsid w:val="00F14197"/>
    <w:rsid w:val="00F141F9"/>
    <w:rsid w:val="00F2102E"/>
    <w:rsid w:val="00F33E59"/>
    <w:rsid w:val="00F47557"/>
    <w:rsid w:val="00F50C05"/>
    <w:rsid w:val="00F55F66"/>
    <w:rsid w:val="00F63DB9"/>
    <w:rsid w:val="00F75ED7"/>
    <w:rsid w:val="00F77C5E"/>
    <w:rsid w:val="00F82F9F"/>
    <w:rsid w:val="00F92050"/>
    <w:rsid w:val="00F94D89"/>
    <w:rsid w:val="00FA05F2"/>
    <w:rsid w:val="00FB12BD"/>
    <w:rsid w:val="00FB44FF"/>
    <w:rsid w:val="00FC762E"/>
    <w:rsid w:val="00FD2B64"/>
    <w:rsid w:val="00FD3AF3"/>
    <w:rsid w:val="00FD7053"/>
    <w:rsid w:val="00FD7818"/>
    <w:rsid w:val="00FE68AE"/>
    <w:rsid w:val="03C97DEB"/>
    <w:rsid w:val="048671F6"/>
    <w:rsid w:val="07660241"/>
    <w:rsid w:val="0E22399A"/>
    <w:rsid w:val="0E2B23A3"/>
    <w:rsid w:val="11C1502D"/>
    <w:rsid w:val="12B44556"/>
    <w:rsid w:val="13F90933"/>
    <w:rsid w:val="15454614"/>
    <w:rsid w:val="17636F85"/>
    <w:rsid w:val="1A314B44"/>
    <w:rsid w:val="1C8256C5"/>
    <w:rsid w:val="1E0419CA"/>
    <w:rsid w:val="22477727"/>
    <w:rsid w:val="24D8019F"/>
    <w:rsid w:val="259D1907"/>
    <w:rsid w:val="2AC450FA"/>
    <w:rsid w:val="2B920BE6"/>
    <w:rsid w:val="31857392"/>
    <w:rsid w:val="32161181"/>
    <w:rsid w:val="345F54D2"/>
    <w:rsid w:val="3482405C"/>
    <w:rsid w:val="39B01B3C"/>
    <w:rsid w:val="3AFF7434"/>
    <w:rsid w:val="3CE87C1E"/>
    <w:rsid w:val="3DB03D60"/>
    <w:rsid w:val="407E7DCE"/>
    <w:rsid w:val="41140732"/>
    <w:rsid w:val="426B4687"/>
    <w:rsid w:val="43170066"/>
    <w:rsid w:val="458E4F8B"/>
    <w:rsid w:val="459A22C0"/>
    <w:rsid w:val="46D05EF3"/>
    <w:rsid w:val="47EC1AC1"/>
    <w:rsid w:val="4847285F"/>
    <w:rsid w:val="4DA43DB1"/>
    <w:rsid w:val="4DAB282A"/>
    <w:rsid w:val="50E51220"/>
    <w:rsid w:val="557D7804"/>
    <w:rsid w:val="56873A64"/>
    <w:rsid w:val="57AC4A17"/>
    <w:rsid w:val="58584FFB"/>
    <w:rsid w:val="58775D4B"/>
    <w:rsid w:val="5E4332B6"/>
    <w:rsid w:val="5FBD3E9E"/>
    <w:rsid w:val="60875A6C"/>
    <w:rsid w:val="6551526B"/>
    <w:rsid w:val="67637B52"/>
    <w:rsid w:val="68030A35"/>
    <w:rsid w:val="69D63F27"/>
    <w:rsid w:val="6B2807B2"/>
    <w:rsid w:val="6BA60616"/>
    <w:rsid w:val="6BAB02B2"/>
    <w:rsid w:val="6C3B62C3"/>
    <w:rsid w:val="6C9D403C"/>
    <w:rsid w:val="6E146DCC"/>
    <w:rsid w:val="6ED609BF"/>
    <w:rsid w:val="6F8C0E76"/>
    <w:rsid w:val="70DF0FA8"/>
    <w:rsid w:val="7234284F"/>
    <w:rsid w:val="73C3551C"/>
    <w:rsid w:val="752C5EC3"/>
    <w:rsid w:val="75312EAF"/>
    <w:rsid w:val="76CA2CA3"/>
    <w:rsid w:val="776C06CA"/>
    <w:rsid w:val="79634905"/>
    <w:rsid w:val="7BAA62DA"/>
    <w:rsid w:val="7D3A4C0B"/>
    <w:rsid w:val="7E2C45BF"/>
    <w:rsid w:val="7EC42C09"/>
    <w:rsid w:val="7F4648C2"/>
    <w:rsid w:val="7FE008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4"/>
    <w:basedOn w:val="1"/>
    <w:next w:val="1"/>
    <w:semiHidden/>
    <w:unhideWhenUsed/>
    <w:qFormat/>
    <w:uiPriority w:val="9"/>
    <w:pPr>
      <w:numPr>
        <w:ilvl w:val="3"/>
        <w:numId w:val="1"/>
      </w:numPr>
      <w:tabs>
        <w:tab w:val="left" w:pos="864"/>
      </w:tabs>
      <w:ind w:left="864" w:hanging="864" w:firstLineChars="0"/>
      <w:outlineLvl w:val="3"/>
    </w:pPr>
    <w:rPr>
      <w:rFonts w:ascii="华文楷体" w:hAnsi="华文楷体" w:cs="华文楷体"/>
      <w:b/>
      <w:bCs/>
      <w:szCs w:val="24"/>
      <w:lang w:val="zh-CN" w:bidi="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3"/>
    <w:autoRedefine/>
    <w:qFormat/>
    <w:uiPriority w:val="0"/>
    <w:pPr>
      <w:jc w:val="left"/>
    </w:pPr>
  </w:style>
  <w:style w:type="paragraph" w:styleId="6">
    <w:name w:val="Plain Text"/>
    <w:basedOn w:val="1"/>
    <w:autoRedefine/>
    <w:qFormat/>
    <w:uiPriority w:val="0"/>
    <w:rPr>
      <w:rFonts w:ascii="宋体" w:hAnsi="Courier New"/>
    </w:rPr>
  </w:style>
  <w:style w:type="paragraph" w:styleId="7">
    <w:name w:val="Date"/>
    <w:basedOn w:val="1"/>
    <w:next w:val="1"/>
    <w:link w:val="28"/>
    <w:autoRedefine/>
    <w:qFormat/>
    <w:uiPriority w:val="0"/>
    <w:pPr>
      <w:ind w:left="100" w:leftChars="2500"/>
    </w:pPr>
  </w:style>
  <w:style w:type="paragraph" w:styleId="8">
    <w:name w:val="Balloon Text"/>
    <w:basedOn w:val="1"/>
    <w:link w:val="25"/>
    <w:autoRedefine/>
    <w:qFormat/>
    <w:uiPriority w:val="0"/>
    <w:rPr>
      <w:sz w:val="18"/>
      <w:szCs w:val="18"/>
    </w:rPr>
  </w:style>
  <w:style w:type="paragraph" w:styleId="9">
    <w:name w:val="footer"/>
    <w:basedOn w:val="1"/>
    <w:autoRedefine/>
    <w:qFormat/>
    <w:uiPriority w:val="0"/>
    <w:pPr>
      <w:tabs>
        <w:tab w:val="center" w:pos="4153"/>
        <w:tab w:val="right" w:pos="8306"/>
      </w:tabs>
      <w:snapToGrid w:val="0"/>
      <w:jc w:val="left"/>
    </w:pPr>
    <w:rPr>
      <w:sz w:val="18"/>
      <w:szCs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autoRedefine/>
    <w:qFormat/>
    <w:uiPriority w:val="39"/>
  </w:style>
  <w:style w:type="paragraph" w:styleId="12">
    <w:name w:val="toc 2"/>
    <w:basedOn w:val="1"/>
    <w:next w:val="1"/>
    <w:autoRedefine/>
    <w:qFormat/>
    <w:uiPriority w:val="0"/>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annotation subject"/>
    <w:basedOn w:val="5"/>
    <w:next w:val="5"/>
    <w:link w:val="24"/>
    <w:autoRedefine/>
    <w:qFormat/>
    <w:uiPriority w:val="0"/>
    <w:rPr>
      <w:b/>
      <w:bCs/>
    </w:rPr>
  </w:style>
  <w:style w:type="table" w:styleId="16">
    <w:name w:val="Table Grid"/>
    <w:basedOn w:val="15"/>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autoRedefine/>
    <w:qFormat/>
    <w:uiPriority w:val="0"/>
    <w:rPr>
      <w:rFonts w:ascii="Times New Roman" w:hAnsi="Times New Roman" w:eastAsia="宋体"/>
      <w:sz w:val="18"/>
    </w:rPr>
  </w:style>
  <w:style w:type="character" w:styleId="19">
    <w:name w:val="annotation reference"/>
    <w:basedOn w:val="17"/>
    <w:autoRedefine/>
    <w:qFormat/>
    <w:uiPriority w:val="0"/>
    <w:rPr>
      <w:sz w:val="21"/>
      <w:szCs w:val="21"/>
    </w:rPr>
  </w:style>
  <w:style w:type="paragraph" w:customStyle="1" w:styleId="20">
    <w:name w:val="前言、引言标题"/>
    <w:next w:val="21"/>
    <w:autoRedefine/>
    <w:qFormat/>
    <w:uiPriority w:val="0"/>
    <w:pPr>
      <w:numPr>
        <w:ilvl w:val="0"/>
        <w:numId w:val="2"/>
      </w:numPr>
      <w:shd w:val="clear" w:color="FFFFFF" w:fill="FFFFFF"/>
      <w:spacing w:before="640" w:after="560"/>
      <w:jc w:val="center"/>
      <w:outlineLvl w:val="0"/>
    </w:pPr>
    <w:rPr>
      <w:rFonts w:ascii="黑体" w:hAnsi="Calibri" w:eastAsia="黑体" w:cs="Times New Roman"/>
      <w:sz w:val="32"/>
      <w:lang w:val="en-US" w:eastAsia="zh-CN" w:bidi="ar-SA"/>
    </w:rPr>
  </w:style>
  <w:style w:type="paragraph" w:customStyle="1" w:styleId="21">
    <w:name w:val="段"/>
    <w:autoRedefine/>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22">
    <w:name w:val="标准书脚_奇数页"/>
    <w:autoRedefine/>
    <w:qFormat/>
    <w:uiPriority w:val="0"/>
    <w:pPr>
      <w:spacing w:before="120"/>
      <w:jc w:val="right"/>
    </w:pPr>
    <w:rPr>
      <w:rFonts w:ascii="Calibri" w:hAnsi="Calibri" w:eastAsia="宋体" w:cs="Times New Roman"/>
      <w:sz w:val="18"/>
      <w:lang w:val="en-US" w:eastAsia="zh-CN" w:bidi="ar-SA"/>
    </w:rPr>
  </w:style>
  <w:style w:type="character" w:customStyle="1" w:styleId="23">
    <w:name w:val="批注文字 字符"/>
    <w:basedOn w:val="17"/>
    <w:link w:val="5"/>
    <w:autoRedefine/>
    <w:qFormat/>
    <w:uiPriority w:val="0"/>
    <w:rPr>
      <w:rFonts w:ascii="Calibri" w:hAnsi="Calibri" w:eastAsia="宋体" w:cs="Times New Roman"/>
      <w:kern w:val="2"/>
      <w:sz w:val="21"/>
      <w:szCs w:val="24"/>
    </w:rPr>
  </w:style>
  <w:style w:type="character" w:customStyle="1" w:styleId="24">
    <w:name w:val="批注主题 字符"/>
    <w:basedOn w:val="23"/>
    <w:link w:val="14"/>
    <w:autoRedefine/>
    <w:qFormat/>
    <w:uiPriority w:val="0"/>
    <w:rPr>
      <w:rFonts w:ascii="Calibri" w:hAnsi="Calibri" w:eastAsia="宋体" w:cs="Times New Roman"/>
      <w:b/>
      <w:bCs/>
      <w:kern w:val="2"/>
      <w:sz w:val="21"/>
      <w:szCs w:val="24"/>
    </w:rPr>
  </w:style>
  <w:style w:type="character" w:customStyle="1" w:styleId="25">
    <w:name w:val="批注框文本 字符"/>
    <w:basedOn w:val="17"/>
    <w:link w:val="8"/>
    <w:autoRedefine/>
    <w:qFormat/>
    <w:uiPriority w:val="0"/>
    <w:rPr>
      <w:rFonts w:ascii="Calibri" w:hAnsi="Calibri" w:eastAsia="宋体" w:cs="Times New Roman"/>
      <w:kern w:val="2"/>
      <w:sz w:val="18"/>
      <w:szCs w:val="18"/>
    </w:rPr>
  </w:style>
  <w:style w:type="paragraph" w:customStyle="1" w:styleId="26">
    <w:name w:val="修订1"/>
    <w:autoRedefine/>
    <w:hidden/>
    <w:semiHidden/>
    <w:qFormat/>
    <w:uiPriority w:val="99"/>
    <w:rPr>
      <w:rFonts w:ascii="Calibri" w:hAnsi="Calibri" w:eastAsia="宋体" w:cs="Times New Roman"/>
      <w:kern w:val="2"/>
      <w:sz w:val="21"/>
      <w:szCs w:val="24"/>
      <w:lang w:val="en-US" w:eastAsia="zh-CN" w:bidi="ar-SA"/>
    </w:rPr>
  </w:style>
  <w:style w:type="paragraph" w:customStyle="1" w:styleId="27">
    <w:name w:val="章标题"/>
    <w:next w:val="21"/>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character" w:customStyle="1" w:styleId="28">
    <w:name w:val="日期 字符"/>
    <w:basedOn w:val="17"/>
    <w:link w:val="7"/>
    <w:autoRedefine/>
    <w:qFormat/>
    <w:uiPriority w:val="0"/>
    <w:rPr>
      <w:rFonts w:ascii="Calibri" w:hAnsi="Calibri" w:eastAsia="宋体" w:cs="Times New Roman"/>
      <w:kern w:val="2"/>
      <w:sz w:val="21"/>
      <w:szCs w:val="24"/>
    </w:rPr>
  </w:style>
  <w:style w:type="paragraph" w:styleId="29">
    <w:name w:val="List Paragraph"/>
    <w:basedOn w:val="1"/>
    <w:autoRedefine/>
    <w:qFormat/>
    <w:uiPriority w:val="99"/>
    <w:pPr>
      <w:ind w:firstLine="420" w:firstLineChars="200"/>
    </w:pPr>
  </w:style>
  <w:style w:type="paragraph" w:customStyle="1" w:styleId="30">
    <w:name w:val="Other|1"/>
    <w:basedOn w:val="1"/>
    <w:autoRedefine/>
    <w:qFormat/>
    <w:uiPriority w:val="0"/>
    <w:pPr>
      <w:spacing w:line="350" w:lineRule="auto"/>
      <w:ind w:firstLine="400"/>
    </w:pPr>
    <w:rPr>
      <w:rFonts w:ascii="宋体" w:hAnsi="宋体" w:cs="宋体"/>
      <w:sz w:val="19"/>
      <w:szCs w:val="19"/>
      <w:lang w:val="zh-TW" w:eastAsia="zh-TW" w:bidi="zh-TW"/>
    </w:rPr>
  </w:style>
  <w:style w:type="paragraph" w:customStyle="1" w:styleId="31">
    <w:name w:val="WPSOffice手动目录 1"/>
    <w:qFormat/>
    <w:uiPriority w:val="0"/>
    <w:pPr>
      <w:ind w:leftChars="0"/>
    </w:pPr>
    <w:rPr>
      <w:rFonts w:asciiTheme="minorHAnsi" w:hAnsiTheme="minorHAnsi" w:eastAsiaTheme="minorEastAsia" w:cstheme="minorBidi"/>
      <w:sz w:val="20"/>
      <w:szCs w:val="20"/>
    </w:rPr>
  </w:style>
  <w:style w:type="paragraph" w:customStyle="1" w:styleId="32">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emf"/><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48</Pages>
  <Words>3356</Words>
  <Characters>4333</Characters>
  <Lines>196</Lines>
  <Paragraphs>55</Paragraphs>
  <TotalTime>2</TotalTime>
  <ScaleCrop>false</ScaleCrop>
  <LinksUpToDate>false</LinksUpToDate>
  <CharactersWithSpaces>4593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2024-05-10T15:40:00Z</dcterms:created>
  <dc:creator>李卓强</dc:creator>
  <cp:lastModifiedBy>zj180309</cp:lastModifiedBy>
  <dcterms:modified xsi:type="dcterms:W3CDTF">2024-11-06T06:25:07Z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573E7E62216E4E11A60BAD332C837CD7_13</vt:lpwstr>
  </property>
</Properties>
</file>