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215CBD">
      <w:pPr>
        <w:jc w:val="right"/>
        <w:rPr>
          <w:szCs w:val="32"/>
        </w:rPr>
      </w:pPr>
      <w:r>
        <w:drawing>
          <wp:anchor distT="0" distB="0" distL="114300" distR="114300" simplePos="0" relativeHeight="251659264" behindDoc="0" locked="0" layoutInCell="1" allowOverlap="1">
            <wp:simplePos x="0" y="0"/>
            <wp:positionH relativeFrom="column">
              <wp:posOffset>-3175</wp:posOffset>
            </wp:positionH>
            <wp:positionV relativeFrom="paragraph">
              <wp:posOffset>40640</wp:posOffset>
            </wp:positionV>
            <wp:extent cx="1737995" cy="1149350"/>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37995" cy="1149350"/>
                    </a:xfrm>
                    <a:prstGeom prst="rect">
                      <a:avLst/>
                    </a:prstGeom>
                    <a:noFill/>
                    <a:ln>
                      <a:noFill/>
                    </a:ln>
                  </pic:spPr>
                </pic:pic>
              </a:graphicData>
            </a:graphic>
          </wp:anchor>
        </w:drawing>
      </w:r>
      <w:r>
        <w:rPr>
          <w:b/>
          <w:bCs/>
          <w:sz w:val="28"/>
          <w:szCs w:val="36"/>
        </w:rPr>
        <w:t>T/CECS 1</w:t>
      </w:r>
      <w:r>
        <w:rPr>
          <w:b/>
          <w:sz w:val="28"/>
        </w:rPr>
        <w:t>×××</w:t>
      </w:r>
      <w:r>
        <w:rPr>
          <w:sz w:val="28"/>
          <w:szCs w:val="36"/>
        </w:rPr>
        <w:t>-2025</w:t>
      </w:r>
    </w:p>
    <w:p w14:paraId="3643224B">
      <w:pPr>
        <w:jc w:val="center"/>
        <w:rPr>
          <w:szCs w:val="32"/>
        </w:rPr>
      </w:pPr>
      <w:r>
        <w:rPr>
          <w:szCs w:val="32"/>
        </w:rP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117475</wp:posOffset>
                </wp:positionV>
                <wp:extent cx="5422265" cy="0"/>
                <wp:effectExtent l="0" t="0" r="0" b="0"/>
                <wp:wrapTopAndBottom/>
                <wp:docPr id="1" name="直接连接符 1"/>
                <wp:cNvGraphicFramePr/>
                <a:graphic xmlns:a="http://schemas.openxmlformats.org/drawingml/2006/main">
                  <a:graphicData uri="http://schemas.microsoft.com/office/word/2010/wordprocessingShape">
                    <wps:wsp>
                      <wps:cNvCnPr/>
                      <wps:spPr>
                        <a:xfrm>
                          <a:off x="0" y="0"/>
                          <a:ext cx="542214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0.05pt;margin-top:9.25pt;height:0pt;width:426.95pt;mso-wrap-distance-bottom:0pt;mso-wrap-distance-top:0pt;z-index:251660288;mso-width-relative:page;mso-height-relative:page;" filled="f" stroked="t" coordsize="21600,21600" o:gfxdata="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lIUR1gAAAAYB&#10;AAAPAAAAAAAAAAEAIAAAACIAAABkcnMvZG93bnJldi54bWxQSwECFAAUAAAACACHTuJAEad/CuQB&#10;AACyAwAADgAAAAAAAAABACAAAAAlAQAAZHJzL2Uyb0RvYy54bWxQSwUGAAAAAAYABgBZAQAAewUA&#10;AAAA&#10;">
                <v:fill on="f" focussize="0,0"/>
                <v:stroke weight="1.5pt" color="#000000 [3200]" miterlimit="8" joinstyle="miter"/>
                <v:imagedata o:title=""/>
                <o:lock v:ext="edit" aspectratio="f"/>
                <w10:wrap type="topAndBottom"/>
              </v:line>
            </w:pict>
          </mc:Fallback>
        </mc:AlternateContent>
      </w:r>
    </w:p>
    <w:p w14:paraId="04D87BA9">
      <w:pPr>
        <w:ind w:firstLine="0"/>
        <w:rPr>
          <w:color w:val="000000" w:themeColor="text1"/>
          <w14:textFill>
            <w14:solidFill>
              <w14:schemeClr w14:val="tx1"/>
            </w14:solidFill>
          </w14:textFill>
        </w:rPr>
      </w:pPr>
    </w:p>
    <w:p w14:paraId="5846E1DC">
      <w:pPr>
        <w:jc w:val="center"/>
        <w:rPr>
          <w:b/>
          <w:color w:val="000000" w:themeColor="text1"/>
          <w:sz w:val="32"/>
          <w:szCs w:val="36"/>
          <w14:textFill>
            <w14:solidFill>
              <w14:schemeClr w14:val="tx1"/>
            </w14:solidFill>
          </w14:textFill>
        </w:rPr>
      </w:pPr>
      <w:r>
        <w:rPr>
          <w:b/>
          <w:color w:val="000000" w:themeColor="text1"/>
          <w:sz w:val="32"/>
          <w:szCs w:val="36"/>
          <w14:textFill>
            <w14:solidFill>
              <w14:schemeClr w14:val="tx1"/>
            </w14:solidFill>
          </w14:textFill>
        </w:rPr>
        <w:t>中国工程建设标准化协会标准</w:t>
      </w:r>
    </w:p>
    <w:p w14:paraId="0A96A360">
      <w:pPr>
        <w:adjustRightInd w:val="0"/>
        <w:snapToGrid w:val="0"/>
        <w:ind w:firstLine="0"/>
        <w:jc w:val="left"/>
        <w:rPr>
          <w:rFonts w:eastAsia="黑体"/>
          <w:b/>
          <w:sz w:val="30"/>
          <w:szCs w:val="30"/>
        </w:rPr>
      </w:pPr>
    </w:p>
    <w:p w14:paraId="0AAFFBC8">
      <w:pPr>
        <w:pStyle w:val="6"/>
        <w:jc w:val="center"/>
        <w:rPr>
          <w:rFonts w:ascii="Times New Roman" w:hAnsi="Times New Roman" w:eastAsia="黑体"/>
          <w:bCs/>
          <w:sz w:val="40"/>
          <w:szCs w:val="36"/>
        </w:rPr>
      </w:pPr>
      <w:bookmarkStart w:id="0" w:name="_Toc2625"/>
      <w:bookmarkStart w:id="1" w:name="_Toc18312"/>
      <w:bookmarkStart w:id="2" w:name="_Toc3960"/>
      <w:r>
        <w:rPr>
          <w:rFonts w:ascii="Times New Roman" w:hAnsi="Times New Roman" w:eastAsia="黑体"/>
          <w:sz w:val="48"/>
          <w:szCs w:val="44"/>
        </w:rPr>
        <w:t>城市</w:t>
      </w:r>
      <w:r>
        <w:rPr>
          <w:rFonts w:hint="eastAsia" w:ascii="Times New Roman" w:hAnsi="Times New Roman" w:eastAsia="黑体"/>
          <w:sz w:val="48"/>
          <w:szCs w:val="44"/>
          <w:lang w:val="en-US" w:eastAsia="zh-CN"/>
        </w:rPr>
        <w:t>地下</w:t>
      </w:r>
      <w:r>
        <w:rPr>
          <w:rFonts w:ascii="Times New Roman" w:hAnsi="Times New Roman" w:eastAsia="黑体"/>
          <w:sz w:val="48"/>
          <w:szCs w:val="44"/>
        </w:rPr>
        <w:t>综合管廊岩土工程技术规程</w:t>
      </w:r>
      <w:bookmarkEnd w:id="0"/>
      <w:bookmarkEnd w:id="1"/>
      <w:bookmarkEnd w:id="2"/>
    </w:p>
    <w:p w14:paraId="30EEF16B">
      <w:pPr>
        <w:ind w:firstLine="649"/>
        <w:jc w:val="center"/>
        <w:rPr>
          <w:color w:val="333333"/>
          <w:sz w:val="30"/>
          <w:szCs w:val="30"/>
          <w:shd w:val="clear" w:color="auto" w:fill="FFFFFF"/>
        </w:rPr>
      </w:pPr>
      <w:r>
        <w:rPr>
          <w:color w:val="333333"/>
          <w:sz w:val="30"/>
          <w:szCs w:val="30"/>
          <w:shd w:val="clear" w:color="auto" w:fill="FFFFFF"/>
        </w:rPr>
        <w:t>Technical specification for geotechnical of urban utility tunnel</w:t>
      </w:r>
    </w:p>
    <w:p w14:paraId="5BFF7B6E">
      <w:pPr>
        <w:jc w:val="center"/>
      </w:pPr>
    </w:p>
    <w:p w14:paraId="489053F9">
      <w:pPr>
        <w:ind w:firstLine="0"/>
        <w:rPr>
          <w:b/>
          <w:bCs/>
          <w:sz w:val="28"/>
        </w:rPr>
      </w:pPr>
    </w:p>
    <w:p w14:paraId="4A8FC876">
      <w:pPr>
        <w:ind w:firstLine="0"/>
        <w:jc w:val="center"/>
        <w:rPr>
          <w:b/>
          <w:bCs/>
          <w:sz w:val="30"/>
          <w:szCs w:val="30"/>
        </w:rPr>
      </w:pPr>
      <w:r>
        <w:rPr>
          <w:b/>
          <w:bCs/>
          <w:sz w:val="30"/>
          <w:szCs w:val="30"/>
        </w:rPr>
        <w:t>（征求意见稿）</w:t>
      </w:r>
    </w:p>
    <w:p w14:paraId="4E7B793E">
      <w:pPr>
        <w:ind w:firstLine="0"/>
        <w:rPr>
          <w:b/>
          <w:bCs/>
          <w:sz w:val="28"/>
        </w:rPr>
      </w:pPr>
    </w:p>
    <w:p w14:paraId="215EF0AD">
      <w:pPr>
        <w:ind w:firstLine="0"/>
        <w:rPr>
          <w:b/>
          <w:bCs/>
          <w:sz w:val="28"/>
        </w:rPr>
      </w:pPr>
    </w:p>
    <w:p w14:paraId="3774659D">
      <w:pPr>
        <w:ind w:firstLine="0"/>
        <w:rPr>
          <w:b/>
          <w:bCs/>
          <w:sz w:val="28"/>
        </w:rPr>
      </w:pPr>
    </w:p>
    <w:p w14:paraId="76CE4B77">
      <w:pPr>
        <w:ind w:firstLine="0"/>
        <w:rPr>
          <w:b/>
          <w:bCs/>
          <w:sz w:val="28"/>
        </w:rPr>
      </w:pPr>
    </w:p>
    <w:p w14:paraId="081999E3">
      <w:pPr>
        <w:ind w:firstLine="0"/>
        <w:rPr>
          <w:b/>
          <w:bCs/>
          <w:sz w:val="28"/>
        </w:rPr>
      </w:pPr>
    </w:p>
    <w:p w14:paraId="38A7BF3F">
      <w:pPr>
        <w:ind w:firstLine="0"/>
        <w:jc w:val="left"/>
        <w:rPr>
          <w:b/>
          <w:bCs/>
          <w:sz w:val="28"/>
        </w:rPr>
      </w:pPr>
    </w:p>
    <w:p w14:paraId="491B92B2">
      <w:pPr>
        <w:ind w:firstLine="0"/>
        <w:jc w:val="left"/>
        <w:rPr>
          <w:b/>
          <w:bCs/>
          <w:sz w:val="28"/>
        </w:rPr>
      </w:pPr>
    </w:p>
    <w:p w14:paraId="68170805">
      <w:pPr>
        <w:ind w:firstLine="0"/>
        <w:jc w:val="center"/>
        <w:rPr>
          <w:rFonts w:eastAsia="仿宋"/>
          <w:b/>
          <w:sz w:val="28"/>
        </w:rPr>
      </w:pPr>
      <w:r>
        <w:rPr>
          <w:rFonts w:eastAsia="仿宋"/>
          <w:b/>
          <w:sz w:val="28"/>
        </w:rPr>
        <w:t>中国XX出版社</w:t>
      </w:r>
    </w:p>
    <w:p w14:paraId="112FA874">
      <w:pPr>
        <w:ind w:firstLine="0"/>
        <w:rPr>
          <w:rStyle w:val="21"/>
          <w:rFonts w:ascii="Times New Roman"/>
          <w:b/>
          <w:bCs/>
          <w:sz w:val="30"/>
          <w:szCs w:val="30"/>
        </w:rPr>
      </w:pPr>
    </w:p>
    <w:p w14:paraId="60856643">
      <w:pPr>
        <w:rPr>
          <w:rStyle w:val="21"/>
          <w:rFonts w:ascii="Times New Roman"/>
          <w:b/>
          <w:bCs/>
          <w:sz w:val="30"/>
          <w:szCs w:val="30"/>
        </w:rPr>
        <w:sectPr>
          <w:footerReference r:id="rId5" w:type="default"/>
          <w:pgSz w:w="11906" w:h="16838"/>
          <w:pgMar w:top="1984" w:right="1701" w:bottom="1701" w:left="1701" w:header="1701" w:footer="1417" w:gutter="0"/>
          <w:cols w:space="0" w:num="1"/>
          <w:docGrid w:type="lines" w:linePitch="328" w:charSpace="0"/>
        </w:sectPr>
      </w:pPr>
    </w:p>
    <w:p w14:paraId="56CDFB43">
      <w:pPr>
        <w:pStyle w:val="6"/>
        <w:ind w:firstLine="0"/>
        <w:jc w:val="center"/>
        <w:rPr>
          <w:rFonts w:ascii="Times New Roman" w:hAnsi="Times New Roman" w:eastAsia="黑体"/>
          <w:bCs/>
          <w:sz w:val="32"/>
          <w:szCs w:val="30"/>
        </w:rPr>
      </w:pPr>
      <w:bookmarkStart w:id="3" w:name="_Toc25162"/>
      <w:bookmarkStart w:id="4" w:name="_Toc5430"/>
      <w:bookmarkStart w:id="5" w:name="_Toc23490"/>
    </w:p>
    <w:p w14:paraId="21C91883">
      <w:pPr>
        <w:pStyle w:val="6"/>
        <w:ind w:firstLine="0"/>
        <w:jc w:val="center"/>
        <w:rPr>
          <w:rFonts w:ascii="Times New Roman" w:hAnsi="Times New Roman" w:eastAsia="黑体"/>
          <w:bCs/>
          <w:sz w:val="40"/>
          <w:szCs w:val="32"/>
        </w:rPr>
      </w:pPr>
      <w:r>
        <w:rPr>
          <w:rFonts w:ascii="Times New Roman" w:hAnsi="Times New Roman" w:eastAsia="黑体"/>
          <w:bCs/>
          <w:sz w:val="32"/>
          <w:szCs w:val="30"/>
        </w:rPr>
        <w:t>中国工程建设标准化协会标准</w:t>
      </w:r>
      <w:bookmarkEnd w:id="3"/>
      <w:bookmarkEnd w:id="4"/>
      <w:bookmarkEnd w:id="5"/>
    </w:p>
    <w:p w14:paraId="610BF36A">
      <w:pPr>
        <w:pStyle w:val="6"/>
        <w:ind w:firstLine="1061"/>
        <w:jc w:val="center"/>
        <w:rPr>
          <w:rFonts w:ascii="Times New Roman" w:hAnsi="Times New Roman"/>
          <w:b/>
          <w:sz w:val="52"/>
          <w:szCs w:val="48"/>
        </w:rPr>
      </w:pPr>
    </w:p>
    <w:p w14:paraId="194C217D">
      <w:pPr>
        <w:pStyle w:val="6"/>
        <w:ind w:firstLine="0"/>
        <w:jc w:val="center"/>
        <w:rPr>
          <w:rFonts w:ascii="Times New Roman" w:hAnsi="Times New Roman"/>
          <w:bCs/>
          <w:sz w:val="48"/>
          <w:szCs w:val="36"/>
        </w:rPr>
      </w:pPr>
      <w:bookmarkStart w:id="6" w:name="_Toc20039"/>
      <w:bookmarkStart w:id="7" w:name="_Toc11032"/>
      <w:bookmarkStart w:id="8" w:name="_Toc25783"/>
      <w:r>
        <w:rPr>
          <w:rFonts w:ascii="Times New Roman" w:hAnsi="Times New Roman"/>
          <w:b/>
          <w:sz w:val="48"/>
          <w:szCs w:val="36"/>
        </w:rPr>
        <w:t>城市</w:t>
      </w:r>
      <w:r>
        <w:rPr>
          <w:rFonts w:hint="eastAsia" w:ascii="Times New Roman" w:hAnsi="Times New Roman"/>
          <w:b/>
          <w:sz w:val="48"/>
          <w:szCs w:val="36"/>
          <w:lang w:val="en-US" w:eastAsia="zh-CN"/>
        </w:rPr>
        <w:t>地下</w:t>
      </w:r>
      <w:r>
        <w:rPr>
          <w:rFonts w:ascii="Times New Roman" w:hAnsi="Times New Roman"/>
          <w:b/>
          <w:sz w:val="48"/>
          <w:szCs w:val="36"/>
        </w:rPr>
        <w:t>综合管廊岩土工程技术规程</w:t>
      </w:r>
      <w:bookmarkEnd w:id="6"/>
      <w:bookmarkEnd w:id="7"/>
      <w:bookmarkEnd w:id="8"/>
    </w:p>
    <w:p w14:paraId="77B4778E">
      <w:pPr>
        <w:jc w:val="center"/>
        <w:rPr>
          <w:color w:val="333333"/>
          <w:sz w:val="30"/>
          <w:szCs w:val="30"/>
          <w:shd w:val="clear" w:color="auto" w:fill="FFFFFF"/>
        </w:rPr>
      </w:pPr>
    </w:p>
    <w:p w14:paraId="2C5D1965">
      <w:pPr>
        <w:jc w:val="center"/>
        <w:rPr>
          <w:color w:val="333333"/>
          <w:sz w:val="30"/>
          <w:szCs w:val="30"/>
          <w:shd w:val="clear" w:color="auto" w:fill="FFFFFF"/>
        </w:rPr>
      </w:pPr>
      <w:r>
        <w:rPr>
          <w:color w:val="333333"/>
          <w:sz w:val="30"/>
          <w:szCs w:val="30"/>
          <w:shd w:val="clear" w:color="auto" w:fill="FFFFFF"/>
        </w:rPr>
        <w:t>Technical specification for geotechnical of urban utility tunnel</w:t>
      </w:r>
    </w:p>
    <w:p w14:paraId="60130CA1">
      <w:pPr>
        <w:jc w:val="center"/>
        <w:rPr>
          <w:color w:val="333333"/>
          <w:sz w:val="30"/>
          <w:szCs w:val="30"/>
          <w:shd w:val="clear" w:color="auto" w:fill="FFFFFF"/>
        </w:rPr>
      </w:pPr>
    </w:p>
    <w:p w14:paraId="71D974A7">
      <w:pPr>
        <w:ind w:firstLine="569"/>
        <w:jc w:val="center"/>
        <w:rPr>
          <w:b/>
          <w:sz w:val="28"/>
        </w:rPr>
      </w:pPr>
      <w:bookmarkStart w:id="9" w:name="_Toc17943"/>
      <w:bookmarkStart w:id="10" w:name="_Toc8282"/>
      <w:bookmarkStart w:id="11" w:name="_Toc10946"/>
      <w:r>
        <w:rPr>
          <w:b/>
          <w:sz w:val="28"/>
        </w:rPr>
        <w:t>T/CECS 1</w:t>
      </w:r>
      <w:bookmarkStart w:id="12" w:name="_Hlk193391076"/>
      <w:r>
        <w:rPr>
          <w:b/>
          <w:sz w:val="28"/>
        </w:rPr>
        <w:t>×××</w:t>
      </w:r>
      <w:bookmarkEnd w:id="12"/>
      <w:r>
        <w:rPr>
          <w:b/>
          <w:sz w:val="28"/>
        </w:rPr>
        <w:t>-2025</w:t>
      </w:r>
      <w:bookmarkEnd w:id="9"/>
      <w:bookmarkEnd w:id="10"/>
      <w:bookmarkEnd w:id="11"/>
    </w:p>
    <w:p w14:paraId="02125850">
      <w:pPr>
        <w:ind w:firstLine="569"/>
        <w:jc w:val="center"/>
        <w:rPr>
          <w:b/>
          <w:sz w:val="28"/>
        </w:rPr>
      </w:pPr>
    </w:p>
    <w:p w14:paraId="4A9EFA21">
      <w:pPr>
        <w:ind w:firstLine="569"/>
        <w:jc w:val="center"/>
        <w:rPr>
          <w:b/>
          <w:sz w:val="28"/>
        </w:rPr>
      </w:pPr>
    </w:p>
    <w:p w14:paraId="6B0F1273">
      <w:pPr>
        <w:ind w:left="1678" w:firstLine="23"/>
        <w:jc w:val="left"/>
        <w:rPr>
          <w:sz w:val="28"/>
        </w:rPr>
      </w:pPr>
      <w:r>
        <w:rPr>
          <w:sz w:val="28"/>
        </w:rPr>
        <w:t>主编单位：中冶武勘工程技术有限公司</w:t>
      </w:r>
    </w:p>
    <w:p w14:paraId="15C06E60">
      <w:pPr>
        <w:ind w:firstLine="3136" w:firstLineChars="1120"/>
        <w:jc w:val="left"/>
        <w:rPr>
          <w:sz w:val="28"/>
        </w:rPr>
      </w:pPr>
      <w:r>
        <w:rPr>
          <w:sz w:val="28"/>
        </w:rPr>
        <w:t>中冀建勘集团有限公司</w:t>
      </w:r>
    </w:p>
    <w:p w14:paraId="010847E0">
      <w:pPr>
        <w:ind w:left="1678" w:right="2040" w:rightChars="850" w:firstLine="23"/>
        <w:jc w:val="left"/>
        <w:rPr>
          <w:sz w:val="28"/>
        </w:rPr>
      </w:pPr>
      <w:r>
        <w:rPr>
          <w:sz w:val="28"/>
        </w:rPr>
        <w:t>批准单位：中国工程建设标准化协会</w:t>
      </w:r>
    </w:p>
    <w:p w14:paraId="2442E71D">
      <w:pPr>
        <w:ind w:left="1678" w:right="2040" w:rightChars="850" w:firstLine="23"/>
        <w:jc w:val="left"/>
        <w:rPr>
          <w:sz w:val="32"/>
          <w:szCs w:val="28"/>
        </w:rPr>
      </w:pPr>
      <w:r>
        <w:rPr>
          <w:sz w:val="28"/>
        </w:rPr>
        <w:t>施行日期：2025年XX月XX日</w:t>
      </w:r>
    </w:p>
    <w:p w14:paraId="018C3311">
      <w:pPr>
        <w:ind w:firstLine="569"/>
        <w:jc w:val="left"/>
        <w:rPr>
          <w:b/>
          <w:bCs/>
          <w:sz w:val="28"/>
          <w:szCs w:val="28"/>
        </w:rPr>
      </w:pPr>
    </w:p>
    <w:p w14:paraId="126532DE">
      <w:pPr>
        <w:ind w:firstLine="569"/>
        <w:jc w:val="left"/>
        <w:rPr>
          <w:b/>
          <w:bCs/>
          <w:sz w:val="28"/>
        </w:rPr>
      </w:pPr>
    </w:p>
    <w:p w14:paraId="25F6DAA4">
      <w:pPr>
        <w:ind w:firstLine="569"/>
        <w:rPr>
          <w:b/>
          <w:bCs/>
          <w:sz w:val="28"/>
        </w:rPr>
      </w:pPr>
    </w:p>
    <w:p w14:paraId="15805077">
      <w:pPr>
        <w:ind w:firstLine="569"/>
        <w:rPr>
          <w:b/>
          <w:bCs/>
          <w:sz w:val="28"/>
        </w:rPr>
      </w:pPr>
    </w:p>
    <w:p w14:paraId="2A49D3F9">
      <w:pPr>
        <w:ind w:firstLine="569"/>
        <w:rPr>
          <w:b/>
          <w:bCs/>
          <w:sz w:val="28"/>
        </w:rPr>
      </w:pPr>
    </w:p>
    <w:p w14:paraId="5AFB408C">
      <w:pPr>
        <w:ind w:firstLine="569"/>
        <w:jc w:val="center"/>
        <w:rPr>
          <w:b/>
          <w:bCs/>
          <w:sz w:val="28"/>
        </w:rPr>
      </w:pPr>
    </w:p>
    <w:p w14:paraId="6DA965D6">
      <w:pPr>
        <w:ind w:firstLine="567"/>
        <w:jc w:val="center"/>
        <w:rPr>
          <w:rFonts w:eastAsia="仿宋"/>
          <w:b/>
          <w:bCs/>
        </w:rPr>
      </w:pPr>
      <w:r>
        <w:rPr>
          <w:rFonts w:eastAsia="仿宋"/>
          <w:b/>
          <w:sz w:val="28"/>
        </w:rPr>
        <w:t>中国XX出版社</w:t>
      </w:r>
    </w:p>
    <w:p w14:paraId="6DC10031">
      <w:pPr>
        <w:jc w:val="center"/>
      </w:pPr>
      <w:r>
        <w:rPr>
          <w:rFonts w:eastAsia="黑体"/>
        </w:rPr>
        <w:t>2025　</w:t>
      </w:r>
      <w:r>
        <w:rPr>
          <w:rFonts w:eastAsia="黑体"/>
          <w:b/>
          <w:bCs/>
        </w:rPr>
        <w:t>北</w:t>
      </w:r>
      <w:r>
        <w:rPr>
          <w:rFonts w:eastAsia="黑体"/>
        </w:rPr>
        <w:t>　　</w:t>
      </w:r>
      <w:r>
        <w:rPr>
          <w:rFonts w:eastAsia="黑体"/>
          <w:b/>
          <w:bCs/>
        </w:rPr>
        <w:t>京</w:t>
      </w:r>
      <w:bookmarkStart w:id="13" w:name="_Toc2391"/>
      <w:bookmarkStart w:id="14" w:name="_Toc1383"/>
      <w:bookmarkStart w:id="15" w:name="_Toc4856"/>
      <w:bookmarkStart w:id="16" w:name="_Toc7143"/>
      <w:bookmarkStart w:id="17" w:name="_Toc17729403"/>
      <w:bookmarkStart w:id="18" w:name="_Toc17730126"/>
    </w:p>
    <w:p w14:paraId="56E7BADC">
      <w:pPr>
        <w:pStyle w:val="19"/>
        <w:widowControl w:val="0"/>
        <w:spacing w:beforeLines="0" w:afterLines="0"/>
        <w:jc w:val="center"/>
        <w:outlineLvl w:val="0"/>
        <w:rPr>
          <w:rFonts w:ascii="Times New Roman" w:eastAsia="宋体"/>
          <w:b/>
          <w:bCs/>
          <w:szCs w:val="21"/>
        </w:rPr>
        <w:sectPr>
          <w:pgSz w:w="11906" w:h="16838"/>
          <w:pgMar w:top="1984" w:right="1701" w:bottom="1701" w:left="1701" w:header="1701" w:footer="1417" w:gutter="0"/>
          <w:cols w:space="0" w:num="1"/>
          <w:docGrid w:type="lines" w:linePitch="328" w:charSpace="0"/>
        </w:sectPr>
      </w:pPr>
    </w:p>
    <w:p w14:paraId="100EEB28">
      <w:pPr>
        <w:pStyle w:val="20"/>
        <w:ind w:firstLine="420"/>
        <w:rPr>
          <w:rFonts w:ascii="Times New Roman"/>
        </w:rPr>
      </w:pPr>
    </w:p>
    <w:p w14:paraId="69425340">
      <w:pPr>
        <w:pStyle w:val="6"/>
        <w:jc w:val="center"/>
        <w:rPr>
          <w:rFonts w:ascii="Times New Roman" w:hAnsi="Times New Roman" w:eastAsia="黑体"/>
          <w:sz w:val="32"/>
        </w:rPr>
      </w:pPr>
      <w:r>
        <w:rPr>
          <w:rFonts w:ascii="Times New Roman" w:hAnsi="Times New Roman" w:eastAsia="黑体"/>
          <w:sz w:val="32"/>
        </w:rPr>
        <w:t>前　　言</w:t>
      </w:r>
      <w:bookmarkEnd w:id="13"/>
      <w:bookmarkEnd w:id="14"/>
      <w:bookmarkEnd w:id="15"/>
      <w:bookmarkEnd w:id="16"/>
    </w:p>
    <w:bookmarkEnd w:id="17"/>
    <w:bookmarkEnd w:id="18"/>
    <w:p w14:paraId="6DA9677F"/>
    <w:p w14:paraId="41CA807F">
      <w:pPr>
        <w:snapToGrid w:val="0"/>
        <w:spacing w:line="324" w:lineRule="auto"/>
        <w:ind w:firstLine="480" w:firstLineChars="200"/>
      </w:pPr>
      <w:r>
        <w:t>《城市综合管廊岩土工程技术规程》（以下简称“规程”）是根据中国工程建设标准化协会《关于印发&lt;2016年第一批工程建设协会标准制订、修订计划&gt;的通知》（建标协字〔2016〕038号）的要求进行编制。编制组经深入调查研究，认真总结工程实践经验，参考国内有关标准，并在广泛征求意见的基础上，制定本规程。</w:t>
      </w:r>
    </w:p>
    <w:p w14:paraId="7E2338FC">
      <w:pPr>
        <w:snapToGrid w:val="0"/>
        <w:spacing w:line="324" w:lineRule="auto"/>
        <w:ind w:firstLine="480" w:firstLineChars="200"/>
      </w:pPr>
      <w:r>
        <w:t>本规程共分8章和4个附录，主要</w:t>
      </w:r>
      <w:r>
        <w:rPr>
          <w:rFonts w:hint="eastAsia"/>
        </w:rPr>
        <w:t>技术</w:t>
      </w:r>
      <w:r>
        <w:t>内容包括：总则、术语和符号、基本规定、岩土工程</w:t>
      </w:r>
      <w:r>
        <w:rPr>
          <w:rFonts w:hint="eastAsia"/>
          <w:lang w:val="en-US" w:eastAsia="zh-CN"/>
        </w:rPr>
        <w:t>勘察、</w:t>
      </w:r>
      <w:r>
        <w:t>岩土工程设计、岩土工程施工、岩土工程监测、岩土工程检验与检测等。</w:t>
      </w:r>
    </w:p>
    <w:p w14:paraId="1E8FFA8E">
      <w:pPr>
        <w:snapToGrid w:val="0"/>
        <w:spacing w:line="324" w:lineRule="auto"/>
        <w:ind w:firstLine="480" w:firstLineChars="200"/>
      </w:pPr>
      <w:r>
        <w:t>本规程的某些内容可能直接或间接涉及专利，本规程的发布机构不承担识别这些专利的责任。</w:t>
      </w:r>
    </w:p>
    <w:p w14:paraId="78DFB37A">
      <w:pPr>
        <w:snapToGrid w:val="0"/>
        <w:spacing w:line="324" w:lineRule="auto"/>
        <w:ind w:firstLine="480" w:firstLineChars="200"/>
      </w:pPr>
      <w:r>
        <w:t>本规程由中国工程建设标准化协会勘测专业委员会归口管理，由中冶武勘工程技术有限公司负责具体技术内容的解释。执行过程中如有意见或建议，请反馈给中冶武勘工程技术有限公司（地址：湖北省武汉市青山区冶金大道17号，邮编：430080，邮箱：</w:t>
      </w:r>
      <w:r>
        <w:fldChar w:fldCharType="begin"/>
      </w:r>
      <w:r>
        <w:instrText xml:space="preserve"> HYPERLINK "mailto:****@***.****" </w:instrText>
      </w:r>
      <w:r>
        <w:fldChar w:fldCharType="separate"/>
      </w:r>
      <w:r>
        <w:t>000116@wsgri.com</w:t>
      </w:r>
      <w:r>
        <w:fldChar w:fldCharType="end"/>
      </w:r>
      <w:r>
        <w:t>）。</w:t>
      </w:r>
    </w:p>
    <w:p w14:paraId="163C9619">
      <w:pPr>
        <w:snapToGrid w:val="0"/>
        <w:spacing w:line="324" w:lineRule="auto"/>
        <w:ind w:firstLine="560" w:firstLineChars="200"/>
      </w:pPr>
      <w:bookmarkStart w:id="19" w:name="_Toc32435"/>
      <w:bookmarkStart w:id="20" w:name="_Toc3629"/>
      <w:bookmarkStart w:id="21" w:name="_Toc20038"/>
      <w:r>
        <w:rPr>
          <w:rFonts w:eastAsia="黑体"/>
          <w:spacing w:val="20"/>
        </w:rPr>
        <w:t>主编单位：</w:t>
      </w:r>
      <w:r>
        <w:t>中冶武勘工程技术有限公司</w:t>
      </w:r>
      <w:bookmarkEnd w:id="19"/>
      <w:bookmarkEnd w:id="20"/>
      <w:bookmarkEnd w:id="21"/>
    </w:p>
    <w:p w14:paraId="016EB878">
      <w:pPr>
        <w:snapToGrid w:val="0"/>
        <w:spacing w:line="324" w:lineRule="auto"/>
        <w:ind w:firstLine="1920" w:firstLineChars="800"/>
      </w:pPr>
      <w:bookmarkStart w:id="22" w:name="_Toc6739"/>
      <w:bookmarkStart w:id="23" w:name="_Toc15494"/>
      <w:bookmarkStart w:id="24" w:name="_Toc21164"/>
      <w:bookmarkStart w:id="25" w:name="OLE_LINK2"/>
      <w:r>
        <w:t>中冀建勘集团有限公司</w:t>
      </w:r>
      <w:bookmarkEnd w:id="22"/>
      <w:bookmarkEnd w:id="23"/>
      <w:bookmarkEnd w:id="24"/>
    </w:p>
    <w:bookmarkEnd w:id="25"/>
    <w:p w14:paraId="7306A695">
      <w:pPr>
        <w:snapToGrid w:val="0"/>
        <w:spacing w:line="324" w:lineRule="auto"/>
        <w:ind w:firstLine="560" w:firstLineChars="200"/>
      </w:pPr>
      <w:bookmarkStart w:id="26" w:name="_Toc5248"/>
      <w:bookmarkStart w:id="27" w:name="_Toc56"/>
      <w:bookmarkStart w:id="28" w:name="_Toc7239"/>
      <w:r>
        <w:rPr>
          <w:rFonts w:eastAsia="黑体"/>
          <w:spacing w:val="20"/>
        </w:rPr>
        <w:t>参编单位：</w:t>
      </w:r>
      <w:bookmarkEnd w:id="26"/>
      <w:bookmarkEnd w:id="27"/>
      <w:bookmarkEnd w:id="28"/>
      <w:bookmarkStart w:id="29" w:name="_Toc22927"/>
      <w:bookmarkStart w:id="30" w:name="_Toc9939"/>
      <w:bookmarkStart w:id="31" w:name="_Toc8022"/>
      <w:r>
        <w:t>中国二十冶集团有限公司</w:t>
      </w:r>
      <w:bookmarkEnd w:id="29"/>
      <w:bookmarkEnd w:id="30"/>
      <w:bookmarkEnd w:id="31"/>
    </w:p>
    <w:p w14:paraId="299D83BA">
      <w:pPr>
        <w:snapToGrid w:val="0"/>
        <w:spacing w:line="324" w:lineRule="auto"/>
        <w:ind w:firstLine="1920" w:firstLineChars="800"/>
      </w:pPr>
      <w:bookmarkStart w:id="32" w:name="_Toc27141"/>
      <w:bookmarkStart w:id="33" w:name="_Toc4605"/>
      <w:bookmarkStart w:id="34" w:name="_Toc14733"/>
      <w:r>
        <w:t>上海宝冶集团有限公司</w:t>
      </w:r>
    </w:p>
    <w:p w14:paraId="474AFB2D">
      <w:pPr>
        <w:snapToGrid w:val="0"/>
        <w:spacing w:line="324" w:lineRule="auto"/>
        <w:ind w:firstLine="1920" w:firstLineChars="800"/>
      </w:pPr>
      <w:r>
        <w:t>中冶赛迪工程技术股份有限公司</w:t>
      </w:r>
      <w:bookmarkEnd w:id="32"/>
      <w:bookmarkEnd w:id="33"/>
      <w:bookmarkEnd w:id="34"/>
    </w:p>
    <w:p w14:paraId="7402F280">
      <w:pPr>
        <w:snapToGrid w:val="0"/>
        <w:spacing w:line="324" w:lineRule="auto"/>
        <w:ind w:firstLine="1920" w:firstLineChars="800"/>
      </w:pPr>
      <w:r>
        <w:t>上海勘察设计研究院（集团）股份有限公司</w:t>
      </w:r>
    </w:p>
    <w:p w14:paraId="18D6748F">
      <w:pPr>
        <w:snapToGrid w:val="0"/>
        <w:spacing w:line="324" w:lineRule="auto"/>
        <w:ind w:firstLine="1920" w:firstLineChars="800"/>
      </w:pPr>
      <w:bookmarkStart w:id="35" w:name="_Toc6890"/>
      <w:bookmarkStart w:id="36" w:name="_Toc31915"/>
      <w:bookmarkStart w:id="37" w:name="_Toc27243"/>
      <w:r>
        <w:t>甘肃中建市政工程勘察设计研究院有限公司</w:t>
      </w:r>
      <w:bookmarkEnd w:id="35"/>
      <w:bookmarkEnd w:id="36"/>
      <w:bookmarkEnd w:id="37"/>
    </w:p>
    <w:p w14:paraId="618415DF">
      <w:pPr>
        <w:snapToGrid w:val="0"/>
        <w:spacing w:line="324" w:lineRule="auto"/>
        <w:ind w:firstLine="1920" w:firstLineChars="800"/>
      </w:pPr>
      <w:r>
        <w:t>深圳市勘察测绘院（集团）有限公司</w:t>
      </w:r>
    </w:p>
    <w:p w14:paraId="5BD39BC8">
      <w:pPr>
        <w:snapToGrid w:val="0"/>
        <w:spacing w:line="324" w:lineRule="auto"/>
        <w:ind w:firstLine="1920" w:firstLineChars="800"/>
      </w:pPr>
      <w:r>
        <w:t>中冶天工集团有限公司</w:t>
      </w:r>
    </w:p>
    <w:p w14:paraId="4F0E96C9">
      <w:pPr>
        <w:snapToGrid w:val="0"/>
        <w:spacing w:line="324" w:lineRule="auto"/>
        <w:ind w:firstLine="1920" w:firstLineChars="800"/>
      </w:pPr>
      <w:r>
        <w:t>武汉大学</w:t>
      </w:r>
    </w:p>
    <w:p w14:paraId="544BD609">
      <w:pPr>
        <w:snapToGrid w:val="0"/>
        <w:spacing w:line="324" w:lineRule="auto"/>
        <w:ind w:firstLine="1920" w:firstLineChars="800"/>
      </w:pPr>
      <w:r>
        <w:t>中国京冶工程技术有限公司</w:t>
      </w:r>
    </w:p>
    <w:p w14:paraId="19758C8E">
      <w:pPr>
        <w:snapToGrid w:val="0"/>
        <w:spacing w:line="324" w:lineRule="auto"/>
        <w:ind w:firstLine="1920" w:firstLineChars="800"/>
      </w:pPr>
      <w:r>
        <w:t>西安建筑科技大学</w:t>
      </w:r>
    </w:p>
    <w:p w14:paraId="4451AE1E">
      <w:pPr>
        <w:snapToGrid w:val="0"/>
        <w:spacing w:line="324" w:lineRule="auto"/>
        <w:ind w:firstLine="1920" w:firstLineChars="800"/>
      </w:pPr>
      <w:bookmarkStart w:id="38" w:name="_Toc7182"/>
      <w:bookmarkStart w:id="39" w:name="_Toc6597"/>
      <w:bookmarkStart w:id="40" w:name="_Toc12067"/>
      <w:r>
        <w:t>中化学土木工程有限公司</w:t>
      </w:r>
      <w:bookmarkEnd w:id="38"/>
      <w:bookmarkEnd w:id="39"/>
      <w:bookmarkEnd w:id="40"/>
    </w:p>
    <w:p w14:paraId="3C148F34">
      <w:pPr>
        <w:snapToGrid w:val="0"/>
        <w:spacing w:line="324" w:lineRule="auto"/>
        <w:ind w:firstLine="1920" w:firstLineChars="800"/>
      </w:pPr>
      <w:bookmarkStart w:id="41" w:name="_Toc30175"/>
      <w:bookmarkStart w:id="42" w:name="_Toc15339"/>
      <w:bookmarkStart w:id="43" w:name="_Toc26775"/>
      <w:r>
        <w:t>中国市政工程西北设计研究院有限公司</w:t>
      </w:r>
      <w:bookmarkEnd w:id="41"/>
      <w:bookmarkEnd w:id="42"/>
      <w:bookmarkEnd w:id="43"/>
    </w:p>
    <w:p w14:paraId="121370C3">
      <w:pPr>
        <w:snapToGrid w:val="0"/>
        <w:spacing w:line="324" w:lineRule="auto"/>
        <w:ind w:firstLine="1920" w:firstLineChars="800"/>
      </w:pPr>
      <w:bookmarkStart w:id="44" w:name="_Toc23615"/>
      <w:bookmarkStart w:id="45" w:name="_Toc24116"/>
      <w:bookmarkStart w:id="46" w:name="_Toc4056"/>
      <w:bookmarkStart w:id="47" w:name="_Toc31747"/>
      <w:bookmarkStart w:id="48" w:name="_Toc14527"/>
      <w:bookmarkStart w:id="49" w:name="_Toc6711"/>
      <w:r>
        <w:t>中国建筑西南勘察设计研究院有限公司</w:t>
      </w:r>
      <w:bookmarkEnd w:id="44"/>
      <w:bookmarkEnd w:id="45"/>
      <w:bookmarkEnd w:id="46"/>
    </w:p>
    <w:p w14:paraId="1DC53670">
      <w:pPr>
        <w:snapToGrid w:val="0"/>
        <w:spacing w:line="324" w:lineRule="auto"/>
        <w:ind w:firstLine="1920" w:firstLineChars="800"/>
      </w:pPr>
      <w:r>
        <w:t>机械工业勘察设计研究院有限公司</w:t>
      </w:r>
      <w:bookmarkEnd w:id="47"/>
      <w:bookmarkEnd w:id="48"/>
      <w:bookmarkEnd w:id="49"/>
    </w:p>
    <w:p w14:paraId="79F675C3">
      <w:pPr>
        <w:snapToGrid w:val="0"/>
        <w:spacing w:line="324" w:lineRule="auto"/>
        <w:ind w:firstLine="1920" w:firstLineChars="800"/>
      </w:pPr>
      <w:bookmarkStart w:id="50" w:name="_Toc5041"/>
      <w:bookmarkStart w:id="51" w:name="_Toc22093"/>
      <w:bookmarkStart w:id="52" w:name="_Toc6348"/>
      <w:r>
        <w:t>中南建筑设计院股份有限公司</w:t>
      </w:r>
      <w:bookmarkEnd w:id="50"/>
      <w:bookmarkEnd w:id="51"/>
      <w:bookmarkEnd w:id="52"/>
    </w:p>
    <w:p w14:paraId="0BC8A552">
      <w:pPr>
        <w:snapToGrid w:val="0"/>
        <w:spacing w:line="324" w:lineRule="auto"/>
        <w:ind w:firstLine="1920" w:firstLineChars="800"/>
      </w:pPr>
      <w:bookmarkStart w:id="53" w:name="_Toc1060"/>
      <w:bookmarkStart w:id="54" w:name="_Toc14626"/>
      <w:bookmarkStart w:id="55" w:name="_Toc10011"/>
      <w:r>
        <w:t>武汉生态环境设计研究院有限公司</w:t>
      </w:r>
      <w:bookmarkEnd w:id="53"/>
      <w:bookmarkEnd w:id="54"/>
      <w:bookmarkEnd w:id="55"/>
    </w:p>
    <w:p w14:paraId="6B658C72">
      <w:pPr>
        <w:snapToGrid w:val="0"/>
        <w:spacing w:line="324" w:lineRule="auto"/>
        <w:ind w:firstLine="1920" w:firstLineChars="800"/>
      </w:pPr>
      <w:r>
        <w:t>中冶沈勘工程技术有限公司</w:t>
      </w:r>
    </w:p>
    <w:p w14:paraId="0B003F8E">
      <w:pPr>
        <w:snapToGrid w:val="0"/>
        <w:spacing w:line="324" w:lineRule="auto"/>
        <w:ind w:firstLine="1920" w:firstLineChars="800"/>
      </w:pPr>
      <w:r>
        <w:t>湖北道泽岩土工程有限公司</w:t>
      </w:r>
    </w:p>
    <w:p w14:paraId="236AF512">
      <w:pPr>
        <w:snapToGrid w:val="0"/>
        <w:spacing w:line="324" w:lineRule="auto"/>
        <w:ind w:firstLine="1680" w:firstLineChars="700"/>
      </w:pPr>
    </w:p>
    <w:p w14:paraId="1A784064">
      <w:pPr>
        <w:keepNext w:val="0"/>
        <w:keepLines w:val="0"/>
        <w:pageBreakBefore w:val="0"/>
        <w:widowControl/>
        <w:kinsoku/>
        <w:wordWrap/>
        <w:overflowPunct/>
        <w:topLinePunct w:val="0"/>
        <w:autoSpaceDE/>
        <w:autoSpaceDN/>
        <w:bidi w:val="0"/>
        <w:adjustRightInd/>
        <w:snapToGrid/>
        <w:spacing w:line="300" w:lineRule="auto"/>
        <w:ind w:right="-149" w:rightChars="-62" w:firstLine="480" w:firstLineChars="200"/>
        <w:jc w:val="left"/>
        <w:textAlignment w:val="auto"/>
        <w:rPr>
          <w:rFonts w:ascii="宋体" w:hAnsi="宋体" w:eastAsia="宋体" w:cs="宋体"/>
          <w:sz w:val="24"/>
          <w:szCs w:val="24"/>
        </w:rPr>
      </w:pPr>
      <w:r>
        <w:rPr>
          <w:rFonts w:eastAsia="黑体"/>
          <w:bCs/>
        </w:rPr>
        <w:t>主要起草人：</w:t>
      </w:r>
      <w:r>
        <w:rPr>
          <w:rFonts w:ascii="宋体" w:hAnsi="宋体" w:eastAsia="宋体" w:cs="宋体"/>
          <w:sz w:val="24"/>
          <w:szCs w:val="24"/>
        </w:rPr>
        <w:t>臧中海 王</w:t>
      </w:r>
      <w:r>
        <w:rPr>
          <w:rFonts w:hint="eastAsia" w:ascii="宋体" w:hAnsi="宋体" w:eastAsia="宋体" w:cs="宋体"/>
          <w:sz w:val="24"/>
          <w:szCs w:val="24"/>
          <w:lang w:val="en-US" w:eastAsia="zh-CN"/>
        </w:rPr>
        <w:t xml:space="preserve">  </w:t>
      </w:r>
      <w:r>
        <w:rPr>
          <w:rFonts w:ascii="宋体" w:hAnsi="宋体" w:eastAsia="宋体" w:cs="宋体"/>
          <w:sz w:val="24"/>
          <w:szCs w:val="24"/>
        </w:rPr>
        <w:t>辉 李华伟 聂庆科 杨石飞</w:t>
      </w:r>
    </w:p>
    <w:p w14:paraId="2D9FA100">
      <w:pPr>
        <w:keepNext w:val="0"/>
        <w:keepLines w:val="0"/>
        <w:pageBreakBefore w:val="0"/>
        <w:widowControl w:val="0"/>
        <w:kinsoku/>
        <w:wordWrap/>
        <w:overflowPunct/>
        <w:topLinePunct w:val="0"/>
        <w:autoSpaceDE/>
        <w:autoSpaceDN/>
        <w:bidi w:val="0"/>
        <w:adjustRightInd/>
        <w:snapToGrid w:val="0"/>
        <w:spacing w:line="324" w:lineRule="auto"/>
        <w:ind w:firstLine="1922" w:firstLineChars="801"/>
        <w:textAlignment w:val="auto"/>
        <w:rPr>
          <w:rFonts w:ascii="宋体" w:hAnsi="宋体" w:eastAsia="宋体" w:cs="宋体"/>
          <w:sz w:val="24"/>
          <w:szCs w:val="24"/>
        </w:rPr>
      </w:pPr>
      <w:r>
        <w:rPr>
          <w:rFonts w:ascii="宋体" w:hAnsi="宋体" w:eastAsia="宋体" w:cs="宋体"/>
          <w:sz w:val="24"/>
          <w:szCs w:val="24"/>
        </w:rPr>
        <w:t>辛利伍 张森安</w:t>
      </w:r>
      <w:r>
        <w:rPr>
          <w:rFonts w:hint="eastAsia" w:ascii="宋体" w:hAnsi="宋体" w:eastAsia="宋体" w:cs="宋体"/>
          <w:sz w:val="24"/>
          <w:szCs w:val="24"/>
          <w:lang w:val="en-US" w:eastAsia="zh-CN"/>
        </w:rPr>
        <w:t xml:space="preserve">  </w:t>
      </w:r>
      <w:r>
        <w:rPr>
          <w:rFonts w:ascii="宋体" w:hAnsi="宋体" w:eastAsia="宋体" w:cs="宋体"/>
          <w:sz w:val="24"/>
          <w:szCs w:val="24"/>
        </w:rPr>
        <w:t>肖玉成</w:t>
      </w:r>
      <w:r>
        <w:rPr>
          <w:rFonts w:hint="eastAsia" w:ascii="宋体" w:hAnsi="宋体" w:eastAsia="宋体" w:cs="宋体"/>
          <w:sz w:val="24"/>
          <w:szCs w:val="24"/>
          <w:lang w:val="en-US" w:eastAsia="zh-CN"/>
        </w:rPr>
        <w:t xml:space="preserve">  </w:t>
      </w:r>
      <w:r>
        <w:rPr>
          <w:rFonts w:ascii="宋体" w:hAnsi="宋体" w:eastAsia="宋体" w:cs="宋体"/>
          <w:sz w:val="24"/>
          <w:szCs w:val="24"/>
        </w:rPr>
        <w:t>文建鹏 谢</w:t>
      </w:r>
      <w:r>
        <w:rPr>
          <w:rFonts w:hint="eastAsia" w:ascii="宋体" w:hAnsi="宋体" w:eastAsia="宋体" w:cs="宋体"/>
          <w:sz w:val="24"/>
          <w:szCs w:val="24"/>
          <w:lang w:val="en-US" w:eastAsia="zh-CN"/>
        </w:rPr>
        <w:t xml:space="preserve">  </w:t>
      </w:r>
      <w:r>
        <w:rPr>
          <w:rFonts w:ascii="宋体" w:hAnsi="宋体" w:eastAsia="宋体" w:cs="宋体"/>
          <w:sz w:val="24"/>
          <w:szCs w:val="24"/>
        </w:rPr>
        <w:t>非 </w:t>
      </w:r>
    </w:p>
    <w:p w14:paraId="2C8447BF">
      <w:pPr>
        <w:keepNext w:val="0"/>
        <w:keepLines w:val="0"/>
        <w:pageBreakBefore w:val="0"/>
        <w:widowControl w:val="0"/>
        <w:kinsoku/>
        <w:wordWrap/>
        <w:overflowPunct/>
        <w:topLinePunct w:val="0"/>
        <w:autoSpaceDE/>
        <w:autoSpaceDN/>
        <w:bidi w:val="0"/>
        <w:adjustRightInd/>
        <w:snapToGrid w:val="0"/>
        <w:spacing w:line="324" w:lineRule="auto"/>
        <w:ind w:firstLine="1922" w:firstLineChars="801"/>
        <w:textAlignment w:val="auto"/>
        <w:rPr>
          <w:rFonts w:ascii="宋体" w:hAnsi="宋体" w:eastAsia="宋体" w:cs="宋体"/>
          <w:sz w:val="24"/>
          <w:szCs w:val="24"/>
        </w:rPr>
      </w:pPr>
      <w:r>
        <w:rPr>
          <w:rFonts w:ascii="宋体" w:hAnsi="宋体" w:eastAsia="宋体" w:cs="宋体"/>
          <w:sz w:val="24"/>
          <w:szCs w:val="24"/>
        </w:rPr>
        <w:t>胡建伟 司马军</w:t>
      </w:r>
      <w:r>
        <w:rPr>
          <w:rFonts w:hint="eastAsia" w:ascii="宋体" w:hAnsi="宋体" w:eastAsia="宋体" w:cs="宋体"/>
          <w:sz w:val="24"/>
          <w:szCs w:val="24"/>
          <w:lang w:val="en-US" w:eastAsia="zh-CN"/>
        </w:rPr>
        <w:t xml:space="preserve">  </w:t>
      </w:r>
      <w:r>
        <w:rPr>
          <w:rFonts w:ascii="宋体" w:hAnsi="宋体" w:eastAsia="宋体" w:cs="宋体"/>
          <w:sz w:val="24"/>
          <w:szCs w:val="24"/>
        </w:rPr>
        <w:t>赵</w:t>
      </w:r>
      <w:r>
        <w:rPr>
          <w:rFonts w:hint="eastAsia" w:ascii="宋体" w:hAnsi="宋体" w:eastAsia="宋体" w:cs="宋体"/>
          <w:sz w:val="24"/>
          <w:szCs w:val="24"/>
          <w:lang w:val="en-US" w:eastAsia="zh-CN"/>
        </w:rPr>
        <w:t xml:space="preserve">  </w:t>
      </w:r>
      <w:r>
        <w:rPr>
          <w:rFonts w:ascii="宋体" w:hAnsi="宋体" w:eastAsia="宋体" w:cs="宋体"/>
          <w:sz w:val="24"/>
          <w:szCs w:val="24"/>
        </w:rPr>
        <w:t>轩 党智荣 徐愿生 </w:t>
      </w:r>
    </w:p>
    <w:p w14:paraId="11904D58">
      <w:pPr>
        <w:keepNext w:val="0"/>
        <w:keepLines w:val="0"/>
        <w:pageBreakBefore w:val="0"/>
        <w:widowControl w:val="0"/>
        <w:kinsoku/>
        <w:wordWrap/>
        <w:overflowPunct/>
        <w:topLinePunct w:val="0"/>
        <w:autoSpaceDE/>
        <w:autoSpaceDN/>
        <w:bidi w:val="0"/>
        <w:adjustRightInd/>
        <w:snapToGrid w:val="0"/>
        <w:spacing w:line="324" w:lineRule="auto"/>
        <w:ind w:firstLine="1922" w:firstLineChars="801"/>
        <w:textAlignment w:val="auto"/>
        <w:rPr>
          <w:rFonts w:ascii="宋体" w:hAnsi="宋体" w:eastAsia="宋体" w:cs="宋体"/>
          <w:sz w:val="24"/>
          <w:szCs w:val="24"/>
        </w:rPr>
      </w:pPr>
      <w:r>
        <w:rPr>
          <w:rFonts w:ascii="宋体" w:hAnsi="宋体" w:eastAsia="宋体" w:cs="宋体"/>
          <w:sz w:val="24"/>
          <w:szCs w:val="24"/>
        </w:rPr>
        <w:t>尤苏南 杜</w:t>
      </w:r>
      <w:r>
        <w:rPr>
          <w:rFonts w:hint="eastAsia" w:ascii="宋体" w:hAnsi="宋体" w:eastAsia="宋体" w:cs="宋体"/>
          <w:sz w:val="24"/>
          <w:szCs w:val="24"/>
          <w:lang w:val="en-US" w:eastAsia="zh-CN"/>
        </w:rPr>
        <w:t xml:space="preserve">  </w:t>
      </w:r>
      <w:r>
        <w:rPr>
          <w:rFonts w:ascii="宋体" w:hAnsi="宋体" w:eastAsia="宋体" w:cs="宋体"/>
          <w:sz w:val="24"/>
          <w:szCs w:val="24"/>
        </w:rPr>
        <w:t>俊 唐建东 宋战平 马全丽 </w:t>
      </w:r>
    </w:p>
    <w:p w14:paraId="2697901C">
      <w:pPr>
        <w:keepNext w:val="0"/>
        <w:keepLines w:val="0"/>
        <w:pageBreakBefore w:val="0"/>
        <w:widowControl w:val="0"/>
        <w:kinsoku/>
        <w:wordWrap/>
        <w:overflowPunct/>
        <w:topLinePunct w:val="0"/>
        <w:autoSpaceDE/>
        <w:autoSpaceDN/>
        <w:bidi w:val="0"/>
        <w:adjustRightInd/>
        <w:snapToGrid w:val="0"/>
        <w:spacing w:line="324" w:lineRule="auto"/>
        <w:ind w:firstLine="1922" w:firstLineChars="801"/>
        <w:textAlignment w:val="auto"/>
        <w:rPr>
          <w:rFonts w:ascii="宋体" w:hAnsi="宋体" w:eastAsia="宋体" w:cs="宋体"/>
          <w:sz w:val="24"/>
          <w:szCs w:val="24"/>
        </w:rPr>
      </w:pPr>
      <w:r>
        <w:rPr>
          <w:rFonts w:ascii="宋体" w:hAnsi="宋体" w:eastAsia="宋体" w:cs="宋体"/>
          <w:sz w:val="24"/>
          <w:szCs w:val="24"/>
        </w:rPr>
        <w:t>何敬宇 李宏胜 王延涛 谢昭宇 刘笔艳 </w:t>
      </w:r>
    </w:p>
    <w:p w14:paraId="2973DD26">
      <w:pPr>
        <w:keepNext w:val="0"/>
        <w:keepLines w:val="0"/>
        <w:pageBreakBefore w:val="0"/>
        <w:widowControl w:val="0"/>
        <w:kinsoku/>
        <w:wordWrap/>
        <w:overflowPunct/>
        <w:topLinePunct w:val="0"/>
        <w:autoSpaceDE/>
        <w:autoSpaceDN/>
        <w:bidi w:val="0"/>
        <w:adjustRightInd/>
        <w:snapToGrid w:val="0"/>
        <w:spacing w:line="324" w:lineRule="auto"/>
        <w:ind w:firstLine="1922" w:firstLineChars="801"/>
        <w:textAlignment w:val="auto"/>
        <w:rPr>
          <w:rFonts w:ascii="宋体" w:hAnsi="宋体" w:eastAsia="宋体" w:cs="宋体"/>
          <w:sz w:val="24"/>
          <w:szCs w:val="24"/>
        </w:rPr>
      </w:pPr>
      <w:r>
        <w:rPr>
          <w:rFonts w:hint="eastAsia" w:ascii="宋体" w:hAnsi="宋体" w:eastAsia="宋体" w:cs="宋体"/>
          <w:sz w:val="24"/>
          <w:szCs w:val="24"/>
          <w:lang w:val="en-US" w:eastAsia="zh-CN"/>
        </w:rPr>
        <w:t xml:space="preserve">陈  斌  </w:t>
      </w:r>
      <w:r>
        <w:rPr>
          <w:rFonts w:ascii="宋体" w:hAnsi="宋体" w:eastAsia="宋体" w:cs="宋体"/>
          <w:sz w:val="24"/>
          <w:szCs w:val="24"/>
        </w:rPr>
        <w:t>孙运青 刘</w:t>
      </w:r>
      <w:r>
        <w:rPr>
          <w:rFonts w:hint="eastAsia" w:ascii="宋体" w:hAnsi="宋体" w:eastAsia="宋体" w:cs="宋体"/>
          <w:sz w:val="24"/>
          <w:szCs w:val="24"/>
          <w:lang w:val="en-US" w:eastAsia="zh-CN"/>
        </w:rPr>
        <w:t xml:space="preserve">  </w:t>
      </w:r>
      <w:r>
        <w:rPr>
          <w:rFonts w:ascii="宋体" w:hAnsi="宋体" w:eastAsia="宋体" w:cs="宋体"/>
          <w:sz w:val="24"/>
          <w:szCs w:val="24"/>
        </w:rPr>
        <w:t>伟 尹</w:t>
      </w:r>
      <w:r>
        <w:rPr>
          <w:rFonts w:hint="eastAsia" w:ascii="宋体" w:hAnsi="宋体" w:eastAsia="宋体" w:cs="宋体"/>
          <w:sz w:val="24"/>
          <w:szCs w:val="24"/>
          <w:lang w:val="en-US" w:eastAsia="zh-CN"/>
        </w:rPr>
        <w:t xml:space="preserve">  </w:t>
      </w:r>
      <w:r>
        <w:rPr>
          <w:rFonts w:ascii="宋体" w:hAnsi="宋体" w:eastAsia="宋体" w:cs="宋体"/>
          <w:sz w:val="24"/>
          <w:szCs w:val="24"/>
        </w:rPr>
        <w:t>华 谭志斌 </w:t>
      </w:r>
    </w:p>
    <w:p w14:paraId="73837FDB">
      <w:pPr>
        <w:keepNext w:val="0"/>
        <w:keepLines w:val="0"/>
        <w:pageBreakBefore w:val="0"/>
        <w:widowControl w:val="0"/>
        <w:kinsoku/>
        <w:wordWrap/>
        <w:overflowPunct/>
        <w:topLinePunct w:val="0"/>
        <w:autoSpaceDE/>
        <w:autoSpaceDN/>
        <w:bidi w:val="0"/>
        <w:adjustRightInd/>
        <w:snapToGrid w:val="0"/>
        <w:spacing w:line="324" w:lineRule="auto"/>
        <w:ind w:firstLine="1922" w:firstLineChars="801"/>
        <w:textAlignment w:val="auto"/>
        <w:rPr>
          <w:rFonts w:ascii="宋体" w:hAnsi="宋体" w:eastAsia="宋体" w:cs="宋体"/>
          <w:sz w:val="24"/>
          <w:szCs w:val="24"/>
        </w:rPr>
      </w:pPr>
      <w:r>
        <w:rPr>
          <w:rFonts w:ascii="宋体" w:hAnsi="宋体" w:eastAsia="宋体" w:cs="宋体"/>
          <w:sz w:val="24"/>
          <w:szCs w:val="24"/>
        </w:rPr>
        <w:t>张大磊 陈晓波 马晓武 罗</w:t>
      </w:r>
      <w:r>
        <w:rPr>
          <w:rFonts w:hint="eastAsia" w:ascii="宋体" w:hAnsi="宋体" w:eastAsia="宋体" w:cs="宋体"/>
          <w:sz w:val="24"/>
          <w:szCs w:val="24"/>
          <w:lang w:val="en-US" w:eastAsia="zh-CN"/>
        </w:rPr>
        <w:t xml:space="preserve">  </w:t>
      </w:r>
      <w:r>
        <w:rPr>
          <w:rFonts w:ascii="宋体" w:hAnsi="宋体" w:eastAsia="宋体" w:cs="宋体"/>
          <w:sz w:val="24"/>
          <w:szCs w:val="24"/>
        </w:rPr>
        <w:t>森 康</w:t>
      </w:r>
      <w:r>
        <w:rPr>
          <w:rFonts w:hint="eastAsia" w:ascii="宋体" w:hAnsi="宋体" w:eastAsia="宋体" w:cs="宋体"/>
          <w:sz w:val="24"/>
          <w:szCs w:val="24"/>
          <w:lang w:val="en-US" w:eastAsia="zh-CN"/>
        </w:rPr>
        <w:t xml:space="preserve">  </w:t>
      </w:r>
      <w:r>
        <w:rPr>
          <w:rFonts w:ascii="宋体" w:hAnsi="宋体" w:eastAsia="宋体" w:cs="宋体"/>
          <w:sz w:val="24"/>
          <w:szCs w:val="24"/>
        </w:rPr>
        <w:t>旭 </w:t>
      </w:r>
    </w:p>
    <w:p w14:paraId="016DD132">
      <w:pPr>
        <w:keepNext w:val="0"/>
        <w:keepLines w:val="0"/>
        <w:pageBreakBefore w:val="0"/>
        <w:widowControl w:val="0"/>
        <w:kinsoku/>
        <w:wordWrap/>
        <w:overflowPunct/>
        <w:topLinePunct w:val="0"/>
        <w:autoSpaceDE/>
        <w:autoSpaceDN/>
        <w:bidi w:val="0"/>
        <w:adjustRightInd/>
        <w:snapToGrid w:val="0"/>
        <w:spacing w:line="324" w:lineRule="auto"/>
        <w:ind w:firstLine="1922" w:firstLineChars="801"/>
        <w:textAlignment w:val="auto"/>
        <w:rPr>
          <w:rFonts w:ascii="宋体" w:hAnsi="宋体" w:eastAsia="宋体" w:cs="宋体"/>
          <w:sz w:val="24"/>
          <w:szCs w:val="24"/>
        </w:rPr>
      </w:pPr>
      <w:r>
        <w:rPr>
          <w:rFonts w:ascii="宋体" w:hAnsi="宋体" w:eastAsia="宋体" w:cs="宋体"/>
          <w:sz w:val="24"/>
          <w:szCs w:val="24"/>
        </w:rPr>
        <w:t>王沈力 贾</w:t>
      </w:r>
      <w:r>
        <w:rPr>
          <w:rFonts w:hint="eastAsia" w:ascii="宋体" w:hAnsi="宋体" w:eastAsia="宋体" w:cs="宋体"/>
          <w:sz w:val="24"/>
          <w:szCs w:val="24"/>
          <w:lang w:val="en-US" w:eastAsia="zh-CN"/>
        </w:rPr>
        <w:t xml:space="preserve">  </w:t>
      </w:r>
      <w:r>
        <w:rPr>
          <w:rFonts w:ascii="宋体" w:hAnsi="宋体" w:eastAsia="宋体" w:cs="宋体"/>
          <w:sz w:val="24"/>
          <w:szCs w:val="24"/>
        </w:rPr>
        <w:t>鹏 张玉伟 张恩祥 孙</w:t>
      </w:r>
      <w:r>
        <w:rPr>
          <w:rFonts w:hint="eastAsia" w:ascii="宋体" w:hAnsi="宋体" w:eastAsia="宋体" w:cs="宋体"/>
          <w:sz w:val="24"/>
          <w:szCs w:val="24"/>
          <w:lang w:val="en-US" w:eastAsia="zh-CN"/>
        </w:rPr>
        <w:t xml:space="preserve">  </w:t>
      </w:r>
      <w:r>
        <w:rPr>
          <w:rFonts w:ascii="宋体" w:hAnsi="宋体" w:eastAsia="宋体" w:cs="宋体"/>
          <w:sz w:val="24"/>
          <w:szCs w:val="24"/>
        </w:rPr>
        <w:t>聪 </w:t>
      </w:r>
    </w:p>
    <w:p w14:paraId="1F162244">
      <w:pPr>
        <w:keepNext w:val="0"/>
        <w:keepLines w:val="0"/>
        <w:pageBreakBefore w:val="0"/>
        <w:widowControl w:val="0"/>
        <w:kinsoku/>
        <w:wordWrap/>
        <w:overflowPunct/>
        <w:topLinePunct w:val="0"/>
        <w:autoSpaceDE/>
        <w:autoSpaceDN/>
        <w:bidi w:val="0"/>
        <w:adjustRightInd/>
        <w:snapToGrid w:val="0"/>
        <w:spacing w:line="324" w:lineRule="auto"/>
        <w:ind w:firstLine="1922" w:firstLineChars="801"/>
        <w:textAlignment w:val="auto"/>
        <w:rPr>
          <w:rFonts w:hint="default" w:eastAsia="宋体"/>
          <w:sz w:val="30"/>
          <w:szCs w:val="30"/>
          <w:highlight w:val="none"/>
          <w:lang w:val="en-US" w:eastAsia="zh-CN"/>
        </w:rPr>
      </w:pPr>
      <w:r>
        <w:rPr>
          <w:rFonts w:ascii="宋体" w:hAnsi="宋体" w:eastAsia="宋体" w:cs="宋体"/>
          <w:sz w:val="24"/>
          <w:szCs w:val="24"/>
        </w:rPr>
        <w:t>王彬州</w:t>
      </w:r>
      <w:r>
        <w:rPr>
          <w:rFonts w:hint="eastAsia" w:ascii="宋体" w:hAnsi="宋体" w:eastAsia="宋体" w:cs="宋体"/>
          <w:sz w:val="24"/>
          <w:szCs w:val="24"/>
          <w:lang w:val="en-US" w:eastAsia="zh-CN"/>
        </w:rPr>
        <w:t xml:space="preserve">  李春磊</w:t>
      </w:r>
    </w:p>
    <w:p w14:paraId="3DAA9C73">
      <w:pPr>
        <w:snapToGrid w:val="0"/>
        <w:spacing w:line="324" w:lineRule="auto"/>
      </w:pPr>
    </w:p>
    <w:p w14:paraId="7CAC8D39">
      <w:pPr>
        <w:snapToGrid w:val="0"/>
        <w:spacing w:line="324" w:lineRule="auto"/>
        <w:rPr>
          <w:b/>
          <w:bCs/>
        </w:rPr>
      </w:pPr>
    </w:p>
    <w:p w14:paraId="3F8CFC84">
      <w:pPr>
        <w:snapToGrid w:val="0"/>
        <w:spacing w:line="324" w:lineRule="auto"/>
        <w:rPr>
          <w:b/>
          <w:bCs/>
        </w:rPr>
      </w:pPr>
    </w:p>
    <w:p w14:paraId="7E8B35EC">
      <w:pPr>
        <w:snapToGrid w:val="0"/>
        <w:spacing w:line="324" w:lineRule="auto"/>
        <w:rPr>
          <w:szCs w:val="21"/>
        </w:rPr>
      </w:pPr>
      <w:r>
        <w:rPr>
          <w:rFonts w:eastAsia="黑体"/>
          <w:bCs/>
        </w:rPr>
        <w:t>主要审查人：</w:t>
      </w:r>
    </w:p>
    <w:p w14:paraId="19F087AF">
      <w:pPr>
        <w:ind w:firstLine="480" w:firstLineChars="200"/>
        <w:rPr>
          <w:szCs w:val="21"/>
        </w:rPr>
      </w:pPr>
    </w:p>
    <w:p w14:paraId="4B8635A2">
      <w:pPr>
        <w:rPr>
          <w:rStyle w:val="21"/>
          <w:rFonts w:ascii="Times New Roman"/>
          <w:b/>
          <w:bCs/>
          <w:sz w:val="30"/>
          <w:szCs w:val="30"/>
        </w:rPr>
        <w:sectPr>
          <w:footerReference r:id="rId6" w:type="default"/>
          <w:pgSz w:w="11906" w:h="16838"/>
          <w:pgMar w:top="1984" w:right="1701" w:bottom="1701" w:left="1701" w:header="1701" w:footer="1474" w:gutter="0"/>
          <w:pgNumType w:start="1"/>
          <w:cols w:space="0" w:num="1"/>
          <w:docGrid w:type="lines" w:linePitch="328" w:charSpace="0"/>
        </w:sectPr>
      </w:pPr>
    </w:p>
    <w:p w14:paraId="54873B4D">
      <w:pPr>
        <w:spacing w:line="240" w:lineRule="auto"/>
        <w:ind w:firstLine="0"/>
        <w:jc w:val="center"/>
        <w:rPr>
          <w:b/>
          <w:bCs/>
          <w:sz w:val="21"/>
          <w:szCs w:val="21"/>
        </w:rPr>
      </w:pPr>
    </w:p>
    <w:sdt>
      <w:sdtPr>
        <w:rPr>
          <w:rFonts w:ascii="仿宋" w:hAnsi="仿宋" w:eastAsia="仿宋"/>
          <w:b/>
          <w:bCs/>
          <w:sz w:val="32"/>
          <w:szCs w:val="30"/>
        </w:rPr>
        <w:id w:val="147470399"/>
        <w15:color w:val="DBDBDB"/>
        <w:docPartObj>
          <w:docPartGallery w:val="Table of Contents"/>
          <w:docPartUnique/>
        </w:docPartObj>
      </w:sdtPr>
      <w:sdtEndPr>
        <w:rPr>
          <w:rFonts w:ascii="Times New Roman" w:hAnsi="Times New Roman" w:eastAsia="黑体"/>
          <w:b/>
          <w:bCs/>
          <w:sz w:val="24"/>
          <w:szCs w:val="30"/>
        </w:rPr>
      </w:sdtEndPr>
      <w:sdtContent>
        <w:p w14:paraId="571395A7">
          <w:pPr>
            <w:spacing w:line="240" w:lineRule="auto"/>
            <w:ind w:firstLine="0"/>
            <w:jc w:val="center"/>
            <w:rPr>
              <w:rFonts w:ascii="仿宋" w:hAnsi="仿宋" w:eastAsia="仿宋"/>
              <w:b/>
              <w:bCs/>
              <w:sz w:val="32"/>
              <w:szCs w:val="30"/>
            </w:rPr>
          </w:pPr>
          <w:r>
            <w:rPr>
              <w:rFonts w:ascii="仿宋" w:hAnsi="仿宋" w:eastAsia="仿宋"/>
              <w:b/>
              <w:bCs/>
              <w:sz w:val="32"/>
              <w:szCs w:val="30"/>
            </w:rPr>
            <w:t>目　　次</w:t>
          </w:r>
        </w:p>
        <w:p w14:paraId="40EA3771">
          <w:pPr>
            <w:spacing w:line="240" w:lineRule="auto"/>
            <w:ind w:firstLine="0"/>
            <w:jc w:val="center"/>
            <w:rPr>
              <w:b/>
              <w:bCs/>
              <w:sz w:val="21"/>
              <w:szCs w:val="21"/>
            </w:rPr>
          </w:pPr>
        </w:p>
        <w:p w14:paraId="540D7202">
          <w:pPr>
            <w:pStyle w:val="10"/>
            <w:tabs>
              <w:tab w:val="right" w:leader="dot" w:pos="8504"/>
            </w:tabs>
          </w:pPr>
          <w:r>
            <w:fldChar w:fldCharType="begin"/>
          </w:r>
          <w:r>
            <w:instrText xml:space="preserve">TOC \o "1-3" \h \u </w:instrText>
          </w:r>
          <w:r>
            <w:fldChar w:fldCharType="separate"/>
          </w:r>
          <w:r>
            <w:fldChar w:fldCharType="begin"/>
          </w:r>
          <w:r>
            <w:instrText xml:space="preserve"> HYPERLINK \l "_Toc21983" </w:instrText>
          </w:r>
          <w:r>
            <w:fldChar w:fldCharType="separate"/>
          </w:r>
          <w:r>
            <w:rPr>
              <w:bCs/>
              <w:szCs w:val="30"/>
            </w:rPr>
            <w:t>1　总　　则</w:t>
          </w:r>
          <w:r>
            <w:tab/>
          </w:r>
          <w:r>
            <w:t>（</w:t>
          </w:r>
          <w:r>
            <w:fldChar w:fldCharType="begin"/>
          </w:r>
          <w:r>
            <w:instrText xml:space="preserve"> PAGEREF _Toc21983 \h </w:instrText>
          </w:r>
          <w:r>
            <w:fldChar w:fldCharType="separate"/>
          </w:r>
          <w:r>
            <w:t>1</w:t>
          </w:r>
          <w:r>
            <w:fldChar w:fldCharType="end"/>
          </w:r>
          <w:r>
            <w:fldChar w:fldCharType="end"/>
          </w:r>
          <w:r>
            <w:t>）</w:t>
          </w:r>
        </w:p>
        <w:p w14:paraId="6079B9D9">
          <w:pPr>
            <w:pStyle w:val="10"/>
            <w:tabs>
              <w:tab w:val="right" w:leader="dot" w:pos="8504"/>
            </w:tabs>
          </w:pPr>
          <w:r>
            <w:fldChar w:fldCharType="begin"/>
          </w:r>
          <w:r>
            <w:instrText xml:space="preserve"> HYPERLINK \l "_Toc18818" </w:instrText>
          </w:r>
          <w:r>
            <w:fldChar w:fldCharType="separate"/>
          </w:r>
          <w:r>
            <w:rPr>
              <w:bCs/>
              <w:szCs w:val="30"/>
            </w:rPr>
            <w:t>2　术语和符号</w:t>
          </w:r>
          <w:r>
            <w:tab/>
          </w:r>
          <w:r>
            <w:t>（</w:t>
          </w:r>
          <w:r>
            <w:fldChar w:fldCharType="begin"/>
          </w:r>
          <w:r>
            <w:instrText xml:space="preserve"> PAGEREF _Toc18818 \h </w:instrText>
          </w:r>
          <w:r>
            <w:fldChar w:fldCharType="separate"/>
          </w:r>
          <w:r>
            <w:t>2</w:t>
          </w:r>
          <w:r>
            <w:fldChar w:fldCharType="end"/>
          </w:r>
          <w:r>
            <w:fldChar w:fldCharType="end"/>
          </w:r>
          <w:r>
            <w:t>）</w:t>
          </w:r>
        </w:p>
        <w:p w14:paraId="1F19090A">
          <w:pPr>
            <w:pStyle w:val="11"/>
            <w:tabs>
              <w:tab w:val="right" w:leader="dot" w:pos="8504"/>
            </w:tabs>
            <w:ind w:left="480"/>
          </w:pPr>
          <w:r>
            <w:fldChar w:fldCharType="begin"/>
          </w:r>
          <w:r>
            <w:instrText xml:space="preserve"> HYPERLINK \l "_Toc26075" </w:instrText>
          </w:r>
          <w:r>
            <w:fldChar w:fldCharType="separate"/>
          </w:r>
          <w:r>
            <w:rPr>
              <w:bCs/>
              <w:szCs w:val="28"/>
            </w:rPr>
            <w:t>2.1　术语</w:t>
          </w:r>
          <w:r>
            <w:tab/>
          </w:r>
          <w:r>
            <w:t>（</w:t>
          </w:r>
          <w:r>
            <w:fldChar w:fldCharType="begin"/>
          </w:r>
          <w:r>
            <w:instrText xml:space="preserve"> PAGEREF _Toc26075 \h </w:instrText>
          </w:r>
          <w:r>
            <w:fldChar w:fldCharType="separate"/>
          </w:r>
          <w:r>
            <w:t>2</w:t>
          </w:r>
          <w:r>
            <w:fldChar w:fldCharType="end"/>
          </w:r>
          <w:r>
            <w:fldChar w:fldCharType="end"/>
          </w:r>
          <w:r>
            <w:t>）</w:t>
          </w:r>
        </w:p>
        <w:p w14:paraId="58062331">
          <w:pPr>
            <w:pStyle w:val="11"/>
            <w:tabs>
              <w:tab w:val="right" w:leader="dot" w:pos="8504"/>
            </w:tabs>
            <w:ind w:left="480"/>
          </w:pPr>
          <w:r>
            <w:fldChar w:fldCharType="begin"/>
          </w:r>
          <w:r>
            <w:instrText xml:space="preserve"> HYPERLINK \l "_Toc3834" </w:instrText>
          </w:r>
          <w:r>
            <w:fldChar w:fldCharType="separate"/>
          </w:r>
          <w:r>
            <w:rPr>
              <w:bCs/>
              <w:szCs w:val="28"/>
            </w:rPr>
            <w:t>2.2　符号</w:t>
          </w:r>
          <w:r>
            <w:tab/>
          </w:r>
          <w:r>
            <w:t>（</w:t>
          </w:r>
          <w:r>
            <w:fldChar w:fldCharType="begin"/>
          </w:r>
          <w:r>
            <w:instrText xml:space="preserve"> PAGEREF _Toc3834 \h </w:instrText>
          </w:r>
          <w:r>
            <w:fldChar w:fldCharType="separate"/>
          </w:r>
          <w:r>
            <w:t>4</w:t>
          </w:r>
          <w:r>
            <w:fldChar w:fldCharType="end"/>
          </w:r>
          <w:r>
            <w:fldChar w:fldCharType="end"/>
          </w:r>
          <w:r>
            <w:t>）</w:t>
          </w:r>
        </w:p>
        <w:p w14:paraId="703C9DD1">
          <w:pPr>
            <w:pStyle w:val="10"/>
            <w:tabs>
              <w:tab w:val="right" w:leader="dot" w:pos="8504"/>
            </w:tabs>
          </w:pPr>
          <w:r>
            <w:fldChar w:fldCharType="begin"/>
          </w:r>
          <w:r>
            <w:instrText xml:space="preserve"> HYPERLINK \l "_Toc22533" </w:instrText>
          </w:r>
          <w:r>
            <w:fldChar w:fldCharType="separate"/>
          </w:r>
          <w:r>
            <w:rPr>
              <w:bCs/>
              <w:szCs w:val="30"/>
            </w:rPr>
            <w:t>3　基本规定</w:t>
          </w:r>
          <w:r>
            <w:tab/>
          </w:r>
          <w:r>
            <w:t>（</w:t>
          </w:r>
          <w:r>
            <w:fldChar w:fldCharType="begin"/>
          </w:r>
          <w:r>
            <w:instrText xml:space="preserve"> PAGEREF _Toc22533 \h </w:instrText>
          </w:r>
          <w:r>
            <w:fldChar w:fldCharType="separate"/>
          </w:r>
          <w:r>
            <w:t>6</w:t>
          </w:r>
          <w:r>
            <w:fldChar w:fldCharType="end"/>
          </w:r>
          <w:r>
            <w:fldChar w:fldCharType="end"/>
          </w:r>
          <w:r>
            <w:t>）</w:t>
          </w:r>
        </w:p>
        <w:p w14:paraId="39716781">
          <w:pPr>
            <w:pStyle w:val="11"/>
            <w:tabs>
              <w:tab w:val="right" w:leader="dot" w:pos="8504"/>
            </w:tabs>
            <w:ind w:left="480"/>
          </w:pPr>
          <w:r>
            <w:fldChar w:fldCharType="begin"/>
          </w:r>
          <w:r>
            <w:instrText xml:space="preserve"> HYPERLINK \l "_Toc12388" </w:instrText>
          </w:r>
          <w:r>
            <w:fldChar w:fldCharType="separate"/>
          </w:r>
          <w:r>
            <w:rPr>
              <w:bCs/>
              <w:szCs w:val="28"/>
            </w:rPr>
            <w:t>3.1　岩土工程勘察</w:t>
          </w:r>
          <w:r>
            <w:tab/>
          </w:r>
          <w:r>
            <w:t>（</w:t>
          </w:r>
          <w:r>
            <w:fldChar w:fldCharType="begin"/>
          </w:r>
          <w:r>
            <w:instrText xml:space="preserve"> PAGEREF _Toc12388 \h </w:instrText>
          </w:r>
          <w:r>
            <w:fldChar w:fldCharType="separate"/>
          </w:r>
          <w:r>
            <w:t>6</w:t>
          </w:r>
          <w:r>
            <w:fldChar w:fldCharType="end"/>
          </w:r>
          <w:r>
            <w:fldChar w:fldCharType="end"/>
          </w:r>
          <w:r>
            <w:t>）</w:t>
          </w:r>
        </w:p>
        <w:p w14:paraId="7D209D90">
          <w:pPr>
            <w:pStyle w:val="11"/>
            <w:tabs>
              <w:tab w:val="right" w:leader="dot" w:pos="8504"/>
            </w:tabs>
            <w:ind w:left="480"/>
          </w:pPr>
          <w:r>
            <w:fldChar w:fldCharType="begin"/>
          </w:r>
          <w:r>
            <w:instrText xml:space="preserve"> HYPERLINK \l "_Toc22003" </w:instrText>
          </w:r>
          <w:r>
            <w:fldChar w:fldCharType="separate"/>
          </w:r>
          <w:r>
            <w:rPr>
              <w:bCs/>
              <w:szCs w:val="28"/>
            </w:rPr>
            <w:t>3.2　岩土工程设计</w:t>
          </w:r>
          <w:r>
            <w:tab/>
          </w:r>
          <w:r>
            <w:t>（</w:t>
          </w:r>
          <w:r>
            <w:fldChar w:fldCharType="begin"/>
          </w:r>
          <w:r>
            <w:instrText xml:space="preserve"> PAGEREF _Toc22003 \h </w:instrText>
          </w:r>
          <w:r>
            <w:fldChar w:fldCharType="separate"/>
          </w:r>
          <w:r>
            <w:t>6</w:t>
          </w:r>
          <w:r>
            <w:fldChar w:fldCharType="end"/>
          </w:r>
          <w:r>
            <w:fldChar w:fldCharType="end"/>
          </w:r>
          <w:r>
            <w:t>）</w:t>
          </w:r>
        </w:p>
        <w:p w14:paraId="30C77C8E">
          <w:pPr>
            <w:pStyle w:val="11"/>
            <w:tabs>
              <w:tab w:val="right" w:leader="dot" w:pos="8504"/>
            </w:tabs>
            <w:ind w:left="480"/>
          </w:pPr>
          <w:r>
            <w:fldChar w:fldCharType="begin"/>
          </w:r>
          <w:r>
            <w:instrText xml:space="preserve"> HYPERLINK \l "_Toc15787" </w:instrText>
          </w:r>
          <w:r>
            <w:fldChar w:fldCharType="separate"/>
          </w:r>
          <w:r>
            <w:rPr>
              <w:bCs/>
              <w:szCs w:val="28"/>
            </w:rPr>
            <w:t>3.3　岩土工程施工</w:t>
          </w:r>
          <w:r>
            <w:tab/>
          </w:r>
          <w:r>
            <w:t>（</w:t>
          </w:r>
          <w:r>
            <w:fldChar w:fldCharType="begin"/>
          </w:r>
          <w:r>
            <w:instrText xml:space="preserve"> PAGEREF _Toc15787 \h </w:instrText>
          </w:r>
          <w:r>
            <w:fldChar w:fldCharType="separate"/>
          </w:r>
          <w:r>
            <w:t>7</w:t>
          </w:r>
          <w:r>
            <w:fldChar w:fldCharType="end"/>
          </w:r>
          <w:r>
            <w:fldChar w:fldCharType="end"/>
          </w:r>
          <w:r>
            <w:t>）</w:t>
          </w:r>
        </w:p>
        <w:p w14:paraId="4FBB99B0">
          <w:pPr>
            <w:pStyle w:val="11"/>
            <w:tabs>
              <w:tab w:val="right" w:leader="dot" w:pos="8504"/>
            </w:tabs>
            <w:ind w:left="480"/>
          </w:pPr>
          <w:r>
            <w:fldChar w:fldCharType="begin"/>
          </w:r>
          <w:r>
            <w:instrText xml:space="preserve"> HYPERLINK \l "_Toc4102" </w:instrText>
          </w:r>
          <w:r>
            <w:fldChar w:fldCharType="separate"/>
          </w:r>
          <w:r>
            <w:rPr>
              <w:bCs/>
              <w:szCs w:val="28"/>
            </w:rPr>
            <w:t>3.4　岩土工程监测</w:t>
          </w:r>
          <w:r>
            <w:tab/>
          </w:r>
          <w:r>
            <w:t>（</w:t>
          </w:r>
          <w:r>
            <w:fldChar w:fldCharType="begin"/>
          </w:r>
          <w:r>
            <w:instrText xml:space="preserve"> PAGEREF _Toc4102 \h </w:instrText>
          </w:r>
          <w:r>
            <w:fldChar w:fldCharType="separate"/>
          </w:r>
          <w:r>
            <w:t>8</w:t>
          </w:r>
          <w:r>
            <w:fldChar w:fldCharType="end"/>
          </w:r>
          <w:r>
            <w:fldChar w:fldCharType="end"/>
          </w:r>
          <w:r>
            <w:t>）</w:t>
          </w:r>
        </w:p>
        <w:p w14:paraId="2628B89A">
          <w:pPr>
            <w:pStyle w:val="11"/>
            <w:tabs>
              <w:tab w:val="right" w:leader="dot" w:pos="8504"/>
            </w:tabs>
            <w:ind w:left="480"/>
          </w:pPr>
          <w:r>
            <w:fldChar w:fldCharType="begin"/>
          </w:r>
          <w:r>
            <w:instrText xml:space="preserve"> HYPERLINK \l "_Toc1122" </w:instrText>
          </w:r>
          <w:r>
            <w:fldChar w:fldCharType="separate"/>
          </w:r>
          <w:r>
            <w:rPr>
              <w:bCs/>
              <w:szCs w:val="28"/>
            </w:rPr>
            <w:t>3.5　岩土工程检验与检测</w:t>
          </w:r>
          <w:r>
            <w:tab/>
          </w:r>
          <w:r>
            <w:t>（</w:t>
          </w:r>
          <w:r>
            <w:fldChar w:fldCharType="begin"/>
          </w:r>
          <w:r>
            <w:instrText xml:space="preserve"> PAGEREF _Toc1122 \h </w:instrText>
          </w:r>
          <w:r>
            <w:fldChar w:fldCharType="separate"/>
          </w:r>
          <w:r>
            <w:t>8</w:t>
          </w:r>
          <w:r>
            <w:fldChar w:fldCharType="end"/>
          </w:r>
          <w:r>
            <w:fldChar w:fldCharType="end"/>
          </w:r>
          <w:r>
            <w:t>）</w:t>
          </w:r>
        </w:p>
        <w:p w14:paraId="2FB51857">
          <w:pPr>
            <w:pStyle w:val="10"/>
            <w:tabs>
              <w:tab w:val="right" w:leader="dot" w:pos="8504"/>
            </w:tabs>
          </w:pPr>
          <w:r>
            <w:fldChar w:fldCharType="begin"/>
          </w:r>
          <w:r>
            <w:instrText xml:space="preserve"> HYPERLINK \l "_Toc3383" </w:instrText>
          </w:r>
          <w:r>
            <w:fldChar w:fldCharType="separate"/>
          </w:r>
          <w:r>
            <w:rPr>
              <w:bCs/>
              <w:szCs w:val="30"/>
            </w:rPr>
            <w:t>4　岩土工程勘察</w:t>
          </w:r>
          <w:r>
            <w:tab/>
          </w:r>
          <w:r>
            <w:t>（</w:t>
          </w:r>
          <w:r>
            <w:fldChar w:fldCharType="begin"/>
          </w:r>
          <w:r>
            <w:instrText xml:space="preserve"> PAGEREF _Toc3383 \h </w:instrText>
          </w:r>
          <w:r>
            <w:fldChar w:fldCharType="separate"/>
          </w:r>
          <w:r>
            <w:t>10</w:t>
          </w:r>
          <w:r>
            <w:fldChar w:fldCharType="end"/>
          </w:r>
          <w:r>
            <w:fldChar w:fldCharType="end"/>
          </w:r>
          <w:r>
            <w:t>）</w:t>
          </w:r>
        </w:p>
        <w:p w14:paraId="5E2AF520">
          <w:pPr>
            <w:pStyle w:val="11"/>
            <w:tabs>
              <w:tab w:val="right" w:leader="dot" w:pos="8504"/>
            </w:tabs>
            <w:ind w:left="480"/>
          </w:pPr>
          <w:r>
            <w:fldChar w:fldCharType="begin"/>
          </w:r>
          <w:r>
            <w:instrText xml:space="preserve"> HYPERLINK \l "_Toc2152" </w:instrText>
          </w:r>
          <w:r>
            <w:fldChar w:fldCharType="separate"/>
          </w:r>
          <w:r>
            <w:rPr>
              <w:bCs/>
              <w:szCs w:val="28"/>
            </w:rPr>
            <w:t>4.1　一般规定</w:t>
          </w:r>
          <w:r>
            <w:tab/>
          </w:r>
          <w:r>
            <w:t>（</w:t>
          </w:r>
          <w:r>
            <w:fldChar w:fldCharType="begin"/>
          </w:r>
          <w:r>
            <w:instrText xml:space="preserve"> PAGEREF _Toc2152 \h </w:instrText>
          </w:r>
          <w:r>
            <w:fldChar w:fldCharType="separate"/>
          </w:r>
          <w:r>
            <w:t>10</w:t>
          </w:r>
          <w:r>
            <w:fldChar w:fldCharType="end"/>
          </w:r>
          <w:r>
            <w:fldChar w:fldCharType="end"/>
          </w:r>
          <w:r>
            <w:t>）</w:t>
          </w:r>
        </w:p>
        <w:p w14:paraId="44718DD6">
          <w:pPr>
            <w:pStyle w:val="11"/>
            <w:tabs>
              <w:tab w:val="right" w:leader="dot" w:pos="8504"/>
            </w:tabs>
            <w:ind w:left="480"/>
          </w:pPr>
          <w:r>
            <w:fldChar w:fldCharType="begin"/>
          </w:r>
          <w:r>
            <w:instrText xml:space="preserve"> HYPERLINK \l "_Toc16248" </w:instrText>
          </w:r>
          <w:r>
            <w:fldChar w:fldCharType="separate"/>
          </w:r>
          <w:r>
            <w:rPr>
              <w:bCs/>
              <w:szCs w:val="28"/>
            </w:rPr>
            <w:t>4.2　可行性勘察阶段</w:t>
          </w:r>
          <w:r>
            <w:tab/>
          </w:r>
          <w:r>
            <w:t>（</w:t>
          </w:r>
          <w:r>
            <w:fldChar w:fldCharType="begin"/>
          </w:r>
          <w:r>
            <w:instrText xml:space="preserve"> PAGEREF _Toc16248 \h </w:instrText>
          </w:r>
          <w:r>
            <w:fldChar w:fldCharType="separate"/>
          </w:r>
          <w:r>
            <w:t>11</w:t>
          </w:r>
          <w:r>
            <w:fldChar w:fldCharType="end"/>
          </w:r>
          <w:r>
            <w:fldChar w:fldCharType="end"/>
          </w:r>
          <w:r>
            <w:t>）</w:t>
          </w:r>
        </w:p>
        <w:p w14:paraId="3FCB4B49">
          <w:pPr>
            <w:pStyle w:val="11"/>
            <w:tabs>
              <w:tab w:val="right" w:leader="dot" w:pos="8504"/>
            </w:tabs>
            <w:ind w:left="480"/>
          </w:pPr>
          <w:r>
            <w:fldChar w:fldCharType="begin"/>
          </w:r>
          <w:r>
            <w:instrText xml:space="preserve"> HYPERLINK \l "_Toc9037" </w:instrText>
          </w:r>
          <w:r>
            <w:fldChar w:fldCharType="separate"/>
          </w:r>
          <w:r>
            <w:rPr>
              <w:bCs/>
              <w:szCs w:val="28"/>
            </w:rPr>
            <w:t>4.3　初步勘察</w:t>
          </w:r>
          <w:r>
            <w:tab/>
          </w:r>
          <w:r>
            <w:t>（</w:t>
          </w:r>
          <w:r>
            <w:fldChar w:fldCharType="begin"/>
          </w:r>
          <w:r>
            <w:instrText xml:space="preserve"> PAGEREF _Toc9037 \h </w:instrText>
          </w:r>
          <w:r>
            <w:fldChar w:fldCharType="separate"/>
          </w:r>
          <w:r>
            <w:t>11</w:t>
          </w:r>
          <w:r>
            <w:fldChar w:fldCharType="end"/>
          </w:r>
          <w:r>
            <w:fldChar w:fldCharType="end"/>
          </w:r>
          <w:r>
            <w:t>）</w:t>
          </w:r>
        </w:p>
        <w:p w14:paraId="699E73FB">
          <w:pPr>
            <w:pStyle w:val="11"/>
            <w:tabs>
              <w:tab w:val="right" w:leader="dot" w:pos="8504"/>
            </w:tabs>
            <w:ind w:left="480"/>
          </w:pPr>
          <w:r>
            <w:fldChar w:fldCharType="begin"/>
          </w:r>
          <w:r>
            <w:instrText xml:space="preserve"> HYPERLINK \l "_Toc5104" </w:instrText>
          </w:r>
          <w:r>
            <w:fldChar w:fldCharType="separate"/>
          </w:r>
          <w:r>
            <w:rPr>
              <w:bCs/>
              <w:szCs w:val="28"/>
            </w:rPr>
            <w:t>4.4　详细勘察</w:t>
          </w:r>
          <w:r>
            <w:tab/>
          </w:r>
          <w:r>
            <w:t>（</w:t>
          </w:r>
          <w:r>
            <w:fldChar w:fldCharType="begin"/>
          </w:r>
          <w:r>
            <w:instrText xml:space="preserve"> PAGEREF _Toc5104 \h </w:instrText>
          </w:r>
          <w:r>
            <w:fldChar w:fldCharType="separate"/>
          </w:r>
          <w:r>
            <w:t>12</w:t>
          </w:r>
          <w:r>
            <w:fldChar w:fldCharType="end"/>
          </w:r>
          <w:r>
            <w:fldChar w:fldCharType="end"/>
          </w:r>
          <w:r>
            <w:t>）</w:t>
          </w:r>
        </w:p>
        <w:p w14:paraId="00BC2F75">
          <w:pPr>
            <w:pStyle w:val="10"/>
            <w:tabs>
              <w:tab w:val="right" w:leader="dot" w:pos="8504"/>
            </w:tabs>
          </w:pPr>
          <w:r>
            <w:fldChar w:fldCharType="begin"/>
          </w:r>
          <w:r>
            <w:instrText xml:space="preserve"> HYPERLINK \l "_Toc2060" </w:instrText>
          </w:r>
          <w:r>
            <w:fldChar w:fldCharType="separate"/>
          </w:r>
          <w:r>
            <w:rPr>
              <w:bCs/>
              <w:szCs w:val="30"/>
            </w:rPr>
            <w:t>5　岩土工程设计</w:t>
          </w:r>
          <w:r>
            <w:tab/>
          </w:r>
          <w:r>
            <w:t>（</w:t>
          </w:r>
          <w:r>
            <w:fldChar w:fldCharType="begin"/>
          </w:r>
          <w:r>
            <w:instrText xml:space="preserve"> PAGEREF _Toc2060 \h </w:instrText>
          </w:r>
          <w:r>
            <w:fldChar w:fldCharType="separate"/>
          </w:r>
          <w:r>
            <w:t>14</w:t>
          </w:r>
          <w:r>
            <w:fldChar w:fldCharType="end"/>
          </w:r>
          <w:r>
            <w:fldChar w:fldCharType="end"/>
          </w:r>
          <w:r>
            <w:t>）</w:t>
          </w:r>
        </w:p>
        <w:p w14:paraId="5B186463">
          <w:pPr>
            <w:pStyle w:val="11"/>
            <w:tabs>
              <w:tab w:val="right" w:leader="dot" w:pos="8504"/>
            </w:tabs>
            <w:ind w:left="480"/>
          </w:pPr>
          <w:r>
            <w:fldChar w:fldCharType="begin"/>
          </w:r>
          <w:r>
            <w:instrText xml:space="preserve"> HYPERLINK \l "_Toc19036" </w:instrText>
          </w:r>
          <w:r>
            <w:fldChar w:fldCharType="separate"/>
          </w:r>
          <w:r>
            <w:rPr>
              <w:bCs/>
              <w:szCs w:val="28"/>
            </w:rPr>
            <w:t>5.1　一般规定</w:t>
          </w:r>
          <w:r>
            <w:tab/>
          </w:r>
          <w:r>
            <w:t>（</w:t>
          </w:r>
          <w:r>
            <w:fldChar w:fldCharType="begin"/>
          </w:r>
          <w:r>
            <w:instrText xml:space="preserve"> PAGEREF _Toc19036 \h </w:instrText>
          </w:r>
          <w:r>
            <w:fldChar w:fldCharType="separate"/>
          </w:r>
          <w:r>
            <w:t>14</w:t>
          </w:r>
          <w:r>
            <w:fldChar w:fldCharType="end"/>
          </w:r>
          <w:r>
            <w:fldChar w:fldCharType="end"/>
          </w:r>
          <w:r>
            <w:t>）</w:t>
          </w:r>
        </w:p>
        <w:p w14:paraId="5AFF8801">
          <w:pPr>
            <w:pStyle w:val="11"/>
            <w:tabs>
              <w:tab w:val="right" w:leader="dot" w:pos="8504"/>
            </w:tabs>
            <w:ind w:left="480"/>
          </w:pPr>
          <w:r>
            <w:fldChar w:fldCharType="begin"/>
          </w:r>
          <w:r>
            <w:instrText xml:space="preserve"> HYPERLINK \l "_Toc5491" </w:instrText>
          </w:r>
          <w:r>
            <w:fldChar w:fldCharType="separate"/>
          </w:r>
          <w:r>
            <w:rPr>
              <w:bCs/>
              <w:szCs w:val="28"/>
            </w:rPr>
            <w:t>5.2　综合管廊明挖段岩土工程设计</w:t>
          </w:r>
          <w:r>
            <w:tab/>
          </w:r>
          <w:r>
            <w:t>（</w:t>
          </w:r>
          <w:r>
            <w:fldChar w:fldCharType="begin"/>
          </w:r>
          <w:r>
            <w:instrText xml:space="preserve"> PAGEREF _Toc5491 \h </w:instrText>
          </w:r>
          <w:r>
            <w:fldChar w:fldCharType="separate"/>
          </w:r>
          <w:r>
            <w:t>15</w:t>
          </w:r>
          <w:r>
            <w:fldChar w:fldCharType="end"/>
          </w:r>
          <w:r>
            <w:fldChar w:fldCharType="end"/>
          </w:r>
          <w:r>
            <w:t>）</w:t>
          </w:r>
        </w:p>
        <w:p w14:paraId="20DFCE33">
          <w:pPr>
            <w:pStyle w:val="11"/>
            <w:tabs>
              <w:tab w:val="right" w:leader="dot" w:pos="8504"/>
            </w:tabs>
            <w:ind w:left="480"/>
          </w:pPr>
          <w:r>
            <w:fldChar w:fldCharType="begin"/>
          </w:r>
          <w:r>
            <w:instrText xml:space="preserve"> HYPERLINK \l "_Toc10545" </w:instrText>
          </w:r>
          <w:r>
            <w:fldChar w:fldCharType="separate"/>
          </w:r>
          <w:r>
            <w:rPr>
              <w:bCs/>
              <w:szCs w:val="28"/>
            </w:rPr>
            <w:t>5.3　地下水控制设计</w:t>
          </w:r>
          <w:r>
            <w:tab/>
          </w:r>
          <w:r>
            <w:t>（</w:t>
          </w:r>
          <w:r>
            <w:fldChar w:fldCharType="begin"/>
          </w:r>
          <w:r>
            <w:instrText xml:space="preserve"> PAGEREF _Toc10545 \h </w:instrText>
          </w:r>
          <w:r>
            <w:fldChar w:fldCharType="separate"/>
          </w:r>
          <w:r>
            <w:t>49</w:t>
          </w:r>
          <w:r>
            <w:fldChar w:fldCharType="end"/>
          </w:r>
          <w:r>
            <w:fldChar w:fldCharType="end"/>
          </w:r>
          <w:r>
            <w:t>）</w:t>
          </w:r>
        </w:p>
        <w:p w14:paraId="051520F0">
          <w:pPr>
            <w:pStyle w:val="10"/>
            <w:tabs>
              <w:tab w:val="right" w:leader="dot" w:pos="8504"/>
            </w:tabs>
          </w:pPr>
          <w:r>
            <w:fldChar w:fldCharType="begin"/>
          </w:r>
          <w:r>
            <w:instrText xml:space="preserve"> HYPERLINK \l "_Toc21977" </w:instrText>
          </w:r>
          <w:r>
            <w:fldChar w:fldCharType="separate"/>
          </w:r>
          <w:r>
            <w:rPr>
              <w:bCs/>
              <w:szCs w:val="30"/>
            </w:rPr>
            <w:t>6　岩土工程施工</w:t>
          </w:r>
          <w:r>
            <w:tab/>
          </w:r>
          <w:r>
            <w:t>（</w:t>
          </w:r>
          <w:r>
            <w:fldChar w:fldCharType="begin"/>
          </w:r>
          <w:r>
            <w:instrText xml:space="preserve"> PAGEREF _Toc21977 \h </w:instrText>
          </w:r>
          <w:r>
            <w:fldChar w:fldCharType="separate"/>
          </w:r>
          <w:r>
            <w:t>52</w:t>
          </w:r>
          <w:r>
            <w:fldChar w:fldCharType="end"/>
          </w:r>
          <w:r>
            <w:fldChar w:fldCharType="end"/>
          </w:r>
          <w:r>
            <w:t>）</w:t>
          </w:r>
        </w:p>
        <w:p w14:paraId="4C67F146">
          <w:pPr>
            <w:pStyle w:val="11"/>
            <w:tabs>
              <w:tab w:val="right" w:leader="dot" w:pos="8504"/>
            </w:tabs>
            <w:ind w:left="480"/>
          </w:pPr>
          <w:r>
            <w:fldChar w:fldCharType="begin"/>
          </w:r>
          <w:r>
            <w:instrText xml:space="preserve"> HYPERLINK \l "_Toc12028" </w:instrText>
          </w:r>
          <w:r>
            <w:fldChar w:fldCharType="separate"/>
          </w:r>
          <w:r>
            <w:rPr>
              <w:bCs/>
              <w:szCs w:val="28"/>
            </w:rPr>
            <w:t>6.1　一般规定</w:t>
          </w:r>
          <w:r>
            <w:tab/>
          </w:r>
          <w:r>
            <w:t>（</w:t>
          </w:r>
          <w:r>
            <w:fldChar w:fldCharType="begin"/>
          </w:r>
          <w:r>
            <w:instrText xml:space="preserve"> PAGEREF _Toc12028 \h </w:instrText>
          </w:r>
          <w:r>
            <w:fldChar w:fldCharType="separate"/>
          </w:r>
          <w:r>
            <w:t>52</w:t>
          </w:r>
          <w:r>
            <w:fldChar w:fldCharType="end"/>
          </w:r>
          <w:r>
            <w:fldChar w:fldCharType="end"/>
          </w:r>
          <w:r>
            <w:t>）</w:t>
          </w:r>
        </w:p>
        <w:p w14:paraId="227B31E2">
          <w:pPr>
            <w:pStyle w:val="11"/>
            <w:tabs>
              <w:tab w:val="right" w:leader="dot" w:pos="8504"/>
            </w:tabs>
            <w:ind w:left="480"/>
          </w:pPr>
          <w:r>
            <w:fldChar w:fldCharType="begin"/>
          </w:r>
          <w:r>
            <w:instrText xml:space="preserve"> HYPERLINK \l "_Toc22898" </w:instrText>
          </w:r>
          <w:r>
            <w:fldChar w:fldCharType="separate"/>
          </w:r>
          <w:r>
            <w:rPr>
              <w:bCs/>
              <w:szCs w:val="28"/>
            </w:rPr>
            <w:t>6.2　基坑支护工程施工</w:t>
          </w:r>
          <w:r>
            <w:tab/>
          </w:r>
          <w:r>
            <w:t>（</w:t>
          </w:r>
          <w:r>
            <w:fldChar w:fldCharType="begin"/>
          </w:r>
          <w:r>
            <w:instrText xml:space="preserve"> PAGEREF _Toc22898 \h </w:instrText>
          </w:r>
          <w:r>
            <w:fldChar w:fldCharType="separate"/>
          </w:r>
          <w:r>
            <w:t>53</w:t>
          </w:r>
          <w:r>
            <w:fldChar w:fldCharType="end"/>
          </w:r>
          <w:r>
            <w:fldChar w:fldCharType="end"/>
          </w:r>
          <w:r>
            <w:t>）</w:t>
          </w:r>
        </w:p>
        <w:p w14:paraId="64D73B28">
          <w:pPr>
            <w:pStyle w:val="11"/>
            <w:tabs>
              <w:tab w:val="right" w:leader="dot" w:pos="8504"/>
            </w:tabs>
            <w:ind w:left="480"/>
          </w:pPr>
          <w:r>
            <w:fldChar w:fldCharType="begin"/>
          </w:r>
          <w:r>
            <w:instrText xml:space="preserve"> HYPERLINK \l "_Toc11144" </w:instrText>
          </w:r>
          <w:r>
            <w:fldChar w:fldCharType="separate"/>
          </w:r>
          <w:r>
            <w:rPr>
              <w:bCs/>
              <w:szCs w:val="28"/>
            </w:rPr>
            <w:t>6.3　地基处理施工</w:t>
          </w:r>
          <w:r>
            <w:tab/>
          </w:r>
          <w:r>
            <w:t>（</w:t>
          </w:r>
          <w:r>
            <w:fldChar w:fldCharType="begin"/>
          </w:r>
          <w:r>
            <w:instrText xml:space="preserve"> PAGEREF _Toc11144 \h </w:instrText>
          </w:r>
          <w:r>
            <w:fldChar w:fldCharType="separate"/>
          </w:r>
          <w:r>
            <w:t>61</w:t>
          </w:r>
          <w:r>
            <w:fldChar w:fldCharType="end"/>
          </w:r>
          <w:r>
            <w:fldChar w:fldCharType="end"/>
          </w:r>
          <w:r>
            <w:t>）</w:t>
          </w:r>
        </w:p>
        <w:p w14:paraId="6B2DD6D7">
          <w:pPr>
            <w:pStyle w:val="11"/>
            <w:tabs>
              <w:tab w:val="right" w:leader="dot" w:pos="8504"/>
            </w:tabs>
            <w:ind w:left="480"/>
          </w:pPr>
          <w:r>
            <w:fldChar w:fldCharType="begin"/>
          </w:r>
          <w:r>
            <w:instrText xml:space="preserve"> HYPERLINK \l "_Toc8356" </w:instrText>
          </w:r>
          <w:r>
            <w:fldChar w:fldCharType="separate"/>
          </w:r>
          <w:r>
            <w:rPr>
              <w:bCs/>
              <w:szCs w:val="28"/>
            </w:rPr>
            <w:t>6.5　土方施工</w:t>
          </w:r>
          <w:r>
            <w:tab/>
          </w:r>
          <w:r>
            <w:t>（</w:t>
          </w:r>
          <w:r>
            <w:fldChar w:fldCharType="begin"/>
          </w:r>
          <w:r>
            <w:instrText xml:space="preserve"> PAGEREF _Toc8356 \h </w:instrText>
          </w:r>
          <w:r>
            <w:fldChar w:fldCharType="separate"/>
          </w:r>
          <w:r>
            <w:t>68</w:t>
          </w:r>
          <w:r>
            <w:fldChar w:fldCharType="end"/>
          </w:r>
          <w:r>
            <w:fldChar w:fldCharType="end"/>
          </w:r>
          <w:r>
            <w:t>）</w:t>
          </w:r>
        </w:p>
        <w:p w14:paraId="00619D21">
          <w:pPr>
            <w:pStyle w:val="10"/>
            <w:tabs>
              <w:tab w:val="right" w:leader="dot" w:pos="8504"/>
            </w:tabs>
          </w:pPr>
          <w:r>
            <w:fldChar w:fldCharType="begin"/>
          </w:r>
          <w:r>
            <w:instrText xml:space="preserve"> HYPERLINK \l "_Toc13815" </w:instrText>
          </w:r>
          <w:r>
            <w:fldChar w:fldCharType="separate"/>
          </w:r>
          <w:r>
            <w:rPr>
              <w:bCs/>
              <w:szCs w:val="30"/>
            </w:rPr>
            <w:t>7　岩土工程监测</w:t>
          </w:r>
          <w:r>
            <w:tab/>
          </w:r>
          <w:r>
            <w:t>（</w:t>
          </w:r>
          <w:r>
            <w:fldChar w:fldCharType="begin"/>
          </w:r>
          <w:r>
            <w:instrText xml:space="preserve"> PAGEREF _Toc13815 \h </w:instrText>
          </w:r>
          <w:r>
            <w:fldChar w:fldCharType="separate"/>
          </w:r>
          <w:r>
            <w:t>71</w:t>
          </w:r>
          <w:r>
            <w:fldChar w:fldCharType="end"/>
          </w:r>
          <w:r>
            <w:fldChar w:fldCharType="end"/>
          </w:r>
          <w:r>
            <w:t>）</w:t>
          </w:r>
        </w:p>
        <w:p w14:paraId="0EBCC9CA">
          <w:pPr>
            <w:pStyle w:val="11"/>
            <w:tabs>
              <w:tab w:val="right" w:leader="dot" w:pos="8504"/>
            </w:tabs>
            <w:ind w:left="480"/>
          </w:pPr>
          <w:r>
            <w:fldChar w:fldCharType="begin"/>
          </w:r>
          <w:r>
            <w:instrText xml:space="preserve"> HYPERLINK \l "_Toc14329" </w:instrText>
          </w:r>
          <w:r>
            <w:fldChar w:fldCharType="separate"/>
          </w:r>
          <w:r>
            <w:rPr>
              <w:bCs/>
              <w:szCs w:val="28"/>
            </w:rPr>
            <w:t>7.1　一般规定</w:t>
          </w:r>
          <w:r>
            <w:tab/>
          </w:r>
          <w:r>
            <w:t>（</w:t>
          </w:r>
          <w:r>
            <w:fldChar w:fldCharType="begin"/>
          </w:r>
          <w:r>
            <w:instrText xml:space="preserve"> PAGEREF _Toc14329 \h </w:instrText>
          </w:r>
          <w:r>
            <w:fldChar w:fldCharType="separate"/>
          </w:r>
          <w:r>
            <w:t>71</w:t>
          </w:r>
          <w:r>
            <w:fldChar w:fldCharType="end"/>
          </w:r>
          <w:r>
            <w:fldChar w:fldCharType="end"/>
          </w:r>
          <w:r>
            <w:t>）</w:t>
          </w:r>
        </w:p>
        <w:p w14:paraId="15E1BFC3">
          <w:pPr>
            <w:pStyle w:val="11"/>
            <w:tabs>
              <w:tab w:val="right" w:leader="dot" w:pos="8504"/>
            </w:tabs>
            <w:ind w:left="480"/>
          </w:pPr>
          <w:r>
            <w:fldChar w:fldCharType="begin"/>
          </w:r>
          <w:r>
            <w:instrText xml:space="preserve"> HYPERLINK \l "_Toc19508" </w:instrText>
          </w:r>
          <w:r>
            <w:fldChar w:fldCharType="separate"/>
          </w:r>
          <w:r>
            <w:rPr>
              <w:bCs/>
              <w:szCs w:val="28"/>
            </w:rPr>
            <w:t>7.2　监测项目</w:t>
          </w:r>
          <w:r>
            <w:tab/>
          </w:r>
          <w:r>
            <w:t>（</w:t>
          </w:r>
          <w:r>
            <w:fldChar w:fldCharType="begin"/>
          </w:r>
          <w:r>
            <w:instrText xml:space="preserve"> PAGEREF _Toc19508 \h </w:instrText>
          </w:r>
          <w:r>
            <w:fldChar w:fldCharType="separate"/>
          </w:r>
          <w:r>
            <w:t>72</w:t>
          </w:r>
          <w:r>
            <w:fldChar w:fldCharType="end"/>
          </w:r>
          <w:r>
            <w:fldChar w:fldCharType="end"/>
          </w:r>
          <w:r>
            <w:t>）</w:t>
          </w:r>
        </w:p>
        <w:p w14:paraId="6B627E70">
          <w:pPr>
            <w:pStyle w:val="11"/>
            <w:tabs>
              <w:tab w:val="right" w:leader="dot" w:pos="8504"/>
            </w:tabs>
            <w:ind w:left="480"/>
          </w:pPr>
          <w:r>
            <w:fldChar w:fldCharType="begin"/>
          </w:r>
          <w:r>
            <w:instrText xml:space="preserve"> HYPERLINK \l "_Toc24623" </w:instrText>
          </w:r>
          <w:r>
            <w:fldChar w:fldCharType="separate"/>
          </w:r>
          <w:r>
            <w:rPr>
              <w:bCs/>
              <w:szCs w:val="28"/>
            </w:rPr>
            <w:t>7.3　监测点布置</w:t>
          </w:r>
          <w:r>
            <w:tab/>
          </w:r>
          <w:r>
            <w:t>（</w:t>
          </w:r>
          <w:r>
            <w:fldChar w:fldCharType="begin"/>
          </w:r>
          <w:r>
            <w:instrText xml:space="preserve"> PAGEREF _Toc24623 \h </w:instrText>
          </w:r>
          <w:r>
            <w:fldChar w:fldCharType="separate"/>
          </w:r>
          <w:r>
            <w:t>75</w:t>
          </w:r>
          <w:r>
            <w:fldChar w:fldCharType="end"/>
          </w:r>
          <w:r>
            <w:fldChar w:fldCharType="end"/>
          </w:r>
          <w:r>
            <w:t>）</w:t>
          </w:r>
        </w:p>
        <w:p w14:paraId="7B48EA96">
          <w:pPr>
            <w:pStyle w:val="11"/>
            <w:tabs>
              <w:tab w:val="right" w:leader="dot" w:pos="8504"/>
            </w:tabs>
            <w:ind w:left="480"/>
          </w:pPr>
          <w:r>
            <w:fldChar w:fldCharType="begin"/>
          </w:r>
          <w:r>
            <w:instrText xml:space="preserve"> HYPERLINK \l "_Toc5095" </w:instrText>
          </w:r>
          <w:r>
            <w:fldChar w:fldCharType="separate"/>
          </w:r>
          <w:r>
            <w:rPr>
              <w:bCs/>
              <w:szCs w:val="28"/>
            </w:rPr>
            <w:t>7.4　监测方法及监测频率</w:t>
          </w:r>
          <w:r>
            <w:tab/>
          </w:r>
          <w:r>
            <w:t>（</w:t>
          </w:r>
          <w:r>
            <w:fldChar w:fldCharType="begin"/>
          </w:r>
          <w:r>
            <w:instrText xml:space="preserve"> PAGEREF _Toc5095 \h </w:instrText>
          </w:r>
          <w:r>
            <w:fldChar w:fldCharType="separate"/>
          </w:r>
          <w:r>
            <w:t>76</w:t>
          </w:r>
          <w:r>
            <w:fldChar w:fldCharType="end"/>
          </w:r>
          <w:r>
            <w:fldChar w:fldCharType="end"/>
          </w:r>
          <w:r>
            <w:t>）</w:t>
          </w:r>
        </w:p>
        <w:p w14:paraId="3EAC1065">
          <w:pPr>
            <w:pStyle w:val="11"/>
            <w:tabs>
              <w:tab w:val="right" w:leader="dot" w:pos="8504"/>
            </w:tabs>
            <w:ind w:left="480"/>
          </w:pPr>
          <w:r>
            <w:fldChar w:fldCharType="begin"/>
          </w:r>
          <w:r>
            <w:instrText xml:space="preserve"> HYPERLINK \l "_Toc17587" </w:instrText>
          </w:r>
          <w:r>
            <w:fldChar w:fldCharType="separate"/>
          </w:r>
          <w:r>
            <w:rPr>
              <w:bCs/>
              <w:szCs w:val="28"/>
            </w:rPr>
            <w:t>7.5　监测预警值与控制值</w:t>
          </w:r>
          <w:r>
            <w:tab/>
          </w:r>
          <w:r>
            <w:t>（</w:t>
          </w:r>
          <w:r>
            <w:fldChar w:fldCharType="begin"/>
          </w:r>
          <w:r>
            <w:instrText xml:space="preserve"> PAGEREF _Toc17587 \h </w:instrText>
          </w:r>
          <w:r>
            <w:fldChar w:fldCharType="separate"/>
          </w:r>
          <w:r>
            <w:t>78</w:t>
          </w:r>
          <w:r>
            <w:fldChar w:fldCharType="end"/>
          </w:r>
          <w:r>
            <w:fldChar w:fldCharType="end"/>
          </w:r>
          <w:r>
            <w:t>）</w:t>
          </w:r>
        </w:p>
        <w:p w14:paraId="28451ED0">
          <w:pPr>
            <w:pStyle w:val="11"/>
            <w:tabs>
              <w:tab w:val="right" w:leader="dot" w:pos="8504"/>
            </w:tabs>
            <w:ind w:left="480"/>
          </w:pPr>
          <w:r>
            <w:fldChar w:fldCharType="begin"/>
          </w:r>
          <w:r>
            <w:instrText xml:space="preserve"> HYPERLINK \l "_Toc15785" </w:instrText>
          </w:r>
          <w:r>
            <w:fldChar w:fldCharType="separate"/>
          </w:r>
          <w:r>
            <w:rPr>
              <w:bCs/>
              <w:szCs w:val="28"/>
            </w:rPr>
            <w:t>7.6　监测成果及信息反馈</w:t>
          </w:r>
          <w:r>
            <w:tab/>
          </w:r>
          <w:r>
            <w:t>（</w:t>
          </w:r>
          <w:r>
            <w:fldChar w:fldCharType="begin"/>
          </w:r>
          <w:r>
            <w:instrText xml:space="preserve"> PAGEREF _Toc15785 \h </w:instrText>
          </w:r>
          <w:r>
            <w:fldChar w:fldCharType="separate"/>
          </w:r>
          <w:r>
            <w:t>79</w:t>
          </w:r>
          <w:r>
            <w:fldChar w:fldCharType="end"/>
          </w:r>
          <w:r>
            <w:fldChar w:fldCharType="end"/>
          </w:r>
          <w:r>
            <w:t>）</w:t>
          </w:r>
        </w:p>
        <w:p w14:paraId="31018F52">
          <w:pPr>
            <w:pStyle w:val="10"/>
            <w:tabs>
              <w:tab w:val="right" w:leader="dot" w:pos="8504"/>
            </w:tabs>
          </w:pPr>
          <w:r>
            <w:fldChar w:fldCharType="begin"/>
          </w:r>
          <w:r>
            <w:instrText xml:space="preserve"> HYPERLINK \l "_Toc9001" </w:instrText>
          </w:r>
          <w:r>
            <w:fldChar w:fldCharType="separate"/>
          </w:r>
          <w:r>
            <w:rPr>
              <w:bCs/>
              <w:szCs w:val="30"/>
            </w:rPr>
            <w:t>8　岩土工程检验与检测</w:t>
          </w:r>
          <w:r>
            <w:tab/>
          </w:r>
          <w:r>
            <w:t>（</w:t>
          </w:r>
          <w:r>
            <w:fldChar w:fldCharType="begin"/>
          </w:r>
          <w:r>
            <w:instrText xml:space="preserve"> PAGEREF _Toc9001 \h </w:instrText>
          </w:r>
          <w:r>
            <w:fldChar w:fldCharType="separate"/>
          </w:r>
          <w:r>
            <w:t>81</w:t>
          </w:r>
          <w:r>
            <w:fldChar w:fldCharType="end"/>
          </w:r>
          <w:r>
            <w:fldChar w:fldCharType="end"/>
          </w:r>
          <w:r>
            <w:t>）</w:t>
          </w:r>
        </w:p>
        <w:p w14:paraId="6A79E0CA">
          <w:pPr>
            <w:pStyle w:val="11"/>
            <w:tabs>
              <w:tab w:val="right" w:leader="dot" w:pos="8504"/>
            </w:tabs>
            <w:ind w:left="480"/>
          </w:pPr>
          <w:r>
            <w:fldChar w:fldCharType="begin"/>
          </w:r>
          <w:r>
            <w:instrText xml:space="preserve"> HYPERLINK \l "_Toc27185" </w:instrText>
          </w:r>
          <w:r>
            <w:fldChar w:fldCharType="separate"/>
          </w:r>
          <w:r>
            <w:rPr>
              <w:bCs/>
              <w:szCs w:val="28"/>
            </w:rPr>
            <w:t>8.1　一般规定</w:t>
          </w:r>
          <w:r>
            <w:tab/>
          </w:r>
          <w:r>
            <w:t>（</w:t>
          </w:r>
          <w:r>
            <w:fldChar w:fldCharType="begin"/>
          </w:r>
          <w:r>
            <w:instrText xml:space="preserve"> PAGEREF _Toc27185 \h </w:instrText>
          </w:r>
          <w:r>
            <w:fldChar w:fldCharType="separate"/>
          </w:r>
          <w:r>
            <w:t>81</w:t>
          </w:r>
          <w:r>
            <w:fldChar w:fldCharType="end"/>
          </w:r>
          <w:r>
            <w:fldChar w:fldCharType="end"/>
          </w:r>
          <w:r>
            <w:t>）</w:t>
          </w:r>
        </w:p>
        <w:p w14:paraId="147BF263">
          <w:pPr>
            <w:pStyle w:val="11"/>
            <w:tabs>
              <w:tab w:val="right" w:leader="dot" w:pos="8504"/>
            </w:tabs>
            <w:ind w:left="480"/>
          </w:pPr>
          <w:r>
            <w:fldChar w:fldCharType="begin"/>
          </w:r>
          <w:r>
            <w:instrText xml:space="preserve"> HYPERLINK \l "_Toc13424" </w:instrText>
          </w:r>
          <w:r>
            <w:fldChar w:fldCharType="separate"/>
          </w:r>
          <w:r>
            <w:rPr>
              <w:bCs/>
              <w:szCs w:val="28"/>
            </w:rPr>
            <w:t>8.2　地基检验与检测</w:t>
          </w:r>
          <w:r>
            <w:tab/>
          </w:r>
          <w:r>
            <w:t>（</w:t>
          </w:r>
          <w:r>
            <w:fldChar w:fldCharType="begin"/>
          </w:r>
          <w:r>
            <w:instrText xml:space="preserve"> PAGEREF _Toc13424 \h </w:instrText>
          </w:r>
          <w:r>
            <w:fldChar w:fldCharType="separate"/>
          </w:r>
          <w:r>
            <w:t>82</w:t>
          </w:r>
          <w:r>
            <w:fldChar w:fldCharType="end"/>
          </w:r>
          <w:r>
            <w:fldChar w:fldCharType="end"/>
          </w:r>
          <w:r>
            <w:t>）</w:t>
          </w:r>
        </w:p>
        <w:p w14:paraId="6BBEBE82">
          <w:pPr>
            <w:pStyle w:val="11"/>
            <w:tabs>
              <w:tab w:val="right" w:leader="dot" w:pos="8504"/>
            </w:tabs>
            <w:ind w:left="480"/>
          </w:pPr>
          <w:r>
            <w:fldChar w:fldCharType="begin"/>
          </w:r>
          <w:r>
            <w:instrText xml:space="preserve"> HYPERLINK \l "_Toc9696" </w:instrText>
          </w:r>
          <w:r>
            <w:fldChar w:fldCharType="separate"/>
          </w:r>
          <w:r>
            <w:rPr>
              <w:bCs/>
              <w:szCs w:val="28"/>
            </w:rPr>
            <w:t>8.3　支护体系检验与检测</w:t>
          </w:r>
          <w:r>
            <w:tab/>
          </w:r>
          <w:r>
            <w:t>（</w:t>
          </w:r>
          <w:r>
            <w:fldChar w:fldCharType="begin"/>
          </w:r>
          <w:r>
            <w:instrText xml:space="preserve"> PAGEREF _Toc9696 \h </w:instrText>
          </w:r>
          <w:r>
            <w:fldChar w:fldCharType="separate"/>
          </w:r>
          <w:r>
            <w:t>83</w:t>
          </w:r>
          <w:r>
            <w:fldChar w:fldCharType="end"/>
          </w:r>
          <w:r>
            <w:fldChar w:fldCharType="end"/>
          </w:r>
          <w:r>
            <w:t>）</w:t>
          </w:r>
        </w:p>
        <w:p w14:paraId="05DB32D6">
          <w:pPr>
            <w:pStyle w:val="10"/>
            <w:tabs>
              <w:tab w:val="right" w:leader="dot" w:pos="8504"/>
            </w:tabs>
          </w:pPr>
          <w:r>
            <w:fldChar w:fldCharType="begin"/>
          </w:r>
          <w:r>
            <w:instrText xml:space="preserve"> HYPERLINK \l "_Toc5749" </w:instrText>
          </w:r>
          <w:r>
            <w:fldChar w:fldCharType="separate"/>
          </w:r>
          <w:r>
            <w:rPr>
              <w:bCs/>
              <w:szCs w:val="30"/>
            </w:rPr>
            <w:t>附</w:t>
          </w:r>
          <w:r>
            <w:rPr>
              <w:bCs/>
              <w:szCs w:val="30"/>
              <w:lang w:val="zh-CN"/>
            </w:rPr>
            <w:t>录</w:t>
          </w:r>
          <w:r>
            <w:rPr>
              <w:bCs/>
              <w:szCs w:val="30"/>
            </w:rPr>
            <w:t>A</w:t>
          </w:r>
          <w:r>
            <w:rPr>
              <w:bCs/>
              <w:szCs w:val="30"/>
              <w:lang w:val="zh-CN"/>
            </w:rPr>
            <w:t>　</w:t>
          </w:r>
          <w:r>
            <w:rPr>
              <w:bCs/>
              <w:szCs w:val="30"/>
            </w:rPr>
            <w:t>综合管廊岩土工程（子）分部分项工程划分表</w:t>
          </w:r>
          <w:r>
            <w:tab/>
          </w:r>
          <w:r>
            <w:t>（</w:t>
          </w:r>
          <w:r>
            <w:fldChar w:fldCharType="begin"/>
          </w:r>
          <w:r>
            <w:instrText xml:space="preserve"> PAGEREF _Toc5749 \h </w:instrText>
          </w:r>
          <w:r>
            <w:fldChar w:fldCharType="separate"/>
          </w:r>
          <w:r>
            <w:t>86</w:t>
          </w:r>
          <w:r>
            <w:fldChar w:fldCharType="end"/>
          </w:r>
          <w:r>
            <w:fldChar w:fldCharType="end"/>
          </w:r>
          <w:r>
            <w:t>）</w:t>
          </w:r>
        </w:p>
        <w:p w14:paraId="78C1AB37">
          <w:pPr>
            <w:pStyle w:val="10"/>
            <w:tabs>
              <w:tab w:val="right" w:leader="dot" w:pos="8504"/>
            </w:tabs>
          </w:pPr>
          <w:r>
            <w:fldChar w:fldCharType="begin"/>
          </w:r>
          <w:r>
            <w:instrText xml:space="preserve"> HYPERLINK \l "_Toc2311" </w:instrText>
          </w:r>
          <w:r>
            <w:fldChar w:fldCharType="separate"/>
          </w:r>
          <w:r>
            <w:rPr>
              <w:bCs/>
              <w:szCs w:val="30"/>
              <w:lang w:val="zh-CN"/>
            </w:rPr>
            <w:t>附录</w:t>
          </w:r>
          <w:r>
            <w:rPr>
              <w:bCs/>
              <w:szCs w:val="30"/>
            </w:rPr>
            <w:t>B</w:t>
          </w:r>
          <w:r>
            <w:rPr>
              <w:bCs/>
              <w:szCs w:val="30"/>
              <w:lang w:val="zh-CN"/>
            </w:rPr>
            <w:t>　</w:t>
          </w:r>
          <w:r>
            <w:rPr>
              <w:bCs/>
              <w:szCs w:val="30"/>
            </w:rPr>
            <w:t>渗透稳定性验算</w:t>
          </w:r>
          <w:r>
            <w:tab/>
          </w:r>
          <w:r>
            <w:t>（</w:t>
          </w:r>
          <w:r>
            <w:fldChar w:fldCharType="begin"/>
          </w:r>
          <w:r>
            <w:instrText xml:space="preserve"> PAGEREF _Toc2311 \h </w:instrText>
          </w:r>
          <w:r>
            <w:fldChar w:fldCharType="separate"/>
          </w:r>
          <w:r>
            <w:t>87</w:t>
          </w:r>
          <w:r>
            <w:fldChar w:fldCharType="end"/>
          </w:r>
          <w:r>
            <w:fldChar w:fldCharType="end"/>
          </w:r>
          <w:r>
            <w:t>）</w:t>
          </w:r>
        </w:p>
        <w:p w14:paraId="1C4413DF">
          <w:pPr>
            <w:pStyle w:val="10"/>
            <w:tabs>
              <w:tab w:val="right" w:leader="dot" w:pos="8504"/>
            </w:tabs>
          </w:pPr>
          <w:r>
            <w:fldChar w:fldCharType="begin"/>
          </w:r>
          <w:r>
            <w:instrText xml:space="preserve"> HYPERLINK \l "_Toc27994" </w:instrText>
          </w:r>
          <w:r>
            <w:fldChar w:fldCharType="separate"/>
          </w:r>
          <w:r>
            <w:rPr>
              <w:bCs/>
              <w:szCs w:val="30"/>
              <w:lang w:val="zh-CN"/>
            </w:rPr>
            <w:t>附录</w:t>
          </w:r>
          <w:r>
            <w:rPr>
              <w:bCs/>
              <w:szCs w:val="30"/>
            </w:rPr>
            <w:t>C</w:t>
          </w:r>
          <w:r>
            <w:rPr>
              <w:bCs/>
              <w:szCs w:val="30"/>
              <w:lang w:val="zh-CN"/>
            </w:rPr>
            <w:t>　</w:t>
          </w:r>
          <w:r>
            <w:rPr>
              <w:bCs/>
              <w:szCs w:val="30"/>
            </w:rPr>
            <w:t>H型钢检查记录表</w:t>
          </w:r>
          <w:r>
            <w:tab/>
          </w:r>
          <w:r>
            <w:t>（</w:t>
          </w:r>
          <w:r>
            <w:fldChar w:fldCharType="begin"/>
          </w:r>
          <w:r>
            <w:instrText xml:space="preserve"> PAGEREF _Toc27994 \h </w:instrText>
          </w:r>
          <w:r>
            <w:fldChar w:fldCharType="separate"/>
          </w:r>
          <w:r>
            <w:t>89</w:t>
          </w:r>
          <w:r>
            <w:fldChar w:fldCharType="end"/>
          </w:r>
          <w:r>
            <w:fldChar w:fldCharType="end"/>
          </w:r>
          <w:r>
            <w:t>）</w:t>
          </w:r>
        </w:p>
        <w:p w14:paraId="4C2476DB">
          <w:pPr>
            <w:pStyle w:val="10"/>
            <w:tabs>
              <w:tab w:val="right" w:leader="dot" w:pos="8504"/>
            </w:tabs>
          </w:pPr>
          <w:r>
            <w:fldChar w:fldCharType="begin"/>
          </w:r>
          <w:r>
            <w:instrText xml:space="preserve"> HYPERLINK \l "_Toc17142" </w:instrText>
          </w:r>
          <w:r>
            <w:fldChar w:fldCharType="separate"/>
          </w:r>
          <w:r>
            <w:rPr>
              <w:bCs/>
              <w:szCs w:val="30"/>
              <w:lang w:val="zh-CN"/>
            </w:rPr>
            <w:t>附录</w:t>
          </w:r>
          <w:r>
            <w:rPr>
              <w:bCs/>
              <w:szCs w:val="30"/>
            </w:rPr>
            <w:t>D</w:t>
          </w:r>
          <w:r>
            <w:rPr>
              <w:bCs/>
              <w:szCs w:val="30"/>
              <w:lang w:val="zh-CN"/>
            </w:rPr>
            <w:t>　基坑及支护结构监测</w:t>
          </w:r>
          <w:r>
            <w:rPr>
              <w:bCs/>
              <w:szCs w:val="30"/>
            </w:rPr>
            <w:t>预</w:t>
          </w:r>
          <w:r>
            <w:rPr>
              <w:bCs/>
              <w:szCs w:val="30"/>
              <w:lang w:val="zh-CN"/>
            </w:rPr>
            <w:t>警值</w:t>
          </w:r>
          <w:r>
            <w:tab/>
          </w:r>
          <w:r>
            <w:t>（</w:t>
          </w:r>
          <w:r>
            <w:fldChar w:fldCharType="begin"/>
          </w:r>
          <w:r>
            <w:instrText xml:space="preserve"> PAGEREF _Toc17142 \h </w:instrText>
          </w:r>
          <w:r>
            <w:fldChar w:fldCharType="separate"/>
          </w:r>
          <w:r>
            <w:t>90</w:t>
          </w:r>
          <w:r>
            <w:fldChar w:fldCharType="end"/>
          </w:r>
          <w:r>
            <w:fldChar w:fldCharType="end"/>
          </w:r>
          <w:r>
            <w:t>）</w:t>
          </w:r>
        </w:p>
        <w:p w14:paraId="4F5A3EA4">
          <w:pPr>
            <w:pStyle w:val="10"/>
            <w:tabs>
              <w:tab w:val="right" w:leader="dot" w:pos="8504"/>
            </w:tabs>
          </w:pPr>
          <w:r>
            <w:fldChar w:fldCharType="begin"/>
          </w:r>
          <w:r>
            <w:instrText xml:space="preserve"> HYPERLINK \l "_Toc19924" </w:instrText>
          </w:r>
          <w:r>
            <w:fldChar w:fldCharType="separate"/>
          </w:r>
          <w:r>
            <w:rPr>
              <w:bCs/>
              <w:szCs w:val="30"/>
            </w:rPr>
            <w:t>用词说明</w:t>
          </w:r>
          <w:r>
            <w:tab/>
          </w:r>
          <w:r>
            <w:t>（</w:t>
          </w:r>
          <w:r>
            <w:fldChar w:fldCharType="begin"/>
          </w:r>
          <w:r>
            <w:instrText xml:space="preserve"> PAGEREF _Toc19924 \h </w:instrText>
          </w:r>
          <w:r>
            <w:fldChar w:fldCharType="separate"/>
          </w:r>
          <w:r>
            <w:t>92</w:t>
          </w:r>
          <w:r>
            <w:fldChar w:fldCharType="end"/>
          </w:r>
          <w:r>
            <w:fldChar w:fldCharType="end"/>
          </w:r>
          <w:r>
            <w:t>）</w:t>
          </w:r>
        </w:p>
        <w:p w14:paraId="097FC072">
          <w:pPr>
            <w:pStyle w:val="10"/>
            <w:tabs>
              <w:tab w:val="right" w:leader="dot" w:pos="8504"/>
            </w:tabs>
          </w:pPr>
          <w:r>
            <w:fldChar w:fldCharType="begin"/>
          </w:r>
          <w:r>
            <w:instrText xml:space="preserve"> HYPERLINK \l "_Toc9350" </w:instrText>
          </w:r>
          <w:r>
            <w:fldChar w:fldCharType="separate"/>
          </w:r>
          <w:r>
            <w:rPr>
              <w:bCs/>
              <w:szCs w:val="30"/>
            </w:rPr>
            <w:t>引用标准名录</w:t>
          </w:r>
          <w:r>
            <w:tab/>
          </w:r>
          <w:r>
            <w:t>（</w:t>
          </w:r>
          <w:r>
            <w:fldChar w:fldCharType="begin"/>
          </w:r>
          <w:r>
            <w:instrText xml:space="preserve"> PAGEREF _Toc9350 \h </w:instrText>
          </w:r>
          <w:r>
            <w:fldChar w:fldCharType="separate"/>
          </w:r>
          <w:r>
            <w:t>93</w:t>
          </w:r>
          <w:r>
            <w:fldChar w:fldCharType="end"/>
          </w:r>
          <w:r>
            <w:fldChar w:fldCharType="end"/>
          </w:r>
          <w:r>
            <w:t>）</w:t>
          </w:r>
        </w:p>
        <w:p w14:paraId="15B0C7BA">
          <w:pPr>
            <w:pStyle w:val="10"/>
            <w:tabs>
              <w:tab w:val="right" w:leader="dot" w:pos="8504"/>
            </w:tabs>
          </w:pPr>
          <w:r>
            <w:t>附：</w:t>
          </w:r>
          <w:r>
            <w:fldChar w:fldCharType="begin"/>
          </w:r>
          <w:r>
            <w:instrText xml:space="preserve"> HYPERLINK \l "_Toc30290" </w:instrText>
          </w:r>
          <w:r>
            <w:fldChar w:fldCharType="separate"/>
          </w:r>
          <w:r>
            <w:rPr>
              <w:spacing w:val="8"/>
              <w:kern w:val="48"/>
              <w:szCs w:val="20"/>
            </w:rPr>
            <w:t>条文说明</w:t>
          </w:r>
          <w:r>
            <w:tab/>
          </w:r>
          <w:r>
            <w:t>（</w:t>
          </w:r>
          <w:r>
            <w:fldChar w:fldCharType="begin"/>
          </w:r>
          <w:r>
            <w:instrText xml:space="preserve"> PAGEREF _Toc30290 \h </w:instrText>
          </w:r>
          <w:r>
            <w:fldChar w:fldCharType="separate"/>
          </w:r>
          <w:r>
            <w:t>95</w:t>
          </w:r>
          <w:r>
            <w:fldChar w:fldCharType="end"/>
          </w:r>
          <w:r>
            <w:fldChar w:fldCharType="end"/>
          </w:r>
          <w:r>
            <w:t>）</w:t>
          </w:r>
        </w:p>
        <w:p w14:paraId="3CF88EE0">
          <w:pPr>
            <w:rPr>
              <w:b/>
              <w:bCs/>
              <w:szCs w:val="30"/>
            </w:rPr>
          </w:pPr>
          <w:r>
            <w:fldChar w:fldCharType="end"/>
          </w:r>
        </w:p>
      </w:sdtContent>
    </w:sdt>
    <w:p w14:paraId="5180022A">
      <w:pPr>
        <w:rPr>
          <w:b/>
          <w:bCs/>
          <w:szCs w:val="30"/>
        </w:rPr>
      </w:pPr>
      <w:r>
        <w:rPr>
          <w:b/>
          <w:bCs/>
          <w:szCs w:val="30"/>
        </w:rPr>
        <w:br w:type="page"/>
      </w:r>
    </w:p>
    <w:sdt>
      <w:sdtPr>
        <w:rPr>
          <w:b/>
          <w:bCs/>
          <w:sz w:val="30"/>
          <w:szCs w:val="30"/>
        </w:rPr>
        <w:id w:val="147453180"/>
        <w15:color w:val="DBDBDB"/>
        <w:docPartObj>
          <w:docPartGallery w:val="Table of Contents"/>
          <w:docPartUnique/>
        </w:docPartObj>
      </w:sdtPr>
      <w:sdtEndPr>
        <w:rPr>
          <w:b w:val="0"/>
          <w:bCs w:val="0"/>
          <w:sz w:val="24"/>
          <w:szCs w:val="24"/>
        </w:rPr>
      </w:sdtEndPr>
      <w:sdtContent>
        <w:p w14:paraId="291744F9">
          <w:pPr>
            <w:spacing w:line="240" w:lineRule="auto"/>
            <w:ind w:firstLine="0"/>
            <w:jc w:val="center"/>
            <w:rPr>
              <w:b/>
              <w:bCs/>
              <w:sz w:val="30"/>
              <w:szCs w:val="30"/>
            </w:rPr>
          </w:pPr>
        </w:p>
        <w:p w14:paraId="373C563C">
          <w:pPr>
            <w:spacing w:line="240" w:lineRule="auto"/>
            <w:ind w:firstLine="0"/>
            <w:jc w:val="center"/>
            <w:rPr>
              <w:b/>
              <w:bCs/>
              <w:sz w:val="30"/>
              <w:szCs w:val="30"/>
            </w:rPr>
          </w:pPr>
          <w:r>
            <w:rPr>
              <w:b/>
              <w:bCs/>
              <w:sz w:val="30"/>
              <w:szCs w:val="30"/>
            </w:rPr>
            <w:t>Contents</w:t>
          </w:r>
        </w:p>
        <w:p w14:paraId="1F614D2F">
          <w:pPr>
            <w:spacing w:line="240" w:lineRule="auto"/>
            <w:ind w:firstLine="0"/>
            <w:jc w:val="center"/>
            <w:rPr>
              <w:b/>
              <w:bCs/>
              <w:sz w:val="21"/>
              <w:szCs w:val="21"/>
            </w:rPr>
          </w:pPr>
        </w:p>
        <w:p w14:paraId="38CA63F3">
          <w:pPr>
            <w:pStyle w:val="10"/>
            <w:tabs>
              <w:tab w:val="right" w:leader="dot" w:pos="8504"/>
            </w:tabs>
          </w:pPr>
          <w:r>
            <w:fldChar w:fldCharType="begin"/>
          </w:r>
          <w:r>
            <w:instrText xml:space="preserve">TOC \o "1-3" \h \u </w:instrText>
          </w:r>
          <w:r>
            <w:fldChar w:fldCharType="separate"/>
          </w:r>
          <w:r>
            <w:fldChar w:fldCharType="begin"/>
          </w:r>
          <w:r>
            <w:instrText xml:space="preserve"> HYPERLINK \l "_Toc21983" </w:instrText>
          </w:r>
          <w:r>
            <w:fldChar w:fldCharType="separate"/>
          </w:r>
          <w:r>
            <w:rPr>
              <w:bCs/>
            </w:rPr>
            <w:t>1　General provisions</w:t>
          </w:r>
          <w:r>
            <w:tab/>
          </w:r>
          <w:r>
            <w:t>（</w:t>
          </w:r>
          <w:r>
            <w:fldChar w:fldCharType="begin"/>
          </w:r>
          <w:r>
            <w:instrText xml:space="preserve"> PAGEREF _Toc21983 \h </w:instrText>
          </w:r>
          <w:r>
            <w:fldChar w:fldCharType="separate"/>
          </w:r>
          <w:r>
            <w:t>1</w:t>
          </w:r>
          <w:r>
            <w:fldChar w:fldCharType="end"/>
          </w:r>
          <w:r>
            <w:fldChar w:fldCharType="end"/>
          </w:r>
          <w:r>
            <w:t>）</w:t>
          </w:r>
        </w:p>
        <w:p w14:paraId="7105194E">
          <w:pPr>
            <w:pStyle w:val="10"/>
            <w:tabs>
              <w:tab w:val="right" w:leader="dot" w:pos="8504"/>
            </w:tabs>
          </w:pPr>
          <w:r>
            <w:fldChar w:fldCharType="begin"/>
          </w:r>
          <w:r>
            <w:instrText xml:space="preserve"> HYPERLINK \l "_Toc18818" </w:instrText>
          </w:r>
          <w:r>
            <w:fldChar w:fldCharType="separate"/>
          </w:r>
          <w:r>
            <w:rPr>
              <w:bCs/>
            </w:rPr>
            <w:t>2　Terms and symbols</w:t>
          </w:r>
          <w:r>
            <w:tab/>
          </w:r>
          <w:r>
            <w:t>（</w:t>
          </w:r>
          <w:r>
            <w:fldChar w:fldCharType="begin"/>
          </w:r>
          <w:r>
            <w:instrText xml:space="preserve"> PAGEREF _Toc18818 \h </w:instrText>
          </w:r>
          <w:r>
            <w:fldChar w:fldCharType="separate"/>
          </w:r>
          <w:r>
            <w:t>2</w:t>
          </w:r>
          <w:r>
            <w:fldChar w:fldCharType="end"/>
          </w:r>
          <w:r>
            <w:fldChar w:fldCharType="end"/>
          </w:r>
          <w:r>
            <w:t>）</w:t>
          </w:r>
        </w:p>
        <w:p w14:paraId="39305CF1">
          <w:pPr>
            <w:pStyle w:val="11"/>
            <w:tabs>
              <w:tab w:val="right" w:leader="dot" w:pos="8504"/>
            </w:tabs>
            <w:ind w:left="480"/>
          </w:pPr>
          <w:r>
            <w:fldChar w:fldCharType="begin"/>
          </w:r>
          <w:r>
            <w:instrText xml:space="preserve"> HYPERLINK \l "_Toc26075" </w:instrText>
          </w:r>
          <w:r>
            <w:fldChar w:fldCharType="separate"/>
          </w:r>
          <w:r>
            <w:rPr>
              <w:bCs/>
            </w:rPr>
            <w:t>2.1　Terms</w:t>
          </w:r>
          <w:r>
            <w:tab/>
          </w:r>
          <w:r>
            <w:t>（</w:t>
          </w:r>
          <w:r>
            <w:fldChar w:fldCharType="begin"/>
          </w:r>
          <w:r>
            <w:instrText xml:space="preserve"> PAGEREF _Toc26075 \h </w:instrText>
          </w:r>
          <w:r>
            <w:fldChar w:fldCharType="separate"/>
          </w:r>
          <w:r>
            <w:t>2</w:t>
          </w:r>
          <w:r>
            <w:fldChar w:fldCharType="end"/>
          </w:r>
          <w:r>
            <w:fldChar w:fldCharType="end"/>
          </w:r>
          <w:r>
            <w:t>）</w:t>
          </w:r>
        </w:p>
        <w:p w14:paraId="54C634FC">
          <w:pPr>
            <w:pStyle w:val="11"/>
            <w:tabs>
              <w:tab w:val="right" w:leader="dot" w:pos="8504"/>
            </w:tabs>
            <w:ind w:left="480"/>
          </w:pPr>
          <w:r>
            <w:fldChar w:fldCharType="begin"/>
          </w:r>
          <w:r>
            <w:instrText xml:space="preserve"> HYPERLINK \l "_Toc3834" </w:instrText>
          </w:r>
          <w:r>
            <w:fldChar w:fldCharType="separate"/>
          </w:r>
          <w:r>
            <w:rPr>
              <w:bCs/>
            </w:rPr>
            <w:t>2.2　Symbols</w:t>
          </w:r>
          <w:r>
            <w:tab/>
          </w:r>
          <w:r>
            <w:t>（</w:t>
          </w:r>
          <w:r>
            <w:fldChar w:fldCharType="begin"/>
          </w:r>
          <w:r>
            <w:instrText xml:space="preserve"> PAGEREF _Toc3834 \h </w:instrText>
          </w:r>
          <w:r>
            <w:fldChar w:fldCharType="separate"/>
          </w:r>
          <w:r>
            <w:t>4</w:t>
          </w:r>
          <w:r>
            <w:fldChar w:fldCharType="end"/>
          </w:r>
          <w:r>
            <w:fldChar w:fldCharType="end"/>
          </w:r>
          <w:r>
            <w:t>）</w:t>
          </w:r>
        </w:p>
        <w:p w14:paraId="5AE009AE">
          <w:pPr>
            <w:pStyle w:val="10"/>
            <w:tabs>
              <w:tab w:val="right" w:leader="dot" w:pos="8504"/>
            </w:tabs>
          </w:pPr>
          <w:r>
            <w:fldChar w:fldCharType="begin"/>
          </w:r>
          <w:r>
            <w:instrText xml:space="preserve"> HYPERLINK \l "_Toc22533" </w:instrText>
          </w:r>
          <w:r>
            <w:fldChar w:fldCharType="separate"/>
          </w:r>
          <w:r>
            <w:rPr>
              <w:bCs/>
            </w:rPr>
            <w:t>3　Basic requirements</w:t>
          </w:r>
          <w:r>
            <w:tab/>
          </w:r>
          <w:r>
            <w:t>（</w:t>
          </w:r>
          <w:r>
            <w:fldChar w:fldCharType="begin"/>
          </w:r>
          <w:r>
            <w:instrText xml:space="preserve"> PAGEREF _Toc22533 \h </w:instrText>
          </w:r>
          <w:r>
            <w:fldChar w:fldCharType="separate"/>
          </w:r>
          <w:r>
            <w:t>6</w:t>
          </w:r>
          <w:r>
            <w:fldChar w:fldCharType="end"/>
          </w:r>
          <w:r>
            <w:fldChar w:fldCharType="end"/>
          </w:r>
          <w:r>
            <w:t>）</w:t>
          </w:r>
        </w:p>
        <w:p w14:paraId="0000D24B">
          <w:pPr>
            <w:pStyle w:val="11"/>
            <w:tabs>
              <w:tab w:val="right" w:leader="dot" w:pos="8504"/>
            </w:tabs>
            <w:ind w:left="480"/>
            <w:rPr>
              <w:color w:val="auto"/>
            </w:rPr>
          </w:pPr>
          <w:r>
            <w:fldChar w:fldCharType="begin"/>
          </w:r>
          <w:r>
            <w:instrText xml:space="preserve"> HYPERLINK \l "_Toc12388" </w:instrText>
          </w:r>
          <w:r>
            <w:fldChar w:fldCharType="separate"/>
          </w:r>
          <w:r>
            <w:rPr>
              <w:color w:val="auto"/>
            </w:rPr>
            <w:t>3.1　Geotechnical investigation</w:t>
          </w:r>
          <w:r>
            <w:rPr>
              <w:color w:val="auto"/>
            </w:rPr>
            <w:tab/>
          </w:r>
          <w:r>
            <w:rPr>
              <w:color w:val="auto"/>
            </w:rPr>
            <w:t>（</w:t>
          </w:r>
          <w:r>
            <w:rPr>
              <w:color w:val="auto"/>
            </w:rPr>
            <w:fldChar w:fldCharType="begin"/>
          </w:r>
          <w:r>
            <w:rPr>
              <w:color w:val="auto"/>
            </w:rPr>
            <w:instrText xml:space="preserve"> PAGEREF _Toc12388 \h </w:instrText>
          </w:r>
          <w:r>
            <w:rPr>
              <w:color w:val="auto"/>
            </w:rPr>
            <w:fldChar w:fldCharType="separate"/>
          </w:r>
          <w:r>
            <w:rPr>
              <w:color w:val="auto"/>
            </w:rPr>
            <w:t>6</w:t>
          </w:r>
          <w:r>
            <w:rPr>
              <w:color w:val="auto"/>
            </w:rPr>
            <w:fldChar w:fldCharType="end"/>
          </w:r>
          <w:r>
            <w:rPr>
              <w:color w:val="auto"/>
            </w:rPr>
            <w:fldChar w:fldCharType="end"/>
          </w:r>
          <w:r>
            <w:rPr>
              <w:color w:val="auto"/>
            </w:rPr>
            <w:t>）</w:t>
          </w:r>
        </w:p>
        <w:p w14:paraId="1AB0B9B5">
          <w:pPr>
            <w:pStyle w:val="11"/>
            <w:tabs>
              <w:tab w:val="right" w:leader="dot" w:pos="8504"/>
            </w:tabs>
            <w:ind w:left="480"/>
            <w:rPr>
              <w:color w:val="auto"/>
            </w:rPr>
          </w:pPr>
          <w:r>
            <w:fldChar w:fldCharType="begin"/>
          </w:r>
          <w:r>
            <w:instrText xml:space="preserve"> HYPERLINK \l "_Toc22003" </w:instrText>
          </w:r>
          <w:r>
            <w:fldChar w:fldCharType="separate"/>
          </w:r>
          <w:r>
            <w:rPr>
              <w:color w:val="auto"/>
            </w:rPr>
            <w:t>3.2　Geotechnical design design</w:t>
          </w:r>
          <w:r>
            <w:rPr>
              <w:color w:val="auto"/>
            </w:rPr>
            <w:tab/>
          </w:r>
          <w:r>
            <w:rPr>
              <w:color w:val="auto"/>
            </w:rPr>
            <w:t>（</w:t>
          </w:r>
          <w:r>
            <w:rPr>
              <w:color w:val="auto"/>
            </w:rPr>
            <w:fldChar w:fldCharType="begin"/>
          </w:r>
          <w:r>
            <w:rPr>
              <w:color w:val="auto"/>
            </w:rPr>
            <w:instrText xml:space="preserve"> PAGEREF _Toc22003 \h </w:instrText>
          </w:r>
          <w:r>
            <w:rPr>
              <w:color w:val="auto"/>
            </w:rPr>
            <w:fldChar w:fldCharType="separate"/>
          </w:r>
          <w:r>
            <w:rPr>
              <w:color w:val="auto"/>
            </w:rPr>
            <w:t>6</w:t>
          </w:r>
          <w:r>
            <w:rPr>
              <w:color w:val="auto"/>
            </w:rPr>
            <w:fldChar w:fldCharType="end"/>
          </w:r>
          <w:r>
            <w:rPr>
              <w:color w:val="auto"/>
            </w:rPr>
            <w:fldChar w:fldCharType="end"/>
          </w:r>
          <w:r>
            <w:rPr>
              <w:color w:val="auto"/>
            </w:rPr>
            <w:t>）</w:t>
          </w:r>
        </w:p>
        <w:p w14:paraId="4404F1EF">
          <w:pPr>
            <w:pStyle w:val="11"/>
            <w:tabs>
              <w:tab w:val="right" w:leader="dot" w:pos="8504"/>
            </w:tabs>
            <w:ind w:left="480"/>
            <w:rPr>
              <w:color w:val="auto"/>
            </w:rPr>
          </w:pPr>
          <w:r>
            <w:fldChar w:fldCharType="begin"/>
          </w:r>
          <w:r>
            <w:instrText xml:space="preserve"> HYPERLINK \l "_Toc15787" </w:instrText>
          </w:r>
          <w:r>
            <w:fldChar w:fldCharType="separate"/>
          </w:r>
          <w:r>
            <w:rPr>
              <w:color w:val="auto"/>
            </w:rPr>
            <w:t>3.3　Geotechnical construction</w:t>
          </w:r>
          <w:r>
            <w:rPr>
              <w:color w:val="auto"/>
            </w:rPr>
            <w:tab/>
          </w:r>
          <w:r>
            <w:rPr>
              <w:color w:val="auto"/>
            </w:rPr>
            <w:t>（</w:t>
          </w:r>
          <w:r>
            <w:rPr>
              <w:color w:val="auto"/>
            </w:rPr>
            <w:fldChar w:fldCharType="begin"/>
          </w:r>
          <w:r>
            <w:rPr>
              <w:color w:val="auto"/>
            </w:rPr>
            <w:instrText xml:space="preserve"> PAGEREF _Toc15787 \h </w:instrText>
          </w:r>
          <w:r>
            <w:rPr>
              <w:color w:val="auto"/>
            </w:rPr>
            <w:fldChar w:fldCharType="separate"/>
          </w:r>
          <w:r>
            <w:rPr>
              <w:color w:val="auto"/>
            </w:rPr>
            <w:t>7</w:t>
          </w:r>
          <w:r>
            <w:rPr>
              <w:color w:val="auto"/>
            </w:rPr>
            <w:fldChar w:fldCharType="end"/>
          </w:r>
          <w:r>
            <w:rPr>
              <w:color w:val="auto"/>
            </w:rPr>
            <w:fldChar w:fldCharType="end"/>
          </w:r>
          <w:r>
            <w:rPr>
              <w:color w:val="auto"/>
            </w:rPr>
            <w:t>）</w:t>
          </w:r>
        </w:p>
        <w:p w14:paraId="1A667C62">
          <w:pPr>
            <w:pStyle w:val="11"/>
            <w:tabs>
              <w:tab w:val="right" w:leader="dot" w:pos="8504"/>
            </w:tabs>
            <w:ind w:left="480"/>
            <w:rPr>
              <w:color w:val="auto"/>
            </w:rPr>
          </w:pPr>
          <w:r>
            <w:fldChar w:fldCharType="begin"/>
          </w:r>
          <w:r>
            <w:instrText xml:space="preserve"> HYPERLINK \l "_Toc4102" </w:instrText>
          </w:r>
          <w:r>
            <w:fldChar w:fldCharType="separate"/>
          </w:r>
          <w:r>
            <w:rPr>
              <w:color w:val="auto"/>
            </w:rPr>
            <w:t>3.4　Geotechnical monitoring</w:t>
          </w:r>
          <w:r>
            <w:rPr>
              <w:color w:val="auto"/>
            </w:rPr>
            <w:tab/>
          </w:r>
          <w:r>
            <w:rPr>
              <w:color w:val="auto"/>
            </w:rPr>
            <w:t>（</w:t>
          </w:r>
          <w:r>
            <w:rPr>
              <w:color w:val="auto"/>
            </w:rPr>
            <w:fldChar w:fldCharType="begin"/>
          </w:r>
          <w:r>
            <w:rPr>
              <w:color w:val="auto"/>
            </w:rPr>
            <w:instrText xml:space="preserve"> PAGEREF _Toc4102 \h </w:instrText>
          </w:r>
          <w:r>
            <w:rPr>
              <w:color w:val="auto"/>
            </w:rPr>
            <w:fldChar w:fldCharType="separate"/>
          </w:r>
          <w:r>
            <w:rPr>
              <w:color w:val="auto"/>
            </w:rPr>
            <w:t>8</w:t>
          </w:r>
          <w:r>
            <w:rPr>
              <w:color w:val="auto"/>
            </w:rPr>
            <w:fldChar w:fldCharType="end"/>
          </w:r>
          <w:r>
            <w:rPr>
              <w:color w:val="auto"/>
            </w:rPr>
            <w:fldChar w:fldCharType="end"/>
          </w:r>
          <w:r>
            <w:rPr>
              <w:color w:val="auto"/>
            </w:rPr>
            <w:t>）</w:t>
          </w:r>
        </w:p>
        <w:p w14:paraId="13F8E768">
          <w:pPr>
            <w:pStyle w:val="11"/>
            <w:tabs>
              <w:tab w:val="right" w:leader="dot" w:pos="8504"/>
            </w:tabs>
            <w:ind w:left="480"/>
            <w:rPr>
              <w:color w:val="auto"/>
            </w:rPr>
          </w:pPr>
          <w:r>
            <w:fldChar w:fldCharType="begin"/>
          </w:r>
          <w:r>
            <w:instrText xml:space="preserve"> HYPERLINK \l "_Toc1122" </w:instrText>
          </w:r>
          <w:r>
            <w:fldChar w:fldCharType="separate"/>
          </w:r>
          <w:r>
            <w:rPr>
              <w:color w:val="auto"/>
            </w:rPr>
            <w:t>3.5　Geotechnical inspection and testing</w:t>
          </w:r>
          <w:r>
            <w:rPr>
              <w:color w:val="auto"/>
            </w:rPr>
            <w:tab/>
          </w:r>
          <w:r>
            <w:rPr>
              <w:color w:val="auto"/>
            </w:rPr>
            <w:t>（</w:t>
          </w:r>
          <w:r>
            <w:rPr>
              <w:color w:val="auto"/>
            </w:rPr>
            <w:fldChar w:fldCharType="begin"/>
          </w:r>
          <w:r>
            <w:rPr>
              <w:color w:val="auto"/>
            </w:rPr>
            <w:instrText xml:space="preserve"> PAGEREF _Toc1122 \h </w:instrText>
          </w:r>
          <w:r>
            <w:rPr>
              <w:color w:val="auto"/>
            </w:rPr>
            <w:fldChar w:fldCharType="separate"/>
          </w:r>
          <w:r>
            <w:rPr>
              <w:color w:val="auto"/>
            </w:rPr>
            <w:t>8</w:t>
          </w:r>
          <w:r>
            <w:rPr>
              <w:color w:val="auto"/>
            </w:rPr>
            <w:fldChar w:fldCharType="end"/>
          </w:r>
          <w:r>
            <w:rPr>
              <w:color w:val="auto"/>
            </w:rPr>
            <w:fldChar w:fldCharType="end"/>
          </w:r>
          <w:r>
            <w:rPr>
              <w:color w:val="auto"/>
            </w:rPr>
            <w:t>）</w:t>
          </w:r>
        </w:p>
        <w:p w14:paraId="1E71F414">
          <w:pPr>
            <w:pStyle w:val="10"/>
            <w:tabs>
              <w:tab w:val="right" w:leader="dot" w:pos="8504"/>
            </w:tabs>
            <w:rPr>
              <w:bCs/>
              <w:color w:val="auto"/>
            </w:rPr>
          </w:pPr>
          <w:r>
            <w:fldChar w:fldCharType="begin"/>
          </w:r>
          <w:r>
            <w:instrText xml:space="preserve"> HYPERLINK \l "_Toc3383" </w:instrText>
          </w:r>
          <w:r>
            <w:fldChar w:fldCharType="separate"/>
          </w:r>
          <w:r>
            <w:rPr>
              <w:bCs/>
              <w:color w:val="auto"/>
            </w:rPr>
            <w:t>4　Geotechnical investigation</w:t>
          </w:r>
          <w:r>
            <w:rPr>
              <w:color w:val="auto"/>
            </w:rPr>
            <w:tab/>
          </w:r>
          <w:r>
            <w:rPr>
              <w:bCs/>
              <w:color w:val="auto"/>
            </w:rPr>
            <w:t>（</w:t>
          </w:r>
          <w:r>
            <w:rPr>
              <w:bCs/>
              <w:color w:val="auto"/>
            </w:rPr>
            <w:fldChar w:fldCharType="begin"/>
          </w:r>
          <w:r>
            <w:rPr>
              <w:bCs/>
              <w:color w:val="auto"/>
            </w:rPr>
            <w:instrText xml:space="preserve"> PAGEREF _Toc3383 \h </w:instrText>
          </w:r>
          <w:r>
            <w:rPr>
              <w:bCs/>
              <w:color w:val="auto"/>
            </w:rPr>
            <w:fldChar w:fldCharType="separate"/>
          </w:r>
          <w:r>
            <w:rPr>
              <w:bCs/>
              <w:color w:val="auto"/>
            </w:rPr>
            <w:t>10</w:t>
          </w:r>
          <w:r>
            <w:rPr>
              <w:bCs/>
              <w:color w:val="auto"/>
            </w:rPr>
            <w:fldChar w:fldCharType="end"/>
          </w:r>
          <w:r>
            <w:rPr>
              <w:bCs/>
              <w:color w:val="auto"/>
            </w:rPr>
            <w:fldChar w:fldCharType="end"/>
          </w:r>
          <w:r>
            <w:rPr>
              <w:bCs/>
              <w:color w:val="auto"/>
            </w:rPr>
            <w:t>）</w:t>
          </w:r>
        </w:p>
        <w:p w14:paraId="51A22082">
          <w:pPr>
            <w:pStyle w:val="11"/>
            <w:tabs>
              <w:tab w:val="right" w:leader="dot" w:pos="8504"/>
            </w:tabs>
            <w:ind w:left="480"/>
            <w:rPr>
              <w:color w:val="auto"/>
            </w:rPr>
          </w:pPr>
          <w:r>
            <w:fldChar w:fldCharType="begin"/>
          </w:r>
          <w:r>
            <w:instrText xml:space="preserve"> HYPERLINK \l "_Toc2152" </w:instrText>
          </w:r>
          <w:r>
            <w:fldChar w:fldCharType="separate"/>
          </w:r>
          <w:r>
            <w:rPr>
              <w:bCs/>
              <w:color w:val="auto"/>
            </w:rPr>
            <w:t>4.1　General requirements</w:t>
          </w:r>
          <w:r>
            <w:rPr>
              <w:color w:val="auto"/>
            </w:rPr>
            <w:tab/>
          </w:r>
          <w:r>
            <w:rPr>
              <w:color w:val="auto"/>
            </w:rPr>
            <w:t>（</w:t>
          </w:r>
          <w:r>
            <w:rPr>
              <w:color w:val="auto"/>
            </w:rPr>
            <w:fldChar w:fldCharType="begin"/>
          </w:r>
          <w:r>
            <w:rPr>
              <w:color w:val="auto"/>
            </w:rPr>
            <w:instrText xml:space="preserve"> PAGEREF _Toc2152 \h </w:instrText>
          </w:r>
          <w:r>
            <w:rPr>
              <w:color w:val="auto"/>
            </w:rPr>
            <w:fldChar w:fldCharType="separate"/>
          </w:r>
          <w:r>
            <w:rPr>
              <w:color w:val="auto"/>
            </w:rPr>
            <w:t>10</w:t>
          </w:r>
          <w:r>
            <w:rPr>
              <w:color w:val="auto"/>
            </w:rPr>
            <w:fldChar w:fldCharType="end"/>
          </w:r>
          <w:r>
            <w:rPr>
              <w:color w:val="auto"/>
            </w:rPr>
            <w:fldChar w:fldCharType="end"/>
          </w:r>
          <w:r>
            <w:rPr>
              <w:color w:val="auto"/>
            </w:rPr>
            <w:t>）</w:t>
          </w:r>
        </w:p>
        <w:p w14:paraId="76E35DBA">
          <w:pPr>
            <w:pStyle w:val="11"/>
            <w:tabs>
              <w:tab w:val="right" w:leader="dot" w:pos="8504"/>
            </w:tabs>
            <w:ind w:left="480"/>
            <w:rPr>
              <w:bCs/>
              <w:color w:val="auto"/>
            </w:rPr>
          </w:pPr>
          <w:r>
            <w:fldChar w:fldCharType="begin"/>
          </w:r>
          <w:r>
            <w:instrText xml:space="preserve"> HYPERLINK \l "_Toc16248" </w:instrText>
          </w:r>
          <w:r>
            <w:fldChar w:fldCharType="separate"/>
          </w:r>
          <w:r>
            <w:rPr>
              <w:bCs/>
              <w:color w:val="auto"/>
            </w:rPr>
            <w:t>4.2　Feasibility survey</w:t>
          </w:r>
          <w:r>
            <w:rPr>
              <w:bCs/>
              <w:color w:val="auto"/>
            </w:rPr>
            <w:tab/>
          </w:r>
          <w:r>
            <w:rPr>
              <w:bCs/>
              <w:color w:val="auto"/>
            </w:rPr>
            <w:t>（</w:t>
          </w:r>
          <w:r>
            <w:rPr>
              <w:bCs/>
              <w:color w:val="auto"/>
            </w:rPr>
            <w:fldChar w:fldCharType="begin"/>
          </w:r>
          <w:r>
            <w:rPr>
              <w:bCs/>
              <w:color w:val="auto"/>
            </w:rPr>
            <w:instrText xml:space="preserve"> PAGEREF _Toc16248 \h </w:instrText>
          </w:r>
          <w:r>
            <w:rPr>
              <w:bCs/>
              <w:color w:val="auto"/>
            </w:rPr>
            <w:fldChar w:fldCharType="separate"/>
          </w:r>
          <w:r>
            <w:rPr>
              <w:bCs/>
              <w:color w:val="auto"/>
            </w:rPr>
            <w:t>11</w:t>
          </w:r>
          <w:r>
            <w:rPr>
              <w:bCs/>
              <w:color w:val="auto"/>
            </w:rPr>
            <w:fldChar w:fldCharType="end"/>
          </w:r>
          <w:r>
            <w:rPr>
              <w:bCs/>
              <w:color w:val="auto"/>
            </w:rPr>
            <w:fldChar w:fldCharType="end"/>
          </w:r>
          <w:r>
            <w:rPr>
              <w:bCs/>
              <w:color w:val="auto"/>
            </w:rPr>
            <w:t>）</w:t>
          </w:r>
        </w:p>
        <w:p w14:paraId="2B2B2586">
          <w:pPr>
            <w:pStyle w:val="11"/>
            <w:tabs>
              <w:tab w:val="right" w:leader="dot" w:pos="8504"/>
            </w:tabs>
            <w:ind w:left="480"/>
            <w:rPr>
              <w:bCs/>
              <w:color w:val="auto"/>
            </w:rPr>
          </w:pPr>
          <w:r>
            <w:fldChar w:fldCharType="begin"/>
          </w:r>
          <w:r>
            <w:instrText xml:space="preserve"> HYPERLINK \l "_Toc9037" </w:instrText>
          </w:r>
          <w:r>
            <w:fldChar w:fldCharType="separate"/>
          </w:r>
          <w:r>
            <w:rPr>
              <w:bCs/>
              <w:color w:val="auto"/>
            </w:rPr>
            <w:t>4.3　Preliminary survey</w:t>
          </w:r>
          <w:r>
            <w:rPr>
              <w:bCs/>
              <w:color w:val="auto"/>
            </w:rPr>
            <w:tab/>
          </w:r>
          <w:r>
            <w:rPr>
              <w:bCs/>
              <w:color w:val="auto"/>
            </w:rPr>
            <w:t>（</w:t>
          </w:r>
          <w:r>
            <w:rPr>
              <w:bCs/>
              <w:color w:val="auto"/>
            </w:rPr>
            <w:fldChar w:fldCharType="begin"/>
          </w:r>
          <w:r>
            <w:rPr>
              <w:bCs/>
              <w:color w:val="auto"/>
            </w:rPr>
            <w:instrText xml:space="preserve"> PAGEREF _Toc9037 \h </w:instrText>
          </w:r>
          <w:r>
            <w:rPr>
              <w:bCs/>
              <w:color w:val="auto"/>
            </w:rPr>
            <w:fldChar w:fldCharType="separate"/>
          </w:r>
          <w:r>
            <w:rPr>
              <w:bCs/>
              <w:color w:val="auto"/>
            </w:rPr>
            <w:t>11</w:t>
          </w:r>
          <w:r>
            <w:rPr>
              <w:bCs/>
              <w:color w:val="auto"/>
            </w:rPr>
            <w:fldChar w:fldCharType="end"/>
          </w:r>
          <w:r>
            <w:rPr>
              <w:bCs/>
              <w:color w:val="auto"/>
            </w:rPr>
            <w:fldChar w:fldCharType="end"/>
          </w:r>
          <w:r>
            <w:rPr>
              <w:bCs/>
              <w:color w:val="auto"/>
            </w:rPr>
            <w:t>）</w:t>
          </w:r>
        </w:p>
        <w:p w14:paraId="28B693D9">
          <w:pPr>
            <w:pStyle w:val="11"/>
            <w:tabs>
              <w:tab w:val="right" w:leader="dot" w:pos="8504"/>
            </w:tabs>
            <w:ind w:left="480"/>
            <w:rPr>
              <w:color w:val="auto"/>
            </w:rPr>
          </w:pPr>
          <w:r>
            <w:fldChar w:fldCharType="begin"/>
          </w:r>
          <w:r>
            <w:instrText xml:space="preserve"> HYPERLINK \l "_Toc5104" </w:instrText>
          </w:r>
          <w:r>
            <w:fldChar w:fldCharType="separate"/>
          </w:r>
          <w:r>
            <w:rPr>
              <w:bCs/>
              <w:color w:val="auto"/>
            </w:rPr>
            <w:t>4.4　Detailed survey</w:t>
          </w:r>
          <w:r>
            <w:rPr>
              <w:bCs/>
              <w:color w:val="auto"/>
            </w:rPr>
            <w:tab/>
          </w:r>
          <w:r>
            <w:rPr>
              <w:bCs/>
              <w:color w:val="auto"/>
            </w:rPr>
            <w:t>（</w:t>
          </w:r>
          <w:r>
            <w:rPr>
              <w:bCs/>
              <w:color w:val="auto"/>
            </w:rPr>
            <w:fldChar w:fldCharType="begin"/>
          </w:r>
          <w:r>
            <w:rPr>
              <w:bCs/>
              <w:color w:val="auto"/>
            </w:rPr>
            <w:instrText xml:space="preserve"> PAGEREF _Toc5104 \h </w:instrText>
          </w:r>
          <w:r>
            <w:rPr>
              <w:bCs/>
              <w:color w:val="auto"/>
            </w:rPr>
            <w:fldChar w:fldCharType="separate"/>
          </w:r>
          <w:r>
            <w:rPr>
              <w:bCs/>
              <w:color w:val="auto"/>
            </w:rPr>
            <w:t>12</w:t>
          </w:r>
          <w:r>
            <w:rPr>
              <w:bCs/>
              <w:color w:val="auto"/>
            </w:rPr>
            <w:fldChar w:fldCharType="end"/>
          </w:r>
          <w:r>
            <w:rPr>
              <w:bCs/>
              <w:color w:val="auto"/>
            </w:rPr>
            <w:fldChar w:fldCharType="end"/>
          </w:r>
          <w:r>
            <w:rPr>
              <w:color w:val="auto"/>
            </w:rPr>
            <w:t>）</w:t>
          </w:r>
        </w:p>
        <w:p w14:paraId="491F7335">
          <w:pPr>
            <w:pStyle w:val="10"/>
            <w:tabs>
              <w:tab w:val="right" w:leader="dot" w:pos="8504"/>
            </w:tabs>
          </w:pPr>
          <w:r>
            <w:fldChar w:fldCharType="begin"/>
          </w:r>
          <w:r>
            <w:instrText xml:space="preserve"> HYPERLINK \l "_Toc2060" </w:instrText>
          </w:r>
          <w:r>
            <w:fldChar w:fldCharType="separate"/>
          </w:r>
          <w:r>
            <w:rPr>
              <w:bCs/>
              <w:color w:val="auto"/>
            </w:rPr>
            <w:t>5　Geotechnical design</w:t>
          </w:r>
          <w:r>
            <w:rPr>
              <w:color w:val="auto"/>
            </w:rPr>
            <w:tab/>
          </w:r>
          <w:r>
            <w:rPr>
              <w:color w:val="auto"/>
            </w:rPr>
            <w:t>（</w:t>
          </w:r>
          <w:r>
            <w:rPr>
              <w:color w:val="auto"/>
            </w:rPr>
            <w:fldChar w:fldCharType="begin"/>
          </w:r>
          <w:r>
            <w:rPr>
              <w:color w:val="auto"/>
            </w:rPr>
            <w:instrText xml:space="preserve"> PAGEREF _Toc2060 \h </w:instrText>
          </w:r>
          <w:r>
            <w:rPr>
              <w:color w:val="auto"/>
            </w:rPr>
            <w:fldChar w:fldCharType="separate"/>
          </w:r>
          <w:r>
            <w:rPr>
              <w:color w:val="auto"/>
            </w:rPr>
            <w:t>15</w:t>
          </w:r>
          <w:r>
            <w:rPr>
              <w:color w:val="auto"/>
            </w:rPr>
            <w:fldChar w:fldCharType="end"/>
          </w:r>
          <w:r>
            <w:rPr>
              <w:color w:val="auto"/>
            </w:rPr>
            <w:fldChar w:fldCharType="end"/>
          </w:r>
          <w:r>
            <w:t>）</w:t>
          </w:r>
        </w:p>
        <w:p w14:paraId="4BBC8681">
          <w:pPr>
            <w:pStyle w:val="11"/>
            <w:tabs>
              <w:tab w:val="right" w:leader="dot" w:pos="8504"/>
            </w:tabs>
            <w:ind w:left="480"/>
          </w:pPr>
          <w:r>
            <w:fldChar w:fldCharType="begin"/>
          </w:r>
          <w:r>
            <w:instrText xml:space="preserve"> HYPERLINK \l "_Toc19036" </w:instrText>
          </w:r>
          <w:r>
            <w:fldChar w:fldCharType="separate"/>
          </w:r>
          <w:r>
            <w:rPr>
              <w:bCs/>
            </w:rPr>
            <w:t>5.1　General requirements</w:t>
          </w:r>
          <w:r>
            <w:tab/>
          </w:r>
          <w:r>
            <w:t>（</w:t>
          </w:r>
          <w:r>
            <w:fldChar w:fldCharType="begin"/>
          </w:r>
          <w:r>
            <w:instrText xml:space="preserve"> PAGEREF _Toc19036 \h </w:instrText>
          </w:r>
          <w:r>
            <w:fldChar w:fldCharType="separate"/>
          </w:r>
          <w:r>
            <w:t>15</w:t>
          </w:r>
          <w:r>
            <w:fldChar w:fldCharType="end"/>
          </w:r>
          <w:r>
            <w:fldChar w:fldCharType="end"/>
          </w:r>
          <w:r>
            <w:t>）</w:t>
          </w:r>
        </w:p>
        <w:p w14:paraId="4AA2DDDC">
          <w:pPr>
            <w:pStyle w:val="11"/>
            <w:tabs>
              <w:tab w:val="right" w:leader="dot" w:pos="8504"/>
            </w:tabs>
            <w:ind w:left="1476" w:leftChars="415" w:hanging="480" w:hangingChars="200"/>
          </w:pPr>
          <w:r>
            <w:fldChar w:fldCharType="begin"/>
          </w:r>
          <w:r>
            <w:instrText xml:space="preserve"> HYPERLINK \l "_Toc5491" </w:instrText>
          </w:r>
          <w:r>
            <w:fldChar w:fldCharType="separate"/>
          </w:r>
          <w:r>
            <w:rPr>
              <w:bCs/>
            </w:rPr>
            <w:t xml:space="preserve">5.2　The support design of the open-cut section </w:t>
          </w:r>
          <w:r>
            <w:rPr>
              <w:bCs/>
            </w:rPr>
            <w:br w:type="textWrapping"/>
          </w:r>
          <w:r>
            <w:rPr>
              <w:bCs/>
            </w:rPr>
            <w:t>of the comprehensive pipe gallery</w:t>
          </w:r>
          <w:r>
            <w:tab/>
          </w:r>
          <w:r>
            <w:t>（</w:t>
          </w:r>
          <w:r>
            <w:fldChar w:fldCharType="begin"/>
          </w:r>
          <w:r>
            <w:instrText xml:space="preserve"> PAGEREF _Toc5491 \h </w:instrText>
          </w:r>
          <w:r>
            <w:fldChar w:fldCharType="separate"/>
          </w:r>
          <w:r>
            <w:t>16</w:t>
          </w:r>
          <w:r>
            <w:fldChar w:fldCharType="end"/>
          </w:r>
          <w:r>
            <w:fldChar w:fldCharType="end"/>
          </w:r>
          <w:r>
            <w:t>）</w:t>
          </w:r>
        </w:p>
        <w:p w14:paraId="0271A06D">
          <w:pPr>
            <w:pStyle w:val="11"/>
            <w:tabs>
              <w:tab w:val="right" w:leader="dot" w:pos="8504"/>
            </w:tabs>
            <w:ind w:left="480"/>
          </w:pPr>
          <w:r>
            <w:fldChar w:fldCharType="begin"/>
          </w:r>
          <w:r>
            <w:instrText xml:space="preserve"> HYPERLINK \l "_Toc10545" </w:instrText>
          </w:r>
          <w:r>
            <w:fldChar w:fldCharType="separate"/>
          </w:r>
          <w:r>
            <w:rPr>
              <w:bCs/>
            </w:rPr>
            <w:t xml:space="preserve">5.3　Groundwater control design </w:t>
          </w:r>
          <w:r>
            <w:tab/>
          </w:r>
          <w:r>
            <w:t>（</w:t>
          </w:r>
          <w:r>
            <w:fldChar w:fldCharType="begin"/>
          </w:r>
          <w:r>
            <w:instrText xml:space="preserve"> PAGEREF _Toc10545 \h </w:instrText>
          </w:r>
          <w:r>
            <w:fldChar w:fldCharType="separate"/>
          </w:r>
          <w:r>
            <w:t>51</w:t>
          </w:r>
          <w:r>
            <w:fldChar w:fldCharType="end"/>
          </w:r>
          <w:r>
            <w:fldChar w:fldCharType="end"/>
          </w:r>
          <w:r>
            <w:t>）</w:t>
          </w:r>
        </w:p>
        <w:p w14:paraId="18C970C7">
          <w:pPr>
            <w:pStyle w:val="10"/>
            <w:tabs>
              <w:tab w:val="right" w:leader="dot" w:pos="8504"/>
            </w:tabs>
          </w:pPr>
          <w:r>
            <w:fldChar w:fldCharType="begin"/>
          </w:r>
          <w:r>
            <w:instrText xml:space="preserve"> HYPERLINK \l "_Toc21977" </w:instrText>
          </w:r>
          <w:r>
            <w:fldChar w:fldCharType="separate"/>
          </w:r>
          <w:r>
            <w:rPr>
              <w:bCs/>
            </w:rPr>
            <w:t>6　Geotechnical construction</w:t>
          </w:r>
          <w:r>
            <w:tab/>
          </w:r>
          <w:r>
            <w:t>（</w:t>
          </w:r>
          <w:r>
            <w:fldChar w:fldCharType="begin"/>
          </w:r>
          <w:r>
            <w:instrText xml:space="preserve"> PAGEREF _Toc21977 \h </w:instrText>
          </w:r>
          <w:r>
            <w:fldChar w:fldCharType="separate"/>
          </w:r>
          <w:r>
            <w:t>54</w:t>
          </w:r>
          <w:r>
            <w:fldChar w:fldCharType="end"/>
          </w:r>
          <w:r>
            <w:fldChar w:fldCharType="end"/>
          </w:r>
          <w:r>
            <w:t>）</w:t>
          </w:r>
        </w:p>
        <w:p w14:paraId="55FF155D">
          <w:pPr>
            <w:pStyle w:val="11"/>
            <w:tabs>
              <w:tab w:val="right" w:leader="dot" w:pos="8504"/>
            </w:tabs>
            <w:ind w:left="480"/>
          </w:pPr>
          <w:r>
            <w:fldChar w:fldCharType="begin"/>
          </w:r>
          <w:r>
            <w:instrText xml:space="preserve"> HYPERLINK \l "_Toc12028" </w:instrText>
          </w:r>
          <w:r>
            <w:fldChar w:fldCharType="separate"/>
          </w:r>
          <w:r>
            <w:rPr>
              <w:bCs/>
            </w:rPr>
            <w:t>6.1　General requirements</w:t>
          </w:r>
          <w:r>
            <w:tab/>
          </w:r>
          <w:r>
            <w:t>（</w:t>
          </w:r>
          <w:r>
            <w:fldChar w:fldCharType="begin"/>
          </w:r>
          <w:r>
            <w:instrText xml:space="preserve"> PAGEREF _Toc12028 \h </w:instrText>
          </w:r>
          <w:r>
            <w:fldChar w:fldCharType="separate"/>
          </w:r>
          <w:r>
            <w:t>54</w:t>
          </w:r>
          <w:r>
            <w:fldChar w:fldCharType="end"/>
          </w:r>
          <w:r>
            <w:fldChar w:fldCharType="end"/>
          </w:r>
          <w:r>
            <w:t>）</w:t>
          </w:r>
        </w:p>
        <w:p w14:paraId="7250D838">
          <w:pPr>
            <w:pStyle w:val="11"/>
            <w:tabs>
              <w:tab w:val="right" w:leader="dot" w:pos="8504"/>
            </w:tabs>
            <w:ind w:left="480"/>
          </w:pPr>
          <w:r>
            <w:fldChar w:fldCharType="begin"/>
          </w:r>
          <w:r>
            <w:instrText xml:space="preserve"> HYPERLINK \l "_Toc22898" </w:instrText>
          </w:r>
          <w:r>
            <w:fldChar w:fldCharType="separate"/>
          </w:r>
          <w:r>
            <w:rPr>
              <w:bCs/>
            </w:rPr>
            <w:t>6.2　Foundation pit support construction</w:t>
          </w:r>
          <w:r>
            <w:tab/>
          </w:r>
          <w:r>
            <w:t>（</w:t>
          </w:r>
          <w:r>
            <w:fldChar w:fldCharType="begin"/>
          </w:r>
          <w:r>
            <w:instrText xml:space="preserve"> PAGEREF _Toc22898 \h </w:instrText>
          </w:r>
          <w:r>
            <w:fldChar w:fldCharType="separate"/>
          </w:r>
          <w:r>
            <w:t>55</w:t>
          </w:r>
          <w:r>
            <w:fldChar w:fldCharType="end"/>
          </w:r>
          <w:r>
            <w:fldChar w:fldCharType="end"/>
          </w:r>
          <w:r>
            <w:t>）</w:t>
          </w:r>
        </w:p>
        <w:p w14:paraId="5DC66C8D">
          <w:pPr>
            <w:pStyle w:val="11"/>
            <w:tabs>
              <w:tab w:val="right" w:leader="dot" w:pos="8504"/>
            </w:tabs>
            <w:ind w:left="480"/>
          </w:pPr>
          <w:r>
            <w:fldChar w:fldCharType="begin"/>
          </w:r>
          <w:r>
            <w:instrText xml:space="preserve"> HYPERLINK \l "_Toc11144" </w:instrText>
          </w:r>
          <w:r>
            <w:fldChar w:fldCharType="separate"/>
          </w:r>
          <w:r>
            <w:rPr>
              <w:bCs/>
            </w:rPr>
            <w:t>6.3　Ground treatment construction</w:t>
          </w:r>
          <w:r>
            <w:tab/>
          </w:r>
          <w:r>
            <w:t>（</w:t>
          </w:r>
          <w:r>
            <w:fldChar w:fldCharType="begin"/>
          </w:r>
          <w:r>
            <w:instrText xml:space="preserve"> PAGEREF _Toc11144 \h </w:instrText>
          </w:r>
          <w:r>
            <w:fldChar w:fldCharType="separate"/>
          </w:r>
          <w:r>
            <w:t>63</w:t>
          </w:r>
          <w:r>
            <w:fldChar w:fldCharType="end"/>
          </w:r>
          <w:r>
            <w:fldChar w:fldCharType="end"/>
          </w:r>
          <w:r>
            <w:t>）</w:t>
          </w:r>
        </w:p>
        <w:p w14:paraId="02B809A0">
          <w:pPr>
            <w:pStyle w:val="11"/>
            <w:tabs>
              <w:tab w:val="right" w:leader="dot" w:pos="8504"/>
            </w:tabs>
            <w:ind w:left="480"/>
          </w:pPr>
          <w:r>
            <w:fldChar w:fldCharType="begin"/>
          </w:r>
          <w:r>
            <w:instrText xml:space="preserve"> HYPERLINK \l "_Toc8356" </w:instrText>
          </w:r>
          <w:r>
            <w:fldChar w:fldCharType="separate"/>
          </w:r>
          <w:r>
            <w:rPr>
              <w:bCs/>
            </w:rPr>
            <w:t>6.5　Construction of earthworks</w:t>
          </w:r>
          <w:r>
            <w:tab/>
          </w:r>
          <w:r>
            <w:t>（</w:t>
          </w:r>
          <w:r>
            <w:fldChar w:fldCharType="begin"/>
          </w:r>
          <w:r>
            <w:instrText xml:space="preserve"> PAGEREF _Toc8356 \h </w:instrText>
          </w:r>
          <w:r>
            <w:fldChar w:fldCharType="separate"/>
          </w:r>
          <w:r>
            <w:t>71</w:t>
          </w:r>
          <w:r>
            <w:fldChar w:fldCharType="end"/>
          </w:r>
          <w:r>
            <w:fldChar w:fldCharType="end"/>
          </w:r>
          <w:r>
            <w:t>）</w:t>
          </w:r>
        </w:p>
        <w:p w14:paraId="133499F2">
          <w:pPr>
            <w:pStyle w:val="10"/>
            <w:tabs>
              <w:tab w:val="right" w:leader="dot" w:pos="8504"/>
            </w:tabs>
          </w:pPr>
          <w:r>
            <w:fldChar w:fldCharType="begin"/>
          </w:r>
          <w:r>
            <w:instrText xml:space="preserve"> HYPERLINK \l "_Toc13815" </w:instrText>
          </w:r>
          <w:r>
            <w:fldChar w:fldCharType="separate"/>
          </w:r>
          <w:r>
            <w:rPr>
              <w:bCs/>
            </w:rPr>
            <w:t>7　Geotechnical monitoring</w:t>
          </w:r>
          <w:r>
            <w:tab/>
          </w:r>
          <w:r>
            <w:t>（</w:t>
          </w:r>
          <w:r>
            <w:fldChar w:fldCharType="begin"/>
          </w:r>
          <w:r>
            <w:instrText xml:space="preserve"> PAGEREF _Toc13815 \h </w:instrText>
          </w:r>
          <w:r>
            <w:fldChar w:fldCharType="separate"/>
          </w:r>
          <w:r>
            <w:t>73</w:t>
          </w:r>
          <w:r>
            <w:fldChar w:fldCharType="end"/>
          </w:r>
          <w:r>
            <w:fldChar w:fldCharType="end"/>
          </w:r>
          <w:r>
            <w:t>）</w:t>
          </w:r>
        </w:p>
        <w:p w14:paraId="57B86A36">
          <w:pPr>
            <w:pStyle w:val="11"/>
            <w:tabs>
              <w:tab w:val="right" w:leader="dot" w:pos="8504"/>
            </w:tabs>
            <w:ind w:left="480"/>
          </w:pPr>
          <w:r>
            <w:fldChar w:fldCharType="begin"/>
          </w:r>
          <w:r>
            <w:instrText xml:space="preserve"> HYPERLINK \l "_Toc14329" </w:instrText>
          </w:r>
          <w:r>
            <w:fldChar w:fldCharType="separate"/>
          </w:r>
          <w:r>
            <w:rPr>
              <w:bCs/>
            </w:rPr>
            <w:t>7.1　General requirements</w:t>
          </w:r>
          <w:r>
            <w:tab/>
          </w:r>
          <w:r>
            <w:t>（</w:t>
          </w:r>
          <w:r>
            <w:fldChar w:fldCharType="begin"/>
          </w:r>
          <w:r>
            <w:instrText xml:space="preserve"> PAGEREF _Toc14329 \h </w:instrText>
          </w:r>
          <w:r>
            <w:fldChar w:fldCharType="separate"/>
          </w:r>
          <w:r>
            <w:t>73</w:t>
          </w:r>
          <w:r>
            <w:fldChar w:fldCharType="end"/>
          </w:r>
          <w:r>
            <w:fldChar w:fldCharType="end"/>
          </w:r>
          <w:r>
            <w:t>）</w:t>
          </w:r>
        </w:p>
        <w:p w14:paraId="74F66C05">
          <w:pPr>
            <w:pStyle w:val="11"/>
            <w:tabs>
              <w:tab w:val="right" w:leader="dot" w:pos="8504"/>
            </w:tabs>
            <w:ind w:left="480"/>
          </w:pPr>
          <w:r>
            <w:fldChar w:fldCharType="begin"/>
          </w:r>
          <w:r>
            <w:instrText xml:space="preserve"> HYPERLINK \l "_Toc19508" </w:instrText>
          </w:r>
          <w:r>
            <w:fldChar w:fldCharType="separate"/>
          </w:r>
          <w:r>
            <w:rPr>
              <w:bCs/>
            </w:rPr>
            <w:t>7.2　Monitoring projects</w:t>
          </w:r>
          <w:r>
            <w:tab/>
          </w:r>
          <w:r>
            <w:t>（</w:t>
          </w:r>
          <w:r>
            <w:fldChar w:fldCharType="begin"/>
          </w:r>
          <w:r>
            <w:instrText xml:space="preserve"> PAGEREF _Toc19508 \h </w:instrText>
          </w:r>
          <w:r>
            <w:fldChar w:fldCharType="separate"/>
          </w:r>
          <w:r>
            <w:t>74</w:t>
          </w:r>
          <w:r>
            <w:fldChar w:fldCharType="end"/>
          </w:r>
          <w:r>
            <w:fldChar w:fldCharType="end"/>
          </w:r>
          <w:r>
            <w:t>）</w:t>
          </w:r>
        </w:p>
        <w:p w14:paraId="6EB99B5A">
          <w:pPr>
            <w:pStyle w:val="11"/>
            <w:tabs>
              <w:tab w:val="right" w:leader="dot" w:pos="8504"/>
            </w:tabs>
            <w:ind w:left="480"/>
          </w:pPr>
          <w:r>
            <w:fldChar w:fldCharType="begin"/>
          </w:r>
          <w:r>
            <w:instrText xml:space="preserve"> HYPERLINK \l "_Toc24623" </w:instrText>
          </w:r>
          <w:r>
            <w:fldChar w:fldCharType="separate"/>
          </w:r>
          <w:r>
            <w:rPr>
              <w:bCs/>
            </w:rPr>
            <w:t>7.3　Placement of monitoring points</w:t>
          </w:r>
          <w:r>
            <w:tab/>
          </w:r>
          <w:r>
            <w:t>（</w:t>
          </w:r>
          <w:r>
            <w:fldChar w:fldCharType="begin"/>
          </w:r>
          <w:r>
            <w:instrText xml:space="preserve"> PAGEREF _Toc24623 \h </w:instrText>
          </w:r>
          <w:r>
            <w:fldChar w:fldCharType="separate"/>
          </w:r>
          <w:r>
            <w:t>77</w:t>
          </w:r>
          <w:r>
            <w:fldChar w:fldCharType="end"/>
          </w:r>
          <w:r>
            <w:fldChar w:fldCharType="end"/>
          </w:r>
          <w:r>
            <w:t>）</w:t>
          </w:r>
        </w:p>
        <w:p w14:paraId="7238A893">
          <w:pPr>
            <w:pStyle w:val="11"/>
            <w:tabs>
              <w:tab w:val="right" w:leader="dot" w:pos="8504"/>
            </w:tabs>
            <w:ind w:left="480"/>
          </w:pPr>
          <w:r>
            <w:fldChar w:fldCharType="begin"/>
          </w:r>
          <w:r>
            <w:instrText xml:space="preserve"> HYPERLINK \l "_Toc5095" </w:instrText>
          </w:r>
          <w:r>
            <w:fldChar w:fldCharType="separate"/>
          </w:r>
          <w:r>
            <w:rPr>
              <w:bCs/>
            </w:rPr>
            <w:t>7.4　Monitoring methods and monitoring frequency</w:t>
          </w:r>
          <w:r>
            <w:tab/>
          </w:r>
          <w:r>
            <w:t>（</w:t>
          </w:r>
          <w:r>
            <w:fldChar w:fldCharType="begin"/>
          </w:r>
          <w:r>
            <w:instrText xml:space="preserve"> PAGEREF _Toc5095 \h </w:instrText>
          </w:r>
          <w:r>
            <w:fldChar w:fldCharType="separate"/>
          </w:r>
          <w:r>
            <w:t>78</w:t>
          </w:r>
          <w:r>
            <w:fldChar w:fldCharType="end"/>
          </w:r>
          <w:r>
            <w:fldChar w:fldCharType="end"/>
          </w:r>
          <w:r>
            <w:t>）</w:t>
          </w:r>
        </w:p>
        <w:p w14:paraId="7607A590">
          <w:pPr>
            <w:pStyle w:val="11"/>
            <w:tabs>
              <w:tab w:val="right" w:leader="dot" w:pos="8504"/>
            </w:tabs>
            <w:ind w:left="480"/>
          </w:pPr>
          <w:r>
            <w:fldChar w:fldCharType="begin"/>
          </w:r>
          <w:r>
            <w:instrText xml:space="preserve"> HYPERLINK \l "_Toc17587" </w:instrText>
          </w:r>
          <w:r>
            <w:fldChar w:fldCharType="separate"/>
          </w:r>
          <w:r>
            <w:rPr>
              <w:bCs/>
            </w:rPr>
            <w:t>7.5　</w:t>
          </w:r>
          <w:r>
            <w:rPr>
              <w:color w:val="111111"/>
            </w:rPr>
            <w:t>Monitor early warning values and control values</w:t>
          </w:r>
          <w:r>
            <w:tab/>
          </w:r>
          <w:r>
            <w:t>（</w:t>
          </w:r>
          <w:r>
            <w:fldChar w:fldCharType="begin"/>
          </w:r>
          <w:r>
            <w:instrText xml:space="preserve"> PAGEREF _Toc17587 \h </w:instrText>
          </w:r>
          <w:r>
            <w:fldChar w:fldCharType="separate"/>
          </w:r>
          <w:r>
            <w:t>80</w:t>
          </w:r>
          <w:r>
            <w:fldChar w:fldCharType="end"/>
          </w:r>
          <w:r>
            <w:fldChar w:fldCharType="end"/>
          </w:r>
          <w:r>
            <w:t>）</w:t>
          </w:r>
        </w:p>
        <w:p w14:paraId="29983D64">
          <w:pPr>
            <w:pStyle w:val="11"/>
            <w:tabs>
              <w:tab w:val="right" w:leader="dot" w:pos="8504"/>
            </w:tabs>
            <w:ind w:left="480"/>
          </w:pPr>
          <w:r>
            <w:fldChar w:fldCharType="begin"/>
          </w:r>
          <w:r>
            <w:instrText xml:space="preserve"> HYPERLINK \l "_Toc15785" </w:instrText>
          </w:r>
          <w:r>
            <w:fldChar w:fldCharType="separate"/>
          </w:r>
          <w:r>
            <w:rPr>
              <w:bCs/>
            </w:rPr>
            <w:t>7.6　Monitoring results and information feedback</w:t>
          </w:r>
          <w:r>
            <w:tab/>
          </w:r>
          <w:r>
            <w:t>（</w:t>
          </w:r>
          <w:r>
            <w:fldChar w:fldCharType="begin"/>
          </w:r>
          <w:r>
            <w:instrText xml:space="preserve"> PAGEREF _Toc15785 \h </w:instrText>
          </w:r>
          <w:r>
            <w:fldChar w:fldCharType="separate"/>
          </w:r>
          <w:r>
            <w:t>81</w:t>
          </w:r>
          <w:r>
            <w:fldChar w:fldCharType="end"/>
          </w:r>
          <w:r>
            <w:fldChar w:fldCharType="end"/>
          </w:r>
          <w:r>
            <w:t>）</w:t>
          </w:r>
        </w:p>
        <w:p w14:paraId="5AAEF05B">
          <w:pPr>
            <w:pStyle w:val="10"/>
            <w:tabs>
              <w:tab w:val="right" w:leader="dot" w:pos="8504"/>
            </w:tabs>
          </w:pPr>
          <w:r>
            <w:fldChar w:fldCharType="begin"/>
          </w:r>
          <w:r>
            <w:instrText xml:space="preserve"> HYPERLINK \l "_Toc9001" </w:instrText>
          </w:r>
          <w:r>
            <w:fldChar w:fldCharType="separate"/>
          </w:r>
          <w:r>
            <w:rPr>
              <w:bCs/>
            </w:rPr>
            <w:t>8　</w:t>
          </w:r>
          <w:r>
            <w:rPr>
              <w:color w:val="111111"/>
              <w:shd w:val="clear" w:color="auto" w:fill="F7F7F7"/>
            </w:rPr>
            <w:t>Geotechnical inspection and testing</w:t>
          </w:r>
          <w:r>
            <w:tab/>
          </w:r>
          <w:r>
            <w:t>（</w:t>
          </w:r>
          <w:r>
            <w:fldChar w:fldCharType="begin"/>
          </w:r>
          <w:r>
            <w:instrText xml:space="preserve"> PAGEREF _Toc9001 \h </w:instrText>
          </w:r>
          <w:r>
            <w:fldChar w:fldCharType="separate"/>
          </w:r>
          <w:r>
            <w:t>83</w:t>
          </w:r>
          <w:r>
            <w:fldChar w:fldCharType="end"/>
          </w:r>
          <w:r>
            <w:fldChar w:fldCharType="end"/>
          </w:r>
          <w:r>
            <w:t>）</w:t>
          </w:r>
        </w:p>
        <w:p w14:paraId="1D61CF3A">
          <w:pPr>
            <w:pStyle w:val="11"/>
            <w:tabs>
              <w:tab w:val="right" w:leader="dot" w:pos="8504"/>
            </w:tabs>
            <w:ind w:left="480"/>
          </w:pPr>
          <w:r>
            <w:fldChar w:fldCharType="begin"/>
          </w:r>
          <w:r>
            <w:instrText xml:space="preserve"> HYPERLINK \l "_Toc27185" </w:instrText>
          </w:r>
          <w:r>
            <w:fldChar w:fldCharType="separate"/>
          </w:r>
          <w:r>
            <w:rPr>
              <w:bCs/>
            </w:rPr>
            <w:t>8.1　General requirements</w:t>
          </w:r>
          <w:r>
            <w:tab/>
          </w:r>
          <w:r>
            <w:t>（</w:t>
          </w:r>
          <w:r>
            <w:fldChar w:fldCharType="begin"/>
          </w:r>
          <w:r>
            <w:instrText xml:space="preserve"> PAGEREF _Toc27185 \h </w:instrText>
          </w:r>
          <w:r>
            <w:fldChar w:fldCharType="separate"/>
          </w:r>
          <w:r>
            <w:t>83</w:t>
          </w:r>
          <w:r>
            <w:fldChar w:fldCharType="end"/>
          </w:r>
          <w:r>
            <w:fldChar w:fldCharType="end"/>
          </w:r>
          <w:r>
            <w:t>）</w:t>
          </w:r>
        </w:p>
        <w:p w14:paraId="6BA13918">
          <w:pPr>
            <w:pStyle w:val="11"/>
            <w:tabs>
              <w:tab w:val="right" w:leader="dot" w:pos="8504"/>
            </w:tabs>
            <w:ind w:left="480"/>
          </w:pPr>
          <w:r>
            <w:fldChar w:fldCharType="begin"/>
          </w:r>
          <w:r>
            <w:instrText xml:space="preserve"> HYPERLINK \l "_Toc13424" </w:instrText>
          </w:r>
          <w:r>
            <w:fldChar w:fldCharType="separate"/>
          </w:r>
          <w:r>
            <w:rPr>
              <w:bCs/>
            </w:rPr>
            <w:t>8.2　</w:t>
          </w:r>
          <w:r>
            <w:rPr>
              <w:color w:val="111111"/>
            </w:rPr>
            <w:t>Foundation inspection and testing</w:t>
          </w:r>
          <w:r>
            <w:t>（</w:t>
          </w:r>
          <w:r>
            <w:fldChar w:fldCharType="begin"/>
          </w:r>
          <w:r>
            <w:instrText xml:space="preserve"> PAGEREF _Toc13424 \h </w:instrText>
          </w:r>
          <w:r>
            <w:fldChar w:fldCharType="separate"/>
          </w:r>
          <w:r>
            <w:t>84</w:t>
          </w:r>
          <w:r>
            <w:fldChar w:fldCharType="end"/>
          </w:r>
          <w:r>
            <w:fldChar w:fldCharType="end"/>
          </w:r>
          <w:r>
            <w:t>）</w:t>
          </w:r>
        </w:p>
        <w:p w14:paraId="4DFBA784">
          <w:pPr>
            <w:pStyle w:val="11"/>
            <w:tabs>
              <w:tab w:val="right" w:leader="dot" w:pos="8504"/>
            </w:tabs>
            <w:ind w:left="480"/>
          </w:pPr>
          <w:r>
            <w:fldChar w:fldCharType="begin"/>
          </w:r>
          <w:r>
            <w:instrText xml:space="preserve"> HYPERLINK \l "_Toc9696" </w:instrText>
          </w:r>
          <w:r>
            <w:fldChar w:fldCharType="separate"/>
          </w:r>
          <w:r>
            <w:rPr>
              <w:bCs/>
            </w:rPr>
            <w:t>8.3　</w:t>
          </w:r>
          <w:r>
            <w:rPr>
              <w:color w:val="111111"/>
              <w:shd w:val="clear" w:color="auto" w:fill="F7F7F7"/>
            </w:rPr>
            <w:t>Inspection and testing of support system</w:t>
          </w:r>
          <w:r>
            <w:tab/>
          </w:r>
          <w:r>
            <w:t>（</w:t>
          </w:r>
          <w:r>
            <w:fldChar w:fldCharType="begin"/>
          </w:r>
          <w:r>
            <w:instrText xml:space="preserve"> PAGEREF _Toc9696 \h </w:instrText>
          </w:r>
          <w:r>
            <w:fldChar w:fldCharType="separate"/>
          </w:r>
          <w:r>
            <w:t>85</w:t>
          </w:r>
          <w:r>
            <w:fldChar w:fldCharType="end"/>
          </w:r>
          <w:r>
            <w:fldChar w:fldCharType="end"/>
          </w:r>
          <w:r>
            <w:t>）</w:t>
          </w:r>
        </w:p>
        <w:p w14:paraId="576BC80E">
          <w:pPr>
            <w:pStyle w:val="10"/>
            <w:tabs>
              <w:tab w:val="right" w:leader="dot" w:pos="8504"/>
            </w:tabs>
            <w:ind w:left="2033" w:leftChars="249" w:hanging="1435" w:hangingChars="598"/>
          </w:pPr>
          <w:r>
            <w:fldChar w:fldCharType="begin"/>
          </w:r>
          <w:r>
            <w:instrText xml:space="preserve"> HYPERLINK \l "_Toc5749" </w:instrText>
          </w:r>
          <w:r>
            <w:fldChar w:fldCharType="separate"/>
          </w:r>
          <w:r>
            <w:t>Appendix A</w:t>
          </w:r>
          <w:r>
            <w:rPr>
              <w:bCs/>
              <w:lang w:val="zh-CN"/>
            </w:rPr>
            <w:t>　</w:t>
          </w:r>
          <w:r>
            <w:rPr>
              <w:bCs/>
              <w:spacing w:val="-6"/>
            </w:rPr>
            <w:t>Division and project code of the division</w:t>
          </w:r>
          <w:r>
            <w:rPr>
              <w:bCs/>
            </w:rPr>
            <w:br w:type="textWrapping"/>
          </w:r>
          <w:r>
            <w:rPr>
              <w:bCs/>
              <w:spacing w:val="-6"/>
            </w:rPr>
            <w:t>and subdivision engineering</w:t>
          </w:r>
          <w:r>
            <w:tab/>
          </w:r>
          <w:r>
            <w:t>（</w:t>
          </w:r>
          <w:r>
            <w:fldChar w:fldCharType="begin"/>
          </w:r>
          <w:r>
            <w:instrText xml:space="preserve"> PAGEREF _Toc5749 \h </w:instrText>
          </w:r>
          <w:r>
            <w:fldChar w:fldCharType="separate"/>
          </w:r>
          <w:r>
            <w:t>88</w:t>
          </w:r>
          <w:r>
            <w:fldChar w:fldCharType="end"/>
          </w:r>
          <w:r>
            <w:fldChar w:fldCharType="end"/>
          </w:r>
          <w:r>
            <w:t>）</w:t>
          </w:r>
        </w:p>
        <w:p w14:paraId="17941B93">
          <w:pPr>
            <w:pStyle w:val="10"/>
            <w:tabs>
              <w:tab w:val="right" w:leader="dot" w:pos="8504"/>
            </w:tabs>
          </w:pPr>
          <w:r>
            <w:fldChar w:fldCharType="begin"/>
          </w:r>
          <w:r>
            <w:instrText xml:space="preserve"> HYPERLINK \l "_Toc5561" </w:instrText>
          </w:r>
          <w:r>
            <w:fldChar w:fldCharType="separate"/>
          </w:r>
          <w:r>
            <w:fldChar w:fldCharType="end"/>
          </w:r>
          <w:r>
            <w:fldChar w:fldCharType="begin"/>
          </w:r>
          <w:r>
            <w:instrText xml:space="preserve"> HYPERLINK \l "_Toc2311" </w:instrText>
          </w:r>
          <w:r>
            <w:fldChar w:fldCharType="separate"/>
          </w:r>
          <w:r>
            <w:t>Appendix B</w:t>
          </w:r>
          <w:r>
            <w:rPr>
              <w:bCs/>
              <w:lang w:val="zh-CN"/>
            </w:rPr>
            <w:t>　</w:t>
          </w:r>
          <w:r>
            <w:rPr>
              <w:bCs/>
            </w:rPr>
            <w:t>Permeability stability check</w:t>
          </w:r>
          <w:r>
            <w:tab/>
          </w:r>
          <w:r>
            <w:t>（</w:t>
          </w:r>
          <w:r>
            <w:fldChar w:fldCharType="begin"/>
          </w:r>
          <w:r>
            <w:instrText xml:space="preserve"> PAGEREF _Toc2311 \h </w:instrText>
          </w:r>
          <w:r>
            <w:fldChar w:fldCharType="separate"/>
          </w:r>
          <w:r>
            <w:t>89</w:t>
          </w:r>
          <w:r>
            <w:fldChar w:fldCharType="end"/>
          </w:r>
          <w:r>
            <w:fldChar w:fldCharType="end"/>
          </w:r>
          <w:r>
            <w:t>）</w:t>
          </w:r>
        </w:p>
        <w:p w14:paraId="4953270A">
          <w:pPr>
            <w:pStyle w:val="10"/>
            <w:tabs>
              <w:tab w:val="right" w:leader="dot" w:pos="8504"/>
            </w:tabs>
            <w:ind w:left="2033" w:leftChars="249" w:hanging="1435" w:hangingChars="598"/>
          </w:pPr>
          <w:r>
            <w:fldChar w:fldCharType="begin"/>
          </w:r>
          <w:r>
            <w:instrText xml:space="preserve"> HYPERLINK \l "_Toc27994" </w:instrText>
          </w:r>
          <w:r>
            <w:fldChar w:fldCharType="separate"/>
          </w:r>
          <w:r>
            <w:t>Appendix C</w:t>
          </w:r>
          <w:r>
            <w:rPr>
              <w:bCs/>
              <w:lang w:val="zh-CN"/>
            </w:rPr>
            <w:t>　</w:t>
          </w:r>
          <w:r>
            <w:rPr>
              <w:bCs/>
            </w:rPr>
            <w:t xml:space="preserve">Supervision Record of H-shaped </w:t>
          </w:r>
          <w:r>
            <w:rPr>
              <w:bCs/>
            </w:rPr>
            <w:br w:type="textWrapping"/>
          </w:r>
          <w:r>
            <w:rPr>
              <w:bCs/>
            </w:rPr>
            <w:t>Steel</w:t>
          </w:r>
          <w:r>
            <w:tab/>
          </w:r>
          <w:r>
            <w:t>（</w:t>
          </w:r>
          <w:r>
            <w:fldChar w:fldCharType="begin"/>
          </w:r>
          <w:r>
            <w:instrText xml:space="preserve"> PAGEREF _Toc27994 \h </w:instrText>
          </w:r>
          <w:r>
            <w:fldChar w:fldCharType="separate"/>
          </w:r>
          <w:r>
            <w:t>91</w:t>
          </w:r>
          <w:r>
            <w:fldChar w:fldCharType="end"/>
          </w:r>
          <w:r>
            <w:fldChar w:fldCharType="end"/>
          </w:r>
          <w:r>
            <w:t>）</w:t>
          </w:r>
        </w:p>
        <w:p w14:paraId="6B17CEDC">
          <w:pPr>
            <w:pStyle w:val="10"/>
            <w:tabs>
              <w:tab w:val="right" w:leader="dot" w:pos="8504"/>
            </w:tabs>
            <w:ind w:left="2033" w:leftChars="249" w:hanging="1435" w:hangingChars="598"/>
          </w:pPr>
          <w:r>
            <w:fldChar w:fldCharType="begin"/>
          </w:r>
          <w:r>
            <w:instrText xml:space="preserve"> HYPERLINK \l "_Toc17142" </w:instrText>
          </w:r>
          <w:r>
            <w:fldChar w:fldCharType="separate"/>
          </w:r>
          <w:r>
            <w:t>Appendix D</w:t>
          </w:r>
          <w:r>
            <w:rPr>
              <w:bCs/>
              <w:lang w:val="zh-CN"/>
            </w:rPr>
            <w:t>　</w:t>
          </w:r>
          <w:r>
            <w:rPr>
              <w:bCs/>
            </w:rPr>
            <w:t xml:space="preserve">Monitoring alarm value of foundation </w:t>
          </w:r>
          <w:r>
            <w:rPr>
              <w:bCs/>
            </w:rPr>
            <w:br w:type="textWrapping"/>
          </w:r>
          <w:r>
            <w:rPr>
              <w:bCs/>
            </w:rPr>
            <w:t>pit and supporting structure</w:t>
          </w:r>
          <w:r>
            <w:tab/>
          </w:r>
          <w:r>
            <w:t>（</w:t>
          </w:r>
          <w:r>
            <w:fldChar w:fldCharType="begin"/>
          </w:r>
          <w:r>
            <w:instrText xml:space="preserve"> PAGEREF _Toc17142 \h </w:instrText>
          </w:r>
          <w:r>
            <w:fldChar w:fldCharType="separate"/>
          </w:r>
          <w:r>
            <w:t>92</w:t>
          </w:r>
          <w:r>
            <w:fldChar w:fldCharType="end"/>
          </w:r>
          <w:r>
            <w:fldChar w:fldCharType="end"/>
          </w:r>
          <w:r>
            <w:t>）</w:t>
          </w:r>
        </w:p>
        <w:p w14:paraId="1377EB09">
          <w:pPr>
            <w:pStyle w:val="10"/>
            <w:tabs>
              <w:tab w:val="right" w:leader="dot" w:pos="8504"/>
            </w:tabs>
          </w:pPr>
          <w:r>
            <w:fldChar w:fldCharType="begin"/>
          </w:r>
          <w:r>
            <w:instrText xml:space="preserve"> HYPERLINK \l "_Toc19924" </w:instrText>
          </w:r>
          <w:r>
            <w:fldChar w:fldCharType="separate"/>
          </w:r>
          <w:r>
            <w:rPr>
              <w:bCs/>
            </w:rPr>
            <w:t>Explanation of wording</w:t>
          </w:r>
          <w:r>
            <w:tab/>
          </w:r>
          <w:r>
            <w:t>（</w:t>
          </w:r>
          <w:r>
            <w:fldChar w:fldCharType="begin"/>
          </w:r>
          <w:r>
            <w:instrText xml:space="preserve"> PAGEREF _Toc19924 \h </w:instrText>
          </w:r>
          <w:r>
            <w:fldChar w:fldCharType="separate"/>
          </w:r>
          <w:r>
            <w:t>94</w:t>
          </w:r>
          <w:r>
            <w:fldChar w:fldCharType="end"/>
          </w:r>
          <w:r>
            <w:fldChar w:fldCharType="end"/>
          </w:r>
          <w:r>
            <w:t>）</w:t>
          </w:r>
        </w:p>
        <w:p w14:paraId="710BC672">
          <w:pPr>
            <w:pStyle w:val="10"/>
            <w:tabs>
              <w:tab w:val="right" w:leader="dot" w:pos="8504"/>
            </w:tabs>
          </w:pPr>
          <w:r>
            <w:fldChar w:fldCharType="begin"/>
          </w:r>
          <w:r>
            <w:instrText xml:space="preserve"> HYPERLINK \l "_Toc9350" </w:instrText>
          </w:r>
          <w:r>
            <w:fldChar w:fldCharType="separate"/>
          </w:r>
          <w:r>
            <w:rPr>
              <w:bCs/>
            </w:rPr>
            <w:t>List of quoted standards</w:t>
          </w:r>
          <w:r>
            <w:tab/>
          </w:r>
          <w:r>
            <w:t>（</w:t>
          </w:r>
          <w:r>
            <w:fldChar w:fldCharType="begin"/>
          </w:r>
          <w:r>
            <w:instrText xml:space="preserve"> PAGEREF _Toc9350 \h </w:instrText>
          </w:r>
          <w:r>
            <w:fldChar w:fldCharType="separate"/>
          </w:r>
          <w:r>
            <w:t>95</w:t>
          </w:r>
          <w:r>
            <w:fldChar w:fldCharType="end"/>
          </w:r>
          <w:r>
            <w:fldChar w:fldCharType="end"/>
          </w:r>
          <w:r>
            <w:t>）</w:t>
          </w:r>
        </w:p>
        <w:p w14:paraId="3FFA2B6B">
          <w:pPr>
            <w:pStyle w:val="11"/>
            <w:tabs>
              <w:tab w:val="right" w:leader="dot" w:pos="8504"/>
            </w:tabs>
            <w:ind w:left="0" w:leftChars="0" w:firstLine="480" w:firstLineChars="200"/>
          </w:pPr>
          <w:r>
            <w:fldChar w:fldCharType="begin"/>
          </w:r>
          <w:r>
            <w:instrText xml:space="preserve"> HYPERLINK \l "_Toc22591" </w:instrText>
          </w:r>
          <w:r>
            <w:fldChar w:fldCharType="separate"/>
          </w:r>
          <w:r>
            <w:fldChar w:fldCharType="end"/>
          </w:r>
          <w:r>
            <w:fldChar w:fldCharType="begin"/>
          </w:r>
          <w:r>
            <w:instrText xml:space="preserve"> HYPERLINK \l "_Toc30290" </w:instrText>
          </w:r>
          <w:r>
            <w:fldChar w:fldCharType="separate"/>
          </w:r>
          <w:r>
            <w:rPr>
              <w:bCs/>
            </w:rPr>
            <w:t>Attached: Explanation of the provisions</w:t>
          </w:r>
          <w:r>
            <w:rPr>
              <w:bCs/>
            </w:rPr>
            <w:tab/>
          </w:r>
          <w:r>
            <w:rPr>
              <w:bCs/>
            </w:rPr>
            <w:t>（</w:t>
          </w:r>
          <w:r>
            <w:rPr>
              <w:bCs/>
            </w:rPr>
            <w:fldChar w:fldCharType="begin"/>
          </w:r>
          <w:r>
            <w:rPr>
              <w:bCs/>
            </w:rPr>
            <w:instrText xml:space="preserve"> PAGEREF _Toc30290 \h </w:instrText>
          </w:r>
          <w:r>
            <w:rPr>
              <w:bCs/>
            </w:rPr>
            <w:fldChar w:fldCharType="separate"/>
          </w:r>
          <w:r>
            <w:rPr>
              <w:bCs/>
            </w:rPr>
            <w:t>98</w:t>
          </w:r>
          <w:r>
            <w:rPr>
              <w:bCs/>
            </w:rPr>
            <w:fldChar w:fldCharType="end"/>
          </w:r>
          <w:r>
            <w:rPr>
              <w:bCs/>
            </w:rPr>
            <w:fldChar w:fldCharType="end"/>
          </w:r>
          <w:r>
            <w:t>）</w:t>
          </w:r>
        </w:p>
        <w:p w14:paraId="3B891D0D">
          <w:pPr>
            <w:snapToGrid w:val="0"/>
            <w:ind w:firstLine="0"/>
          </w:pPr>
          <w:r>
            <w:fldChar w:fldCharType="end"/>
          </w:r>
        </w:p>
      </w:sdtContent>
    </w:sdt>
    <w:p w14:paraId="2ED9E479">
      <w:pPr>
        <w:rPr>
          <w:szCs w:val="30"/>
        </w:rPr>
      </w:pPr>
    </w:p>
    <w:p w14:paraId="73CF3CCB">
      <w:pPr>
        <w:pStyle w:val="19"/>
        <w:widowControl w:val="0"/>
        <w:spacing w:before="164" w:after="164"/>
        <w:jc w:val="center"/>
        <w:outlineLvl w:val="0"/>
        <w:rPr>
          <w:rFonts w:ascii="Times New Roman" w:eastAsia="宋体"/>
          <w:sz w:val="30"/>
          <w:szCs w:val="30"/>
        </w:rPr>
        <w:sectPr>
          <w:footerReference r:id="rId7" w:type="default"/>
          <w:pgSz w:w="11906" w:h="16838"/>
          <w:pgMar w:top="1984" w:right="1701" w:bottom="1701" w:left="1701" w:header="1701" w:footer="1474" w:gutter="0"/>
          <w:pgNumType w:start="1"/>
          <w:cols w:space="0" w:num="1"/>
          <w:docGrid w:type="lines" w:linePitch="328" w:charSpace="0"/>
        </w:sectPr>
      </w:pPr>
    </w:p>
    <w:p w14:paraId="6DF9F960"/>
    <w:p w14:paraId="4E177173">
      <w:pPr>
        <w:pStyle w:val="19"/>
        <w:widowControl w:val="0"/>
        <w:spacing w:before="328" w:beforeLines="100" w:after="328" w:afterLines="100" w:line="360" w:lineRule="auto"/>
        <w:jc w:val="center"/>
        <w:outlineLvl w:val="0"/>
        <w:rPr>
          <w:rFonts w:ascii="Times New Roman" w:eastAsia="宋体"/>
          <w:b/>
          <w:sz w:val="32"/>
        </w:rPr>
      </w:pPr>
      <w:bookmarkStart w:id="56" w:name="_Toc17335"/>
      <w:bookmarkStart w:id="57" w:name="_Toc16378"/>
      <w:bookmarkStart w:id="58" w:name="_Toc24280"/>
      <w:bookmarkStart w:id="59" w:name="_Toc22496"/>
      <w:bookmarkStart w:id="60" w:name="_Toc21983"/>
      <w:bookmarkStart w:id="61" w:name="_Toc2332"/>
      <w:bookmarkStart w:id="62" w:name="_Toc22929"/>
      <w:bookmarkStart w:id="63" w:name="_Toc193392062"/>
      <w:bookmarkStart w:id="64" w:name="_Toc16195"/>
      <w:bookmarkStart w:id="65" w:name="_Toc8416"/>
      <w:bookmarkStart w:id="66" w:name="_Toc1899"/>
      <w:bookmarkStart w:id="67" w:name="_Toc8074"/>
      <w:r>
        <w:rPr>
          <w:rFonts w:ascii="Times New Roman" w:eastAsia="宋体"/>
          <w:b/>
          <w:sz w:val="32"/>
        </w:rPr>
        <w:t>1　总　　则</w:t>
      </w:r>
      <w:bookmarkEnd w:id="56"/>
      <w:bookmarkEnd w:id="57"/>
      <w:bookmarkEnd w:id="58"/>
      <w:bookmarkEnd w:id="59"/>
      <w:bookmarkEnd w:id="60"/>
      <w:bookmarkEnd w:id="61"/>
      <w:bookmarkEnd w:id="62"/>
      <w:bookmarkEnd w:id="63"/>
      <w:bookmarkEnd w:id="64"/>
      <w:bookmarkEnd w:id="65"/>
      <w:bookmarkEnd w:id="66"/>
      <w:bookmarkEnd w:id="67"/>
    </w:p>
    <w:p w14:paraId="593AA95B">
      <w:pPr>
        <w:pStyle w:val="20"/>
        <w:widowControl w:val="0"/>
        <w:ind w:firstLine="0" w:firstLineChars="0"/>
        <w:jc w:val="center"/>
        <w:rPr>
          <w:rFonts w:ascii="Times New Roman"/>
          <w:b/>
          <w:bCs/>
          <w:szCs w:val="21"/>
        </w:rPr>
      </w:pPr>
    </w:p>
    <w:p w14:paraId="36F8C880">
      <w:pPr>
        <w:ind w:firstLine="0"/>
      </w:pPr>
      <w:r>
        <w:rPr>
          <w:b/>
          <w:bCs/>
        </w:rPr>
        <w:t>1.0.1　</w:t>
      </w:r>
      <w:r>
        <w:t>为在城市综合管廊岩土工程勘察、设计及施工中贯彻执行国家有关技术经济政策，做到安全可靠、技术先进、经济合理、确保质量和保护环境，制定本规程。</w:t>
      </w:r>
    </w:p>
    <w:p w14:paraId="6ED6CA75">
      <w:pPr>
        <w:ind w:firstLine="0"/>
      </w:pPr>
      <w:r>
        <w:rPr>
          <w:b/>
          <w:bCs/>
        </w:rPr>
        <w:t>1.0.2　</w:t>
      </w:r>
      <w:r>
        <w:t>本规程适用于新建、改建、扩建城市综合管廊工程明挖法施工及地基处理的岩土工程勘察、设计、施工、监测、检验与验收。</w:t>
      </w:r>
    </w:p>
    <w:p w14:paraId="315CA5EF">
      <w:pPr>
        <w:ind w:firstLine="0"/>
      </w:pPr>
      <w:r>
        <w:rPr>
          <w:b/>
          <w:bCs/>
        </w:rPr>
        <w:t>1.0.3　</w:t>
      </w:r>
      <w:r>
        <w:t>城市综合管廊工程应按基本建设程序进行岩土工程勘察，城市综合管廊工程岩土工程设计、施工，应根据岩土工程勘察资料，综合考虑综合管廊结构类型、材料性能、施工条件、环境条件、使用要求等因素，切实做到因地制宜、合理选型、优化设计、精心施工、严格监控。</w:t>
      </w:r>
    </w:p>
    <w:p w14:paraId="4F69E9AA">
      <w:pPr>
        <w:ind w:firstLine="0"/>
      </w:pPr>
      <w:r>
        <w:rPr>
          <w:b/>
          <w:bCs/>
        </w:rPr>
        <w:t>1.0.4　</w:t>
      </w:r>
      <w:r>
        <w:t>城市综合管廊岩土工程监测、检测方法的选择，应根据各种监测、检测方法的特点和适用范围，综合考虑设计和施工方案、地质条件等因素，因地制宜，综合确定；</w:t>
      </w:r>
    </w:p>
    <w:p w14:paraId="671C2D63">
      <w:pPr>
        <w:ind w:firstLine="0"/>
      </w:pPr>
      <w:r>
        <w:rPr>
          <w:b/>
          <w:bCs/>
        </w:rPr>
        <w:t>1.0.5　</w:t>
      </w:r>
      <w:r>
        <w:t>城市综合管廊岩土工程勘察、设计、施工、监测、检验与检测除应符合本规程的规定外，尚应符合国家现行有关标准和现行中国工程建设标准化协会有关标准的规定。</w:t>
      </w:r>
    </w:p>
    <w:p w14:paraId="656D9706">
      <w:pPr>
        <w:ind w:firstLine="0"/>
        <w:rPr>
          <w:rStyle w:val="21"/>
          <w:rFonts w:ascii="Times New Roman"/>
          <w:b/>
          <w:bCs/>
          <w:sz w:val="30"/>
          <w:szCs w:val="30"/>
        </w:rPr>
      </w:pPr>
      <w:bookmarkStart w:id="68" w:name="_Toc5919"/>
    </w:p>
    <w:p w14:paraId="5C296E6A">
      <w:pPr>
        <w:rPr>
          <w:b/>
          <w:bCs/>
          <w:sz w:val="21"/>
          <w:szCs w:val="21"/>
        </w:rPr>
      </w:pPr>
      <w:r>
        <w:rPr>
          <w:b/>
          <w:bCs/>
          <w:sz w:val="21"/>
          <w:szCs w:val="21"/>
        </w:rPr>
        <w:br w:type="page"/>
      </w:r>
    </w:p>
    <w:p w14:paraId="2AA590AB">
      <w:pPr>
        <w:pStyle w:val="19"/>
        <w:widowControl w:val="0"/>
        <w:spacing w:before="328" w:beforeLines="100" w:after="328" w:afterLines="100" w:line="360" w:lineRule="auto"/>
        <w:jc w:val="center"/>
        <w:outlineLvl w:val="0"/>
        <w:rPr>
          <w:rFonts w:ascii="Times New Roman" w:eastAsia="宋体"/>
          <w:b/>
          <w:sz w:val="32"/>
        </w:rPr>
      </w:pPr>
      <w:bookmarkStart w:id="69" w:name="_Toc21876"/>
      <w:bookmarkStart w:id="70" w:name="_Toc31175"/>
      <w:bookmarkStart w:id="71" w:name="_Toc193392063"/>
      <w:bookmarkStart w:id="72" w:name="_Toc31883"/>
      <w:bookmarkStart w:id="73" w:name="_Toc5142"/>
      <w:bookmarkStart w:id="74" w:name="_Toc7094"/>
      <w:bookmarkStart w:id="75" w:name="_Toc3555"/>
      <w:bookmarkStart w:id="76" w:name="_Toc28570"/>
      <w:bookmarkStart w:id="77" w:name="_Toc11062"/>
      <w:bookmarkStart w:id="78" w:name="_Toc23755"/>
      <w:bookmarkStart w:id="79" w:name="_Toc18818"/>
      <w:bookmarkStart w:id="80" w:name="_Toc11161"/>
      <w:r>
        <w:rPr>
          <w:rFonts w:ascii="Times New Roman" w:eastAsia="宋体"/>
          <w:b/>
          <w:sz w:val="32"/>
        </w:rPr>
        <w:t>2　术语和符号</w:t>
      </w:r>
      <w:bookmarkEnd w:id="69"/>
      <w:bookmarkEnd w:id="70"/>
      <w:bookmarkEnd w:id="71"/>
      <w:bookmarkEnd w:id="72"/>
      <w:bookmarkEnd w:id="73"/>
      <w:bookmarkEnd w:id="74"/>
      <w:bookmarkEnd w:id="75"/>
      <w:bookmarkEnd w:id="76"/>
      <w:bookmarkEnd w:id="77"/>
      <w:bookmarkEnd w:id="78"/>
      <w:bookmarkEnd w:id="79"/>
    </w:p>
    <w:bookmarkEnd w:id="68"/>
    <w:bookmarkEnd w:id="80"/>
    <w:p w14:paraId="5777EB4F">
      <w:pPr>
        <w:spacing w:before="328" w:beforeLines="100" w:after="328" w:afterLines="100" w:line="240" w:lineRule="auto"/>
        <w:ind w:firstLine="0"/>
        <w:jc w:val="center"/>
        <w:outlineLvl w:val="1"/>
        <w:rPr>
          <w:rFonts w:eastAsia="黑体"/>
        </w:rPr>
      </w:pPr>
      <w:bookmarkStart w:id="81" w:name="_Toc22460"/>
      <w:bookmarkStart w:id="82" w:name="_Toc19177"/>
      <w:bookmarkStart w:id="83" w:name="_Toc4978"/>
      <w:bookmarkStart w:id="84" w:name="_Toc31489"/>
      <w:bookmarkStart w:id="85" w:name="_Toc22908"/>
      <w:bookmarkStart w:id="86" w:name="_Toc193392064"/>
      <w:bookmarkStart w:id="87" w:name="_Toc23272"/>
      <w:bookmarkStart w:id="88" w:name="_Toc26075"/>
      <w:bookmarkStart w:id="89" w:name="_Toc8138"/>
      <w:bookmarkStart w:id="90" w:name="_Toc7027"/>
      <w:bookmarkStart w:id="91" w:name="_Toc26297"/>
      <w:bookmarkStart w:id="92" w:name="_Toc196"/>
      <w:r>
        <w:rPr>
          <w:rFonts w:eastAsia="黑体"/>
          <w:b/>
          <w:bCs/>
          <w:sz w:val="28"/>
          <w:szCs w:val="28"/>
        </w:rPr>
        <w:t>2.1　术语</w:t>
      </w:r>
      <w:bookmarkEnd w:id="81"/>
      <w:bookmarkEnd w:id="82"/>
      <w:bookmarkEnd w:id="83"/>
      <w:bookmarkEnd w:id="84"/>
      <w:bookmarkEnd w:id="85"/>
      <w:bookmarkEnd w:id="86"/>
      <w:bookmarkEnd w:id="87"/>
      <w:bookmarkEnd w:id="88"/>
      <w:bookmarkEnd w:id="89"/>
      <w:bookmarkEnd w:id="90"/>
      <w:bookmarkEnd w:id="91"/>
      <w:bookmarkEnd w:id="92"/>
    </w:p>
    <w:p w14:paraId="34E09DB7">
      <w:pPr>
        <w:ind w:firstLine="0"/>
        <w:rPr>
          <w:b/>
          <w:bCs/>
        </w:rPr>
      </w:pPr>
      <w:r>
        <w:rPr>
          <w:b/>
          <w:bCs/>
        </w:rPr>
        <w:t>2.1.1　</w:t>
      </w:r>
      <w:r>
        <w:t>综合管廊　　utility tunnel</w:t>
      </w:r>
    </w:p>
    <w:p w14:paraId="5DEFEDC0">
      <w:r>
        <w:t>建于城市地下</w:t>
      </w:r>
      <w:r>
        <w:rPr>
          <w:rFonts w:hint="eastAsia"/>
          <w:lang w:eastAsia="zh-CN"/>
        </w:rPr>
        <w:t>，</w:t>
      </w:r>
      <w:r>
        <w:t>用于容纳两类及以上城市工程管线的构筑物及附属设施。</w:t>
      </w:r>
    </w:p>
    <w:p w14:paraId="4DF01561">
      <w:pPr>
        <w:ind w:firstLine="0"/>
      </w:pPr>
      <w:r>
        <w:rPr>
          <w:b/>
          <w:bCs/>
        </w:rPr>
        <w:t>2.1.2　</w:t>
      </w:r>
      <w:r>
        <w:t>综合管廊岩土工程设计　　utility tunnel geotechnical design</w:t>
      </w:r>
    </w:p>
    <w:p w14:paraId="2F8B794C">
      <w:r>
        <w:t>根据综合管廊本体工程设计的要求，对综合管廊地基、基坑工程、土石方工程、地下水控制工程所需的技术、经济、资源、环境等条件进行综合分析、论证，编制岩土工程设计文件的活动。不包括管廊本体结构设计以及管廊本体的施工工法设计等相关内容。</w:t>
      </w:r>
    </w:p>
    <w:p w14:paraId="65369CD3">
      <w:pPr>
        <w:ind w:firstLine="0"/>
      </w:pPr>
      <w:r>
        <w:rPr>
          <w:b/>
          <w:bCs/>
        </w:rPr>
        <w:t>2.1.3　</w:t>
      </w:r>
      <w:r>
        <w:t>综合管廊岩土工程施工　　utility tunnel geotechnical construction</w:t>
      </w:r>
    </w:p>
    <w:p w14:paraId="3E1A616B">
      <w:r>
        <w:t>是综合管廊单位工程的子分部工程，主要包括综合管廊明挖段基坑支护工程施工、土石方工程施工、地下水控制施工，也包括管廊地基的地基处理施工等。</w:t>
      </w:r>
    </w:p>
    <w:p w14:paraId="5C66DC6C">
      <w:pPr>
        <w:ind w:firstLine="0"/>
      </w:pPr>
      <w:r>
        <w:rPr>
          <w:b/>
          <w:bCs/>
        </w:rPr>
        <w:t>2.1.4　</w:t>
      </w:r>
      <w:r>
        <w:t>明挖法　　</w:t>
      </w:r>
      <w:r>
        <w:rPr>
          <w:bCs/>
        </w:rPr>
        <w:t>cut and cover method</w:t>
      </w:r>
    </w:p>
    <w:p w14:paraId="59F46B60">
      <w:r>
        <w:t>利用预先施做的围护结构，由地面开挖基坑修筑城市综合管廊工程的方法。</w:t>
      </w:r>
    </w:p>
    <w:p w14:paraId="0A57DD41">
      <w:pPr>
        <w:ind w:firstLine="0"/>
      </w:pPr>
      <w:r>
        <w:rPr>
          <w:b/>
          <w:bCs/>
        </w:rPr>
        <w:t>2.1.5　</w:t>
      </w:r>
      <w:r>
        <w:t>渠式切割水泥土搅拌墙　　trench-cutting re-mixing deep wall（TRD）</w:t>
      </w:r>
    </w:p>
    <w:p w14:paraId="0686C595">
      <w:r>
        <w:t>通过主机带动竖向插入岩土层的链锯式切割箱横向移动、切割及灌注水泥浆，在槽内进行混合、搅拌、固结形成等厚度水泥土搅拌墙。</w:t>
      </w:r>
    </w:p>
    <w:p w14:paraId="2CAA84E3">
      <w:pPr>
        <w:ind w:firstLine="0"/>
      </w:pPr>
      <w:r>
        <w:rPr>
          <w:b/>
          <w:bCs/>
        </w:rPr>
        <w:t>2.1.6　</w:t>
      </w:r>
      <w:r>
        <w:t>铣削深搅水泥土搅拌墙　　cutter soil mixing deep wall（CSM）</w:t>
      </w:r>
    </w:p>
    <w:p w14:paraId="7CA58FCC">
      <w:r>
        <w:t>采用铣削式设备，在槽内通过铣轮钻进、提升、喷浆搅拌、固结形成等厚度水泥土搅拌墙。</w:t>
      </w:r>
    </w:p>
    <w:p w14:paraId="14A54733">
      <w:pPr>
        <w:ind w:firstLine="0"/>
        <w:rPr>
          <w:color w:val="auto"/>
        </w:rPr>
      </w:pPr>
      <w:r>
        <w:rPr>
          <w:b/>
          <w:bCs/>
        </w:rPr>
        <w:t>2.1.7　</w:t>
      </w:r>
      <w:r>
        <w:t>劲芯水泥土搅拌墙　　stell and</w:t>
      </w:r>
      <w:r>
        <w:rPr>
          <w:color w:val="auto"/>
        </w:rPr>
        <w:t xml:space="preserve"> cement soil mixing strong wall</w:t>
      </w:r>
    </w:p>
    <w:p w14:paraId="41E80EC4">
      <w:r>
        <w:t>在连续套接的三轴水泥土搅拌桩内或渠式切割水泥土搅拌墙内、铣削深搅水泥土搅拌墙内插入刚性型钢形成的复合挡土截水结构。</w:t>
      </w:r>
    </w:p>
    <w:p w14:paraId="564C9C06">
      <w:pPr>
        <w:ind w:firstLine="0"/>
      </w:pPr>
      <w:r>
        <w:rPr>
          <w:b/>
          <w:bCs/>
        </w:rPr>
        <w:t>2.1.8　</w:t>
      </w:r>
      <w:r>
        <w:t>咬合桩　　secant pile</w:t>
      </w:r>
    </w:p>
    <w:p w14:paraId="27FEB837">
      <w:r>
        <w:t>后施工的灌注桩与先施工的灌注桩相互搭接、相互切割形成的连续排桩墙。</w:t>
      </w:r>
    </w:p>
    <w:p w14:paraId="687FABDE">
      <w:pPr>
        <w:ind w:firstLine="0"/>
      </w:pPr>
      <w:r>
        <w:rPr>
          <w:b/>
          <w:bCs/>
        </w:rPr>
        <w:t>2.1.9　</w:t>
      </w:r>
      <w:r>
        <w:t>组合钢连续墙　　composite steel plate diaphragm wall</w:t>
      </w:r>
    </w:p>
    <w:p w14:paraId="1F0BC6DF">
      <w:pPr>
        <w:ind w:firstLine="480" w:firstLineChars="200"/>
      </w:pPr>
      <w:r>
        <w:t>由钢板桩与型钢或其他复合材料通过结构组合形成的兼具支护、承载、防渗功能的连续墙体结构。</w:t>
      </w:r>
    </w:p>
    <w:p w14:paraId="562021F4">
      <w:pPr>
        <w:widowControl/>
        <w:ind w:firstLine="0"/>
        <w:jc w:val="left"/>
        <w:rPr>
          <w:lang w:bidi="ar"/>
        </w:rPr>
      </w:pPr>
      <w:r>
        <w:rPr>
          <w:b/>
          <w:bCs/>
        </w:rPr>
        <w:t>2.1.10　</w:t>
      </w:r>
      <w:r>
        <w:rPr>
          <w:lang w:bidi="ar"/>
        </w:rPr>
        <w:t>轴力伺服混凝土支撑　　concerel support with axial force servo</w:t>
      </w:r>
    </w:p>
    <w:p w14:paraId="1F583014">
      <w:pPr>
        <w:widowControl/>
        <w:ind w:firstLine="480" w:firstLineChars="200"/>
        <w:jc w:val="left"/>
      </w:pPr>
      <w:r>
        <w:rPr>
          <w:lang w:bidi="ar"/>
        </w:rPr>
        <w:t>在基坑工程混凝土支撑体系中通过设置双围檩，利用轴力伺服系统对支撑轴力实施自动调控，以达到控制基坑变形目的的混凝土支撑。</w:t>
      </w:r>
    </w:p>
    <w:p w14:paraId="49F4461F">
      <w:pPr>
        <w:ind w:firstLine="0"/>
      </w:pPr>
      <w:r>
        <w:rPr>
          <w:b/>
          <w:bCs/>
        </w:rPr>
        <w:t>2.1.11　</w:t>
      </w:r>
      <w:r>
        <w:t>地下水控制　　groundwater control</w:t>
      </w:r>
    </w:p>
    <w:p w14:paraId="2EB9844E">
      <w:pPr>
        <w:ind w:firstLine="480" w:firstLineChars="200"/>
      </w:pPr>
      <w:r>
        <w:t>为保证支护结构、基坑开挖、地下结构的正常施工，控制和减少对基坑周边环境产生不利影响而采取的隔渗、降水、排水、回灌等工程措施的统称。</w:t>
      </w:r>
    </w:p>
    <w:p w14:paraId="068EE7D5">
      <w:pPr>
        <w:ind w:firstLine="0"/>
      </w:pPr>
      <w:r>
        <w:rPr>
          <w:b/>
          <w:bCs/>
        </w:rPr>
        <w:t>2.1.12　</w:t>
      </w:r>
      <w:r>
        <w:t>集水明排　　open pumping</w:t>
      </w:r>
    </w:p>
    <w:p w14:paraId="2A241B82">
      <w:r>
        <w:t>用排水沟、集水井、泄水管、输水管等组成的排水系统将地表水、渗漏水排泄至基坑外的方法。</w:t>
      </w:r>
    </w:p>
    <w:p w14:paraId="38207C60">
      <w:pPr>
        <w:ind w:firstLine="0"/>
      </w:pPr>
      <w:r>
        <w:rPr>
          <w:b/>
          <w:bCs/>
        </w:rPr>
        <w:t>2.1.13　</w:t>
      </w:r>
      <w:r>
        <w:t>管廊基坑监测　　monitoring measurement</w:t>
      </w:r>
    </w:p>
    <w:p w14:paraId="3B21E403">
      <w:r>
        <w:t>采用仪器量测、现场巡视或远程视频监控等手段和方法，长期、连续地采集和收集反映管廊基坑工程施工以及周边环境对象的安全状态、变化特征及其发展趋势的信息，并进行分析、反馈的活动。</w:t>
      </w:r>
    </w:p>
    <w:p w14:paraId="1A4D2F0D">
      <w:pPr>
        <w:ind w:firstLine="0"/>
      </w:pPr>
      <w:r>
        <w:rPr>
          <w:b/>
          <w:bCs/>
        </w:rPr>
        <w:t>2.1.14　</w:t>
      </w:r>
      <w:r>
        <w:t>监测频率　　frequency of monitoring</w:t>
      </w:r>
    </w:p>
    <w:p w14:paraId="501FE832">
      <w:r>
        <w:t>一定时间内对检测点实施监测的次数。</w:t>
      </w:r>
    </w:p>
    <w:p w14:paraId="4875DDDB">
      <w:pPr>
        <w:ind w:firstLine="0"/>
      </w:pPr>
      <w:r>
        <w:rPr>
          <w:b/>
          <w:bCs/>
        </w:rPr>
        <w:t>2.1.15　</w:t>
      </w:r>
      <w:r>
        <w:t>监测预警值　　forewarning value on monitoring</w:t>
      </w:r>
    </w:p>
    <w:p w14:paraId="5580799B">
      <w:r>
        <w:t>针对基坑和周边环境的保护要求，对监测项目设定的警戒值。</w:t>
      </w:r>
    </w:p>
    <w:p w14:paraId="33C1C3F7">
      <w:pPr>
        <w:ind w:firstLine="0"/>
      </w:pPr>
      <w:r>
        <w:rPr>
          <w:b/>
          <w:bCs/>
        </w:rPr>
        <w:t>2.1.16　</w:t>
      </w:r>
      <w:r>
        <w:t>监测控制值　　controlled value for monitoring</w:t>
      </w:r>
    </w:p>
    <w:p w14:paraId="5B4598F3">
      <w:pPr>
        <w:widowControl/>
        <w:jc w:val="left"/>
      </w:pPr>
      <w:r>
        <w:rPr>
          <w:lang w:bidi="ar"/>
        </w:rPr>
        <w:t>为满足综合管廊明挖段基坑支护结构安全及环境保护要求，控制监测对象的状态变化，针对各监测项目的监测数据变化量所设定的受力或变形的设计允许值的限值。</w:t>
      </w:r>
    </w:p>
    <w:p w14:paraId="10D7AE1E">
      <w:pPr>
        <w:ind w:firstLine="0"/>
      </w:pPr>
      <w:r>
        <w:rPr>
          <w:b/>
          <w:bCs/>
        </w:rPr>
        <w:t>2.1.17　</w:t>
      </w:r>
      <w:r>
        <w:t>地基检测　　foundation soil test</w:t>
      </w:r>
    </w:p>
    <w:p w14:paraId="0AF5853D">
      <w:r>
        <w:t>在现场采用一定的技术方法，对管廊地基性状、设计参数、地基处理的效果进行试验、测试、检验，以评价地基性状的活动。</w:t>
      </w:r>
    </w:p>
    <w:p w14:paraId="6EBBA0E9">
      <w:pPr>
        <w:spacing w:before="328" w:beforeLines="100" w:after="328" w:afterLines="100" w:line="240" w:lineRule="auto"/>
        <w:ind w:firstLine="0"/>
        <w:jc w:val="center"/>
        <w:outlineLvl w:val="1"/>
        <w:rPr>
          <w:rFonts w:eastAsia="黑体"/>
          <w:b/>
          <w:bCs/>
          <w:sz w:val="28"/>
          <w:szCs w:val="28"/>
        </w:rPr>
      </w:pPr>
      <w:bookmarkStart w:id="93" w:name="_Toc193392065"/>
      <w:bookmarkStart w:id="94" w:name="_Toc3834"/>
      <w:bookmarkStart w:id="95" w:name="_Toc5009"/>
      <w:bookmarkStart w:id="96" w:name="_Toc5378"/>
      <w:bookmarkStart w:id="97" w:name="_Toc19311"/>
      <w:bookmarkStart w:id="98" w:name="_Toc14881"/>
      <w:bookmarkStart w:id="99" w:name="_Toc13975"/>
      <w:bookmarkStart w:id="100" w:name="_Toc22278"/>
      <w:bookmarkStart w:id="101" w:name="_Toc7381"/>
      <w:r>
        <w:rPr>
          <w:rFonts w:eastAsia="黑体"/>
          <w:b/>
          <w:bCs/>
          <w:sz w:val="28"/>
          <w:szCs w:val="28"/>
        </w:rPr>
        <w:t>2.2　符号</w:t>
      </w:r>
      <w:bookmarkEnd w:id="93"/>
      <w:bookmarkEnd w:id="94"/>
      <w:bookmarkEnd w:id="95"/>
      <w:bookmarkEnd w:id="96"/>
      <w:bookmarkEnd w:id="97"/>
      <w:bookmarkEnd w:id="98"/>
      <w:bookmarkEnd w:id="99"/>
      <w:bookmarkEnd w:id="100"/>
      <w:bookmarkEnd w:id="101"/>
    </w:p>
    <w:p w14:paraId="616BFE6F">
      <w:pPr>
        <w:ind w:firstLine="0"/>
      </w:pPr>
      <w:r>
        <w:rPr>
          <w:b/>
          <w:bCs/>
        </w:rPr>
        <w:t>2.2.1　</w:t>
      </w:r>
      <w:r>
        <w:t>作用与作用效应：</w:t>
      </w:r>
    </w:p>
    <w:p w14:paraId="05F3EA37">
      <w:pPr>
        <w:pStyle w:val="22"/>
      </w:pPr>
      <m:oMath>
        <m:sSub>
          <m:sSubPr>
            <m:ctrlPr>
              <w:rPr>
                <w:rFonts w:ascii="Cambria Math" w:hAnsi="Cambria Math"/>
              </w:rPr>
            </m:ctrlPr>
          </m:sSubPr>
          <m:e>
            <m:r>
              <m:rPr/>
              <w:rPr>
                <w:rFonts w:ascii="Cambria Math" w:hAnsi="Cambria Math"/>
              </w:rPr>
              <m:t>E</m:t>
            </m:r>
            <m:ctrlPr>
              <w:rPr>
                <w:rFonts w:ascii="Cambria Math" w:hAnsi="Cambria Math"/>
              </w:rPr>
            </m:ctrlPr>
          </m:e>
          <m:sub>
            <m:r>
              <m:rPr>
                <m:nor/>
                <m:sty m:val="p"/>
              </m:rPr>
              <w:rPr>
                <w:b w:val="0"/>
                <w:i w:val="0"/>
              </w:rPr>
              <m:t>ak</m:t>
            </m:r>
            <m:ctrlPr>
              <w:rPr>
                <w:rFonts w:ascii="Cambria Math" w:hAnsi="Cambria Math"/>
              </w:rPr>
            </m:ctrlPr>
          </m:sub>
        </m:sSub>
      </m:oMath>
      <w:bookmarkStart w:id="102" w:name="_Hlk189835041"/>
      <w:r>
        <w:t>——</w:t>
      </w:r>
      <w:bookmarkEnd w:id="102"/>
      <w:r>
        <w:t>主动土压力标准值；</w:t>
      </w:r>
    </w:p>
    <w:p w14:paraId="77A60402">
      <w:pPr>
        <w:pStyle w:val="22"/>
      </w:pPr>
      <m:oMath>
        <m:sSub>
          <m:sSubPr>
            <m:ctrlPr>
              <w:rPr>
                <w:rFonts w:ascii="Cambria Math" w:hAnsi="Cambria Math"/>
              </w:rPr>
            </m:ctrlPr>
          </m:sSubPr>
          <m:e>
            <m:r>
              <m:rPr/>
              <w:rPr>
                <w:rFonts w:ascii="Cambria Math" w:hAnsi="Cambria Math"/>
              </w:rPr>
              <m:t>E</m:t>
            </m:r>
            <m:ctrlPr>
              <w:rPr>
                <w:rFonts w:ascii="Cambria Math" w:hAnsi="Cambria Math"/>
              </w:rPr>
            </m:ctrlPr>
          </m:e>
          <m:sub>
            <m:r>
              <m:rPr>
                <m:nor/>
                <m:sty m:val="p"/>
              </m:rPr>
              <w:rPr>
                <w:b w:val="0"/>
                <w:i w:val="0"/>
              </w:rPr>
              <m:t>pk</m:t>
            </m:r>
            <m:ctrlPr>
              <w:rPr>
                <w:rFonts w:ascii="Cambria Math" w:hAnsi="Cambria Math"/>
              </w:rPr>
            </m:ctrlPr>
          </m:sub>
        </m:sSub>
      </m:oMath>
      <w:r>
        <w:t>——被动土压力标准值；</w:t>
      </w:r>
    </w:p>
    <w:p w14:paraId="42ED132C">
      <w:pPr>
        <w:pStyle w:val="22"/>
      </w:pPr>
      <w:r>
        <w:t>N——轴向拉力或轴向压力设计值；</w:t>
      </w:r>
    </w:p>
    <w:p w14:paraId="79091D4D">
      <w:pPr>
        <w:pStyle w:val="22"/>
      </w:pPr>
      <m:oMath>
        <m:sSub>
          <m:sSubPr>
            <m:ctrlPr>
              <w:rPr>
                <w:rFonts w:ascii="Cambria Math" w:hAnsi="Cambria Math"/>
              </w:rPr>
            </m:ctrlPr>
          </m:sSubPr>
          <m:e>
            <m:r>
              <m:rPr/>
              <w:rPr>
                <w:rFonts w:ascii="Cambria Math" w:hAnsi="Cambria Math"/>
              </w:rPr>
              <m:t>N</m:t>
            </m:r>
            <m:ctrlPr>
              <w:rPr>
                <w:rFonts w:ascii="Cambria Math" w:hAnsi="Cambria Math"/>
              </w:rPr>
            </m:ctrlPr>
          </m:e>
          <m:sub>
            <m:r>
              <m:rPr/>
              <w:rPr>
                <w:rFonts w:ascii="Cambria Math" w:hAnsi="Cambria Math"/>
              </w:rPr>
              <m:t>t</m:t>
            </m:r>
            <m:ctrlPr>
              <w:rPr>
                <w:rFonts w:ascii="Cambria Math" w:hAnsi="Cambria Math"/>
              </w:rPr>
            </m:ctrlPr>
          </m:sub>
        </m:sSub>
      </m:oMath>
      <w:r>
        <w:t>——作用标准组合的轴向拉力值或轴向压力值；</w:t>
      </w:r>
    </w:p>
    <w:p w14:paraId="56B9C594">
      <w:pPr>
        <w:pStyle w:val="22"/>
      </w:pPr>
      <m:oMath>
        <m:sSub>
          <m:sSubPr>
            <m:ctrlPr>
              <w:rPr>
                <w:rFonts w:ascii="Cambria Math" w:hAnsi="Cambria Math"/>
              </w:rPr>
            </m:ctrlPr>
          </m:sSubPr>
          <m:e>
            <m:r>
              <m:rPr/>
              <w:rPr>
                <w:rFonts w:ascii="Cambria Math" w:hAnsi="Cambria Math"/>
              </w:rPr>
              <m:t>p</m:t>
            </m:r>
            <m:ctrlPr>
              <w:rPr>
                <w:rFonts w:ascii="Cambria Math" w:hAnsi="Cambria Math"/>
              </w:rPr>
            </m:ctrlPr>
          </m:e>
          <m:sub>
            <m:r>
              <m:rPr>
                <m:nor/>
                <m:sty m:val="p"/>
              </m:rPr>
              <w:rPr>
                <w:b w:val="0"/>
                <w:i w:val="0"/>
              </w:rPr>
              <m:t>ak</m:t>
            </m:r>
            <m:ctrlPr>
              <w:rPr>
                <w:rFonts w:ascii="Cambria Math" w:hAnsi="Cambria Math"/>
              </w:rPr>
            </m:ctrlPr>
          </m:sub>
        </m:sSub>
      </m:oMath>
      <w:r>
        <w:t>——主动土压力强度标准值；</w:t>
      </w:r>
    </w:p>
    <w:p w14:paraId="7BDBECB3">
      <w:pPr>
        <w:pStyle w:val="22"/>
      </w:pPr>
      <m:oMath>
        <m:sSub>
          <m:sSubPr>
            <m:ctrlPr>
              <w:rPr>
                <w:rFonts w:ascii="Cambria Math" w:hAnsi="Cambria Math"/>
              </w:rPr>
            </m:ctrlPr>
          </m:sSubPr>
          <m:e>
            <m:r>
              <m:rPr/>
              <w:rPr>
                <w:rFonts w:ascii="Cambria Math" w:hAnsi="Cambria Math"/>
              </w:rPr>
              <m:t>p</m:t>
            </m:r>
            <m:ctrlPr>
              <w:rPr>
                <w:rFonts w:ascii="Cambria Math" w:hAnsi="Cambria Math"/>
              </w:rPr>
            </m:ctrlPr>
          </m:e>
          <m:sub>
            <m:r>
              <m:rPr>
                <m:nor/>
                <m:sty m:val="p"/>
              </m:rPr>
              <w:rPr>
                <w:b w:val="0"/>
                <w:i w:val="0"/>
              </w:rPr>
              <m:t>pk</m:t>
            </m:r>
            <m:ctrlPr>
              <w:rPr>
                <w:rFonts w:ascii="Cambria Math" w:hAnsi="Cambria Math"/>
              </w:rPr>
            </m:ctrlPr>
          </m:sub>
        </m:sSub>
      </m:oMath>
      <w:r>
        <w:t>——被动土压力强度标准值；</w:t>
      </w:r>
    </w:p>
    <w:p w14:paraId="3E83A7A9">
      <w:pPr>
        <w:pStyle w:val="22"/>
      </w:pPr>
      <m:oMath>
        <m:sSub>
          <m:sSubPr>
            <m:ctrlPr>
              <w:rPr>
                <w:rFonts w:ascii="Cambria Math" w:hAnsi="Cambria Math"/>
              </w:rPr>
            </m:ctrlPr>
          </m:sSubPr>
          <m:e>
            <m:r>
              <m:rPr/>
              <w:rPr>
                <w:rFonts w:ascii="Cambria Math" w:hAnsi="Cambria Math"/>
              </w:rPr>
              <m:t>q</m:t>
            </m:r>
            <m:ctrlPr>
              <w:rPr>
                <w:rFonts w:ascii="Cambria Math" w:hAnsi="Cambria Math"/>
              </w:rPr>
            </m:ctrlPr>
          </m:e>
          <m:sub>
            <m:r>
              <m:rPr>
                <m:sty m:val="p"/>
              </m:rPr>
              <w:rPr>
                <w:rFonts w:ascii="Cambria Math" w:hAnsi="Cambria Math"/>
              </w:rPr>
              <m:t>0</m:t>
            </m:r>
            <m:ctrlPr>
              <w:rPr>
                <w:rFonts w:ascii="Cambria Math" w:hAnsi="Cambria Math"/>
              </w:rPr>
            </m:ctrlPr>
          </m:sub>
        </m:sSub>
      </m:oMath>
      <w:r>
        <w:t>——均布附加荷载标准值。</w:t>
      </w:r>
    </w:p>
    <w:p w14:paraId="71210FE5">
      <w:pPr>
        <w:ind w:firstLine="0"/>
      </w:pPr>
      <w:r>
        <w:rPr>
          <w:b/>
          <w:bCs/>
        </w:rPr>
        <w:t>2.2.2　</w:t>
      </w:r>
      <w:r>
        <w:t>材料性能和抗力：</w:t>
      </w:r>
    </w:p>
    <w:p w14:paraId="75ECD88F">
      <w:pPr>
        <w:pStyle w:val="22"/>
      </w:pPr>
      <m:oMath>
        <m:sSub>
          <m:sSubPr>
            <m:ctrlPr>
              <w:rPr>
                <w:rFonts w:ascii="Cambria Math" w:hAnsi="Cambria Math"/>
              </w:rPr>
            </m:ctrlPr>
          </m:sSubPr>
          <m:e>
            <m:r>
              <m:rPr/>
              <w:rPr>
                <w:rFonts w:ascii="Cambria Math" w:hAnsi="Cambria Math"/>
              </w:rPr>
              <m:t>c</m:t>
            </m:r>
            <m:ctrlPr>
              <w:rPr>
                <w:rFonts w:ascii="Cambria Math" w:hAnsi="Cambria Math"/>
              </w:rPr>
            </m:ctrlPr>
          </m:e>
          <m:sub>
            <m:r>
              <m:rPr>
                <m:nor/>
                <m:sty m:val="p"/>
              </m:rPr>
              <w:rPr>
                <w:b w:val="0"/>
                <w:i w:val="0"/>
              </w:rPr>
              <m:t>k</m:t>
            </m:r>
            <m:ctrlPr>
              <w:rPr>
                <w:rFonts w:ascii="Cambria Math" w:hAnsi="Cambria Math"/>
              </w:rPr>
            </m:ctrlPr>
          </m:sub>
        </m:sSub>
      </m:oMath>
      <w:r>
        <w:t>——土的黏聚力标准值；</w:t>
      </w:r>
    </w:p>
    <w:p w14:paraId="306BE218">
      <w:pPr>
        <w:pStyle w:val="22"/>
      </w:pPr>
      <m:oMath>
        <m:sSub>
          <m:sSubPr>
            <m:ctrlPr>
              <w:rPr>
                <w:rFonts w:ascii="Cambria Math" w:hAnsi="Cambria Math"/>
              </w:rPr>
            </m:ctrlPr>
          </m:sSubPr>
          <m:e>
            <m:r>
              <m:rPr/>
              <w:rPr>
                <w:rFonts w:ascii="Cambria Math" w:hAnsi="Cambria Math"/>
              </w:rPr>
              <m:t>f</m:t>
            </m:r>
            <m:ctrlPr>
              <w:rPr>
                <w:rFonts w:ascii="Cambria Math" w:hAnsi="Cambria Math"/>
              </w:rPr>
            </m:ctrlPr>
          </m:e>
          <m:sub>
            <m:r>
              <m:rPr>
                <m:nor/>
                <m:sty m:val="p"/>
              </m:rPr>
              <w:rPr>
                <w:b w:val="0"/>
                <w:i w:val="0"/>
              </w:rPr>
              <m:t>Pt</m:t>
            </m:r>
            <m:ctrlPr>
              <w:rPr>
                <w:rFonts w:ascii="Cambria Math" w:hAnsi="Cambria Math"/>
              </w:rPr>
            </m:ctrlPr>
          </m:sub>
        </m:sSub>
      </m:oMath>
      <w:r>
        <w:t>——钢筋、钢绞线强度设计值；</w:t>
      </w:r>
    </w:p>
    <w:p w14:paraId="372B983D">
      <w:pPr>
        <w:pStyle w:val="22"/>
      </w:pPr>
      <w:r>
        <w:t>k——渗透系数；</w:t>
      </w:r>
    </w:p>
    <w:p w14:paraId="184A5DDC">
      <w:pPr>
        <w:pStyle w:val="22"/>
      </w:pPr>
      <m:oMath>
        <m:sSub>
          <m:sSubPr>
            <m:ctrlPr>
              <w:rPr>
                <w:rFonts w:ascii="Cambria Math" w:hAnsi="Cambria Math"/>
              </w:rPr>
            </m:ctrlPr>
          </m:sSubPr>
          <m:e>
            <m:r>
              <m:rPr/>
              <w:rPr>
                <w:rFonts w:ascii="Cambria Math" w:hAnsi="Cambria Math"/>
              </w:rPr>
              <m:t>q</m:t>
            </m:r>
            <m:ctrlPr>
              <w:rPr>
                <w:rFonts w:ascii="Cambria Math" w:hAnsi="Cambria Math"/>
              </w:rPr>
            </m:ctrlPr>
          </m:e>
          <m:sub>
            <m:r>
              <m:rPr/>
              <w:rPr>
                <w:rFonts w:ascii="Cambria Math" w:hAnsi="Cambria Math"/>
              </w:rPr>
              <m:t>s</m:t>
            </m:r>
            <m:ctrlPr>
              <w:rPr>
                <w:rFonts w:ascii="Cambria Math" w:hAnsi="Cambria Math"/>
              </w:rPr>
            </m:ctrlPr>
          </m:sub>
        </m:sSub>
      </m:oMath>
      <w:r>
        <w:t>——土体与锚固体间黏结强度特征值；</w:t>
      </w:r>
    </w:p>
    <w:p w14:paraId="7B0A7C94">
      <w:pPr>
        <w:pStyle w:val="22"/>
      </w:pPr>
      <w:r>
        <w:t>R</w:t>
      </w:r>
      <w:r>
        <w:rPr>
          <w:vertAlign w:val="subscript"/>
        </w:rPr>
        <w:t>k</w:t>
      </w:r>
      <w:r>
        <w:t>——锚杆或土钉的极限抗拔承载力标准值；</w:t>
      </w:r>
    </w:p>
    <w:p w14:paraId="2243C0B9">
      <w:pPr>
        <w:pStyle w:val="22"/>
      </w:pPr>
      <m:oMath>
        <m:sSub>
          <m:sSubPr>
            <m:ctrlPr>
              <w:rPr>
                <w:rFonts w:ascii="Cambria Math" w:hAnsi="Cambria Math"/>
              </w:rPr>
            </m:ctrlPr>
          </m:sSubPr>
          <m:e>
            <m:r>
              <m:rPr/>
              <w:rPr>
                <w:rFonts w:ascii="Cambria Math" w:hAnsi="Cambria Math"/>
              </w:rPr>
              <m:t>φ</m:t>
            </m:r>
            <m:ctrlPr>
              <w:rPr>
                <w:rFonts w:ascii="Cambria Math" w:hAnsi="Cambria Math"/>
              </w:rPr>
            </m:ctrlPr>
          </m:e>
          <m:sub>
            <m:r>
              <m:rPr>
                <m:nor/>
                <m:sty m:val="p"/>
              </m:rPr>
              <w:rPr>
                <w:b w:val="0"/>
                <w:i w:val="0"/>
              </w:rPr>
              <m:t>k</m:t>
            </m:r>
            <m:ctrlPr>
              <w:rPr>
                <w:rFonts w:ascii="Cambria Math" w:hAnsi="Cambria Math"/>
              </w:rPr>
            </m:ctrlPr>
          </m:sub>
        </m:sSub>
      </m:oMath>
      <w:r>
        <w:t>——土的内摩擦角标准值；</w:t>
      </w:r>
    </w:p>
    <w:p w14:paraId="4C07AB81">
      <w:pPr>
        <w:pStyle w:val="22"/>
      </w:pPr>
      <m:oMath>
        <m:sSub>
          <m:sSubPr>
            <m:ctrlPr>
              <w:rPr>
                <w:rFonts w:ascii="Cambria Math" w:hAnsi="Cambria Math"/>
              </w:rPr>
            </m:ctrlPr>
          </m:sSubPr>
          <m:e>
            <m:r>
              <m:rPr/>
              <w:rPr>
                <w:rFonts w:ascii="Cambria Math" w:hAnsi="Cambria Math"/>
              </w:rPr>
              <m:t>γ</m:t>
            </m:r>
            <m:ctrlPr>
              <w:rPr>
                <w:rFonts w:ascii="Cambria Math" w:hAnsi="Cambria Math"/>
              </w:rPr>
            </m:ctrlPr>
          </m:e>
          <m:sub>
            <m:ctrlPr>
              <w:rPr>
                <w:rFonts w:ascii="Cambria Math" w:hAnsi="Cambria Math"/>
              </w:rPr>
            </m:ctrlPr>
          </m:sub>
        </m:sSub>
      </m:oMath>
      <w:r>
        <w:t>——土的天然重度；</w:t>
      </w:r>
    </w:p>
    <w:p w14:paraId="1867E233">
      <w:pPr>
        <w:pStyle w:val="22"/>
      </w:pPr>
      <m:oMath>
        <m:sSub>
          <m:sSubPr>
            <m:ctrlPr>
              <w:rPr>
                <w:rFonts w:ascii="Cambria Math" w:hAnsi="Cambria Math"/>
              </w:rPr>
            </m:ctrlPr>
          </m:sSubPr>
          <m:e>
            <m:r>
              <m:rPr/>
              <w:rPr>
                <w:rFonts w:ascii="Cambria Math" w:hAnsi="Cambria Math"/>
              </w:rPr>
              <m:t>γ</m:t>
            </m:r>
            <m:ctrlPr>
              <w:rPr>
                <w:rFonts w:ascii="Cambria Math" w:hAnsi="Cambria Math"/>
              </w:rPr>
            </m:ctrlPr>
          </m:e>
          <m:sub>
            <m:r>
              <m:rPr/>
              <w:rPr>
                <w:rFonts w:ascii="Cambria Math" w:hAnsi="Cambria Math"/>
              </w:rPr>
              <m:t>w</m:t>
            </m:r>
            <m:ctrlPr>
              <w:rPr>
                <w:rFonts w:ascii="Cambria Math" w:hAnsi="Cambria Math"/>
              </w:rPr>
            </m:ctrlPr>
          </m:sub>
        </m:sSub>
      </m:oMath>
      <w:r>
        <w:t>——水的重度。</w:t>
      </w:r>
    </w:p>
    <w:p w14:paraId="029C2045">
      <w:pPr>
        <w:ind w:firstLine="0"/>
      </w:pPr>
      <w:r>
        <w:rPr>
          <w:b/>
          <w:bCs/>
        </w:rPr>
        <w:t>2.2.3　</w:t>
      </w:r>
      <w:r>
        <w:t>几何参数</w:t>
      </w:r>
      <w:r>
        <w:rPr>
          <w:rFonts w:hint="eastAsia"/>
        </w:rPr>
        <w:t>：</w:t>
      </w:r>
    </w:p>
    <w:p w14:paraId="6286D374">
      <w:pPr>
        <w:pStyle w:val="22"/>
      </w:pPr>
      <w:r>
        <w:t>A——构件的截面面积；</w:t>
      </w:r>
    </w:p>
    <w:p w14:paraId="3121FEFE">
      <w:pPr>
        <w:pStyle w:val="22"/>
      </w:pPr>
      <w:r>
        <w:t>b——截面宽度；</w:t>
      </w:r>
    </w:p>
    <w:p w14:paraId="2EA4918F">
      <w:pPr>
        <w:pStyle w:val="22"/>
      </w:pPr>
      <w:r>
        <w:t>d——桩、锚杆、土钉的直径或基础埋置深度；</w:t>
      </w:r>
    </w:p>
    <w:p w14:paraId="615F29E1">
      <w:pPr>
        <w:pStyle w:val="22"/>
      </w:pPr>
      <w:r>
        <w:t>h——基坑明挖段深度；</w:t>
      </w:r>
    </w:p>
    <w:p w14:paraId="2D634001">
      <w:pPr>
        <w:pStyle w:val="22"/>
      </w:pPr>
      <m:oMath>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d</m:t>
            </m:r>
            <m:ctrlPr>
              <w:rPr>
                <w:rFonts w:ascii="Cambria Math" w:hAnsi="Cambria Math"/>
              </w:rPr>
            </m:ctrlPr>
          </m:sub>
        </m:sSub>
      </m:oMath>
      <w:r>
        <w:t>——挡土构件的嵌固深度；</w:t>
      </w:r>
    </w:p>
    <w:p w14:paraId="322F6E84">
      <w:pPr>
        <w:pStyle w:val="22"/>
      </w:pPr>
      <w:r>
        <w:t>α——锚杆、土钉的倾角或支撑轴线与水平面的夹角。</w:t>
      </w:r>
    </w:p>
    <w:p w14:paraId="77E34354">
      <w:pPr>
        <w:ind w:firstLine="0"/>
      </w:pPr>
      <w:r>
        <w:rPr>
          <w:b/>
          <w:bCs/>
        </w:rPr>
        <w:t>2.2.4　</w:t>
      </w:r>
      <w:r>
        <w:t>设计参数和计算系数</w:t>
      </w:r>
      <w:r>
        <w:rPr>
          <w:rFonts w:hint="eastAsia"/>
        </w:rPr>
        <w:t>：</w:t>
      </w:r>
    </w:p>
    <w:p w14:paraId="10BA7980">
      <w:pPr>
        <w:pStyle w:val="22"/>
      </w:pPr>
      <w:r>
        <w:t>K——安全系数；</w:t>
      </w:r>
    </w:p>
    <w:p w14:paraId="1895EEBD">
      <w:pPr>
        <w:pStyle w:val="22"/>
      </w:pPr>
      <m:oMath>
        <m:sSub>
          <m:sSubPr>
            <m:ctrlPr>
              <w:rPr>
                <w:rFonts w:ascii="Cambria Math" w:hAnsi="Cambria Math"/>
              </w:rPr>
            </m:ctrlPr>
          </m:sSubPr>
          <m:e>
            <m:r>
              <m:rPr/>
              <w:rPr>
                <w:rFonts w:ascii="Cambria Math" w:hAnsi="Cambria Math"/>
              </w:rPr>
              <m:t>K</m:t>
            </m:r>
            <m:ctrlPr>
              <w:rPr>
                <w:rFonts w:ascii="Cambria Math" w:hAnsi="Cambria Math"/>
              </w:rPr>
            </m:ctrlPr>
          </m:e>
          <m:sub>
            <m:r>
              <m:rPr>
                <m:nor/>
                <m:sty m:val="p"/>
              </m:rPr>
              <w:rPr>
                <w:b w:val="0"/>
                <w:i w:val="0"/>
              </w:rPr>
              <m:t>a</m:t>
            </m:r>
            <m:ctrlPr>
              <w:rPr>
                <w:rFonts w:ascii="Cambria Math" w:hAnsi="Cambria Math"/>
              </w:rPr>
            </m:ctrlPr>
          </m:sub>
        </m:sSub>
      </m:oMath>
      <w:r>
        <w:t>——主动土压力系数；</w:t>
      </w:r>
    </w:p>
    <w:p w14:paraId="4AC37BF2">
      <w:pPr>
        <w:pStyle w:val="22"/>
      </w:pPr>
      <w:bookmarkStart w:id="103" w:name="_Hlk189832874"/>
      <m:oMath>
        <m:sSub>
          <m:sSubPr>
            <m:ctrlPr>
              <w:rPr>
                <w:rFonts w:ascii="Cambria Math" w:hAnsi="Cambria Math"/>
              </w:rPr>
            </m:ctrlPr>
          </m:sSubPr>
          <m:e>
            <m:r>
              <m:rPr/>
              <w:rPr>
                <w:rFonts w:ascii="Cambria Math" w:hAnsi="Cambria Math"/>
              </w:rPr>
              <m:t>K</m:t>
            </m:r>
            <m:ctrlPr>
              <w:rPr>
                <w:rFonts w:ascii="Cambria Math" w:hAnsi="Cambria Math"/>
              </w:rPr>
            </m:ctrlPr>
          </m:e>
          <m:sub>
            <m:r>
              <m:rPr>
                <m:sty m:val="p"/>
              </m:rPr>
              <w:rPr>
                <w:rFonts w:ascii="Cambria Math" w:hAnsi="Cambria Math"/>
              </w:rPr>
              <m:t>0</m:t>
            </m:r>
            <m:ctrlPr>
              <w:rPr>
                <w:rFonts w:ascii="Cambria Math" w:hAnsi="Cambria Math"/>
              </w:rPr>
            </m:ctrlPr>
          </m:sub>
        </m:sSub>
      </m:oMath>
      <w:r>
        <w:t>——静止土压力系数</w:t>
      </w:r>
      <w:bookmarkEnd w:id="103"/>
      <w:r>
        <w:t>；</w:t>
      </w:r>
    </w:p>
    <w:p w14:paraId="10C8032C">
      <w:pPr>
        <w:pStyle w:val="22"/>
      </w:pPr>
      <m:oMath>
        <m:sSub>
          <m:sSubPr>
            <m:ctrlPr>
              <w:rPr>
                <w:rFonts w:ascii="Cambria Math" w:hAnsi="Cambria Math"/>
              </w:rPr>
            </m:ctrlPr>
          </m:sSubPr>
          <m:e>
            <m:r>
              <m:rPr/>
              <w:rPr>
                <w:rFonts w:ascii="Cambria Math" w:hAnsi="Cambria Math"/>
              </w:rPr>
              <m:t>K</m:t>
            </m:r>
            <m:ctrlPr>
              <w:rPr>
                <w:rFonts w:ascii="Cambria Math" w:hAnsi="Cambria Math"/>
              </w:rPr>
            </m:ctrlPr>
          </m:e>
          <m:sub>
            <m:r>
              <m:rPr>
                <m:nor/>
                <m:sty m:val="p"/>
              </m:rPr>
              <w:rPr>
                <w:b w:val="0"/>
                <w:i w:val="0"/>
              </w:rPr>
              <m:t>p</m:t>
            </m:r>
            <m:ctrlPr>
              <w:rPr>
                <w:rFonts w:ascii="Cambria Math" w:hAnsi="Cambria Math"/>
              </w:rPr>
            </m:ctrlPr>
          </m:sub>
        </m:sSub>
      </m:oMath>
      <w:r>
        <w:t>——被动土压力系数。</w:t>
      </w:r>
    </w:p>
    <w:p w14:paraId="7C73509C">
      <w:bookmarkStart w:id="104" w:name="_Toc25249"/>
      <w:r>
        <w:br w:type="page"/>
      </w:r>
    </w:p>
    <w:p w14:paraId="0B72C21F">
      <w:pPr>
        <w:pStyle w:val="20"/>
        <w:widowControl w:val="0"/>
        <w:ind w:firstLine="0" w:firstLineChars="0"/>
        <w:jc w:val="center"/>
        <w:rPr>
          <w:rFonts w:ascii="Times New Roman"/>
        </w:rPr>
      </w:pPr>
    </w:p>
    <w:p w14:paraId="0D00A65B">
      <w:pPr>
        <w:pStyle w:val="19"/>
        <w:widowControl w:val="0"/>
        <w:spacing w:before="328" w:beforeLines="100" w:after="328" w:afterLines="100" w:line="360" w:lineRule="auto"/>
        <w:jc w:val="center"/>
        <w:outlineLvl w:val="0"/>
        <w:rPr>
          <w:rFonts w:ascii="Times New Roman" w:eastAsia="宋体"/>
          <w:b/>
          <w:sz w:val="32"/>
        </w:rPr>
      </w:pPr>
      <w:bookmarkStart w:id="105" w:name="_Toc7915"/>
      <w:bookmarkStart w:id="106" w:name="_Toc15889"/>
      <w:bookmarkStart w:id="107" w:name="_Toc3884"/>
      <w:bookmarkStart w:id="108" w:name="_Toc1550"/>
      <w:bookmarkStart w:id="109" w:name="_Toc13769"/>
      <w:bookmarkStart w:id="110" w:name="_Toc193392066"/>
      <w:bookmarkStart w:id="111" w:name="_Toc29207"/>
      <w:bookmarkStart w:id="112" w:name="_Toc14813"/>
      <w:bookmarkStart w:id="113" w:name="_Toc2940"/>
      <w:bookmarkStart w:id="114" w:name="_Toc22533"/>
      <w:bookmarkStart w:id="115" w:name="_Toc13428"/>
      <w:bookmarkStart w:id="116" w:name="_Toc28179"/>
      <w:r>
        <w:rPr>
          <w:rFonts w:ascii="Times New Roman" w:eastAsia="宋体"/>
          <w:b/>
          <w:sz w:val="32"/>
        </w:rPr>
        <w:t>3　基本规定</w:t>
      </w:r>
      <w:bookmarkEnd w:id="105"/>
      <w:bookmarkEnd w:id="106"/>
      <w:bookmarkEnd w:id="107"/>
      <w:bookmarkEnd w:id="108"/>
      <w:bookmarkEnd w:id="109"/>
      <w:bookmarkEnd w:id="110"/>
      <w:bookmarkEnd w:id="111"/>
      <w:bookmarkEnd w:id="112"/>
      <w:bookmarkEnd w:id="113"/>
      <w:bookmarkEnd w:id="114"/>
      <w:bookmarkEnd w:id="115"/>
      <w:bookmarkEnd w:id="116"/>
    </w:p>
    <w:p w14:paraId="45083311">
      <w:pPr>
        <w:spacing w:before="328" w:beforeLines="100" w:after="328" w:afterLines="100" w:line="240" w:lineRule="auto"/>
        <w:ind w:firstLine="0"/>
        <w:jc w:val="center"/>
        <w:outlineLvl w:val="1"/>
        <w:rPr>
          <w:rFonts w:eastAsia="黑体"/>
          <w:b/>
          <w:bCs/>
          <w:sz w:val="28"/>
          <w:szCs w:val="28"/>
        </w:rPr>
      </w:pPr>
      <w:bookmarkStart w:id="117" w:name="_Toc19233"/>
      <w:bookmarkStart w:id="118" w:name="_Toc17776"/>
      <w:bookmarkStart w:id="119" w:name="_Toc16522"/>
      <w:bookmarkStart w:id="120" w:name="_Toc10165"/>
      <w:bookmarkStart w:id="121" w:name="_Toc193392067"/>
      <w:bookmarkStart w:id="122" w:name="_Toc28107"/>
      <w:bookmarkStart w:id="123" w:name="_Toc13627"/>
      <w:bookmarkStart w:id="124" w:name="_Toc18720"/>
      <w:bookmarkStart w:id="125" w:name="_Toc12388"/>
      <w:bookmarkStart w:id="126" w:name="_Toc4587"/>
      <w:bookmarkStart w:id="127" w:name="_Toc14491"/>
      <w:r>
        <w:rPr>
          <w:rFonts w:eastAsia="黑体"/>
          <w:b/>
          <w:bCs/>
          <w:sz w:val="28"/>
          <w:szCs w:val="28"/>
        </w:rPr>
        <w:t>3.1　</w:t>
      </w:r>
      <w:bookmarkEnd w:id="117"/>
      <w:bookmarkEnd w:id="118"/>
      <w:bookmarkEnd w:id="119"/>
      <w:bookmarkEnd w:id="120"/>
      <w:r>
        <w:rPr>
          <w:rFonts w:eastAsia="黑体"/>
          <w:b/>
          <w:bCs/>
          <w:sz w:val="28"/>
          <w:szCs w:val="28"/>
        </w:rPr>
        <w:t>岩土工程勘察</w:t>
      </w:r>
      <w:bookmarkEnd w:id="104"/>
      <w:bookmarkEnd w:id="121"/>
      <w:bookmarkEnd w:id="122"/>
      <w:bookmarkEnd w:id="123"/>
      <w:bookmarkEnd w:id="124"/>
      <w:bookmarkEnd w:id="125"/>
      <w:bookmarkEnd w:id="126"/>
      <w:bookmarkEnd w:id="127"/>
      <w:bookmarkStart w:id="128" w:name="_Toc278815423"/>
      <w:bookmarkStart w:id="129" w:name="_Toc11917"/>
    </w:p>
    <w:p w14:paraId="614A280B">
      <w:pPr>
        <w:ind w:firstLine="0"/>
        <w:rPr>
          <w:b/>
        </w:rPr>
      </w:pPr>
      <w:r>
        <w:rPr>
          <w:b/>
          <w:bCs/>
        </w:rPr>
        <w:t>3.1.</w:t>
      </w:r>
      <w:bookmarkEnd w:id="128"/>
      <w:bookmarkEnd w:id="129"/>
      <w:r>
        <w:rPr>
          <w:b/>
          <w:bCs/>
        </w:rPr>
        <w:t>1　</w:t>
      </w:r>
      <w:r>
        <w:t>城市综合管廊工程应按基本建设程序进行岩土工程勘察，并应搜集、分析、利用已有资料和建设经验，针对综合管廊工程特点，各勘察阶段的任务要求和岩土工程条件，策划、实施工程勘察，提供资料真实、结构完整、评价合理、结论可靠、建议可行的勘察报告。</w:t>
      </w:r>
    </w:p>
    <w:p w14:paraId="1DD6A385">
      <w:pPr>
        <w:ind w:firstLine="0"/>
        <w:rPr>
          <w:bCs/>
        </w:rPr>
      </w:pPr>
      <w:r>
        <w:rPr>
          <w:b/>
          <w:bCs/>
        </w:rPr>
        <w:t>3.1.2　</w:t>
      </w:r>
      <w:r>
        <w:rPr>
          <w:bCs/>
        </w:rPr>
        <w:t>城市综合管廊岩土工程勘察宜根据工程重要性、场地及岩体条件复杂程度、工程周边环境风险、设计要求和施工方法，分阶段制定勘察纲要，并开展岩土工程勘察工作。</w:t>
      </w:r>
    </w:p>
    <w:p w14:paraId="55B69D47">
      <w:pPr>
        <w:ind w:firstLine="0"/>
      </w:pPr>
      <w:r>
        <w:rPr>
          <w:b/>
          <w:bCs/>
        </w:rPr>
        <w:t>3.1.3　</w:t>
      </w:r>
      <w:r>
        <w:t>可行性研究勘察应满足比选管廊线路的要求；初步勘察应满足初步设计的要求；详细勘察应满足施工图设计的要求。当综合管廊平面位置已经确定或岩土条件复杂程度简单时，且沿线或其附近已有岩土工程资料时，可根据实际情况，直接进行详细勘察。</w:t>
      </w:r>
    </w:p>
    <w:p w14:paraId="4378AD5F">
      <w:pPr>
        <w:ind w:firstLine="0"/>
      </w:pPr>
      <w:r>
        <w:rPr>
          <w:b/>
          <w:bCs/>
        </w:rPr>
        <w:t>3.1.4　</w:t>
      </w:r>
      <w:r>
        <w:t>城市综合管廊岩土工程勘察的工程地质调查和测绘、岩土分类、勘探、取样、原位测试、现场检验与检测应符合现行国家标准《工程勘察通用规范》GB 55017、《建筑与市政地基基础通用规范》GB 55003、《岩土工程勘察规范》GB 50021和现行团体标准《城市综合管廊岩土工程勘察标准》T/CECS 1324的有关规定。</w:t>
      </w:r>
    </w:p>
    <w:p w14:paraId="5331163C">
      <w:pPr>
        <w:ind w:firstLine="0"/>
      </w:pPr>
      <w:r>
        <w:rPr>
          <w:b/>
          <w:bCs/>
        </w:rPr>
        <w:t>3.1.5　</w:t>
      </w:r>
      <w:r>
        <w:t>既有综合管廊的改扩建工程，应针对工程特点和新的工程设计要求，在利用原勘察资料基础上进行勘察。</w:t>
      </w:r>
    </w:p>
    <w:p w14:paraId="2C167DA7">
      <w:pPr>
        <w:spacing w:before="328" w:beforeLines="100" w:after="328" w:afterLines="100" w:line="240" w:lineRule="auto"/>
        <w:ind w:firstLine="0"/>
        <w:jc w:val="center"/>
        <w:outlineLvl w:val="1"/>
        <w:rPr>
          <w:rFonts w:eastAsia="黑体"/>
          <w:b/>
          <w:bCs/>
          <w:sz w:val="28"/>
          <w:szCs w:val="28"/>
        </w:rPr>
      </w:pPr>
      <w:bookmarkStart w:id="130" w:name="_Toc22003"/>
      <w:bookmarkStart w:id="131" w:name="_Toc10490"/>
      <w:bookmarkStart w:id="132" w:name="_Toc3883"/>
      <w:bookmarkStart w:id="133" w:name="_Toc23458"/>
      <w:bookmarkStart w:id="134" w:name="_Toc8692"/>
      <w:bookmarkStart w:id="135" w:name="_Toc31079"/>
      <w:bookmarkStart w:id="136" w:name="_Toc27542"/>
      <w:bookmarkStart w:id="137" w:name="_Toc798"/>
      <w:bookmarkStart w:id="138" w:name="_Toc27144"/>
      <w:bookmarkStart w:id="139" w:name="_Toc22276"/>
      <w:bookmarkStart w:id="140" w:name="_Toc193392068"/>
      <w:r>
        <w:rPr>
          <w:rFonts w:eastAsia="黑体"/>
          <w:b/>
          <w:bCs/>
          <w:sz w:val="28"/>
          <w:szCs w:val="28"/>
        </w:rPr>
        <w:t>3.2　岩土工程设计</w:t>
      </w:r>
      <w:bookmarkEnd w:id="130"/>
      <w:bookmarkEnd w:id="131"/>
      <w:bookmarkEnd w:id="132"/>
      <w:bookmarkEnd w:id="133"/>
      <w:bookmarkEnd w:id="134"/>
      <w:bookmarkEnd w:id="135"/>
      <w:bookmarkEnd w:id="136"/>
      <w:bookmarkEnd w:id="137"/>
      <w:bookmarkEnd w:id="138"/>
      <w:bookmarkEnd w:id="139"/>
      <w:bookmarkEnd w:id="140"/>
    </w:p>
    <w:p w14:paraId="18F5E4F2">
      <w:pPr>
        <w:ind w:firstLine="0"/>
      </w:pPr>
      <w:r>
        <w:rPr>
          <w:b/>
          <w:bCs/>
        </w:rPr>
        <w:t>3.2.1　</w:t>
      </w:r>
      <w:r>
        <w:t>综合管廊明挖段支护岩土工程设计，应结合周边环境和地质条件的复杂程度、管廊明挖段深度等因素，根据支护结构破坏可能产生后果（危及人的生命、造成经济损失、对社会或环境产生影响等）的严重性，采用不同的安全等级。对同一明挖段的不同部位，可采用不同安全等级。支护结构安全等级的划分应符合现行行业标准</w:t>
      </w:r>
      <w:r>
        <w:rPr>
          <w:color w:val="auto"/>
        </w:rPr>
        <w:t>《建筑基坑支护技术规程》JGJ 120的有关</w:t>
      </w:r>
      <w:r>
        <w:t>规定。</w:t>
      </w:r>
    </w:p>
    <w:p w14:paraId="10492E5F">
      <w:pPr>
        <w:ind w:firstLine="0"/>
      </w:pPr>
      <w:r>
        <w:rPr>
          <w:b/>
          <w:bCs/>
        </w:rPr>
        <w:t>3.2.2　</w:t>
      </w:r>
      <w:r>
        <w:t>综合管廊明挖段支护设计年限及功能应符合现行行业标准</w:t>
      </w:r>
      <w:r>
        <w:rPr>
          <w:color w:val="auto"/>
        </w:rPr>
        <w:t>《建筑基坑支护技术规程》JGJ 120</w:t>
      </w:r>
      <w:r>
        <w:t>的有关规定。</w:t>
      </w:r>
    </w:p>
    <w:p w14:paraId="4EA684D7">
      <w:pPr>
        <w:ind w:firstLine="0"/>
      </w:pPr>
      <w:r>
        <w:rPr>
          <w:b/>
          <w:bCs/>
        </w:rPr>
        <w:t>3.2.3　</w:t>
      </w:r>
      <w:r>
        <w:t>综合管廊明挖段支护设计应包括下列内容：</w:t>
      </w:r>
    </w:p>
    <w:p w14:paraId="0D52AFC7">
      <w:pPr>
        <w:ind w:firstLine="482" w:firstLineChars="200"/>
      </w:pPr>
      <w:r>
        <w:rPr>
          <w:b/>
        </w:rPr>
        <w:t>1　</w:t>
      </w:r>
      <w:r>
        <w:t>支护结构体系上的作用和作用组合确定；</w:t>
      </w:r>
    </w:p>
    <w:p w14:paraId="39A2016E">
      <w:pPr>
        <w:ind w:firstLine="482" w:firstLineChars="200"/>
      </w:pPr>
      <w:r>
        <w:rPr>
          <w:b/>
        </w:rPr>
        <w:t>2　</w:t>
      </w:r>
      <w:r>
        <w:t>支护体系的稳定性验算；</w:t>
      </w:r>
    </w:p>
    <w:p w14:paraId="0C1521DB">
      <w:pPr>
        <w:ind w:firstLine="482" w:firstLineChars="200"/>
      </w:pPr>
      <w:r>
        <w:rPr>
          <w:b/>
        </w:rPr>
        <w:t>3　</w:t>
      </w:r>
      <w:r>
        <w:t>支护结构的承载力、稳定和变形计算；</w:t>
      </w:r>
    </w:p>
    <w:p w14:paraId="7C4541ED">
      <w:pPr>
        <w:ind w:firstLine="482" w:firstLineChars="200"/>
      </w:pPr>
      <w:r>
        <w:rPr>
          <w:b/>
        </w:rPr>
        <w:t>4　</w:t>
      </w:r>
      <w:r>
        <w:t>地下水控制设计；</w:t>
      </w:r>
    </w:p>
    <w:p w14:paraId="7091057E">
      <w:pPr>
        <w:ind w:firstLine="482" w:firstLineChars="200"/>
      </w:pPr>
      <w:r>
        <w:rPr>
          <w:b/>
        </w:rPr>
        <w:t>5　</w:t>
      </w:r>
      <w:r>
        <w:t>对周边环境影响的控制要求；</w:t>
      </w:r>
    </w:p>
    <w:p w14:paraId="16244327">
      <w:pPr>
        <w:ind w:firstLine="482" w:firstLineChars="200"/>
      </w:pPr>
      <w:r>
        <w:rPr>
          <w:b/>
        </w:rPr>
        <w:t>6　</w:t>
      </w:r>
      <w:r>
        <w:t>管廊明挖段开挖与回填要求；</w:t>
      </w:r>
    </w:p>
    <w:p w14:paraId="11520A4F">
      <w:pPr>
        <w:ind w:firstLine="482" w:firstLineChars="200"/>
      </w:pPr>
      <w:r>
        <w:rPr>
          <w:b/>
        </w:rPr>
        <w:t>7　</w:t>
      </w:r>
      <w:r>
        <w:t>支护结构施工要求；</w:t>
      </w:r>
    </w:p>
    <w:p w14:paraId="58736E7C">
      <w:pPr>
        <w:ind w:firstLine="482" w:firstLineChars="200"/>
      </w:pPr>
      <w:r>
        <w:rPr>
          <w:b/>
        </w:rPr>
        <w:t>8　</w:t>
      </w:r>
      <w:r>
        <w:t>管廊明挖段支护工程施工检验与检测要求；</w:t>
      </w:r>
    </w:p>
    <w:p w14:paraId="0ED32F74">
      <w:pPr>
        <w:ind w:firstLine="482"/>
      </w:pPr>
      <w:r>
        <w:rPr>
          <w:b/>
        </w:rPr>
        <w:t>9　</w:t>
      </w:r>
      <w:r>
        <w:t>管廊明挖段支护工程监测与维护要求。</w:t>
      </w:r>
    </w:p>
    <w:p w14:paraId="45AADE7E">
      <w:pPr>
        <w:ind w:firstLine="0"/>
      </w:pPr>
      <w:r>
        <w:rPr>
          <w:b/>
          <w:bCs/>
        </w:rPr>
        <w:t>3.2.4　</w:t>
      </w:r>
      <w:r>
        <w:rPr>
          <w:bCs/>
        </w:rPr>
        <w:t>建设场地地基土有显著变化地段的综合管廊结构，应计算地基不均匀沉降的影响，其标准值应按现行国家标准《建筑地基基础设计规范》GB 50007的有关规定计算确定。地基处理的条款，应符合国家现行标准《建筑地基基础设计规范》GB 50007和《建筑地基处理规范》JGJ 79的有关规定。</w:t>
      </w:r>
    </w:p>
    <w:p w14:paraId="7BDCEF12">
      <w:pPr>
        <w:spacing w:before="328" w:beforeLines="100" w:after="328" w:afterLines="100" w:line="240" w:lineRule="auto"/>
        <w:ind w:firstLine="0"/>
        <w:jc w:val="center"/>
        <w:outlineLvl w:val="1"/>
      </w:pPr>
      <w:bookmarkStart w:id="141" w:name="_Toc26396"/>
      <w:bookmarkStart w:id="142" w:name="_Toc24206"/>
      <w:bookmarkStart w:id="143" w:name="_Toc24038"/>
      <w:bookmarkStart w:id="144" w:name="_Toc12606"/>
      <w:bookmarkStart w:id="145" w:name="_Toc21733"/>
      <w:bookmarkStart w:id="146" w:name="_Toc193392069"/>
      <w:bookmarkStart w:id="147" w:name="_Toc15787"/>
      <w:bookmarkStart w:id="148" w:name="_Toc12405"/>
      <w:bookmarkStart w:id="149" w:name="_Toc15123"/>
      <w:bookmarkStart w:id="150" w:name="_Toc25899"/>
      <w:bookmarkStart w:id="151" w:name="_Toc29305"/>
      <w:r>
        <w:rPr>
          <w:rFonts w:eastAsia="黑体"/>
          <w:b/>
          <w:bCs/>
          <w:sz w:val="28"/>
          <w:szCs w:val="28"/>
        </w:rPr>
        <w:t>3.3　岩土工程施工</w:t>
      </w:r>
      <w:bookmarkEnd w:id="141"/>
      <w:bookmarkEnd w:id="142"/>
      <w:bookmarkEnd w:id="143"/>
      <w:bookmarkEnd w:id="144"/>
      <w:bookmarkEnd w:id="145"/>
      <w:bookmarkEnd w:id="146"/>
      <w:bookmarkEnd w:id="147"/>
      <w:bookmarkEnd w:id="148"/>
      <w:bookmarkEnd w:id="149"/>
      <w:bookmarkEnd w:id="150"/>
      <w:bookmarkEnd w:id="151"/>
    </w:p>
    <w:p w14:paraId="7E25500F">
      <w:pPr>
        <w:ind w:firstLine="0"/>
        <w:rPr>
          <w:b/>
          <w:bCs/>
        </w:rPr>
      </w:pPr>
      <w:r>
        <w:rPr>
          <w:b/>
          <w:bCs/>
        </w:rPr>
        <w:t>3.3.1　</w:t>
      </w:r>
      <w:r>
        <w:t>综合管廊岩土工程</w:t>
      </w:r>
      <w:r>
        <w:rPr>
          <w:bCs/>
        </w:rPr>
        <w:t>施工前施工单位应编制施工组织设计，对危险性较大的分部分项工程应编制专项施工方案，对超过一定规模的危大工程的专项施工方案施工单位应组织专家论证。施工组织设计和专项施工方案应按规定程序审批合格后执行。</w:t>
      </w:r>
    </w:p>
    <w:p w14:paraId="395B6FBB">
      <w:pPr>
        <w:ind w:firstLine="0"/>
        <w:rPr>
          <w:bCs/>
        </w:rPr>
      </w:pPr>
      <w:r>
        <w:rPr>
          <w:b/>
          <w:bCs/>
        </w:rPr>
        <w:t>3.3.2　</w:t>
      </w:r>
      <w:r>
        <w:t>综合管廊岩土工程施工应</w:t>
      </w:r>
      <w:r>
        <w:rPr>
          <w:bCs/>
        </w:rPr>
        <w:t>采取保证工程安全、人身安全、周边环境安全与劳动防护、绿色施工的技术措施与管理措施。</w:t>
      </w:r>
    </w:p>
    <w:p w14:paraId="7E32CCA4">
      <w:pPr>
        <w:ind w:firstLine="0"/>
        <w:rPr>
          <w:bCs/>
        </w:rPr>
      </w:pPr>
      <w:r>
        <w:rPr>
          <w:b/>
          <w:bCs/>
        </w:rPr>
        <w:t>3.3.3　</w:t>
      </w:r>
      <w:r>
        <w:t>综合管廊岩土工程</w:t>
      </w:r>
      <w:r>
        <w:rPr>
          <w:bCs/>
        </w:rPr>
        <w:t>施工过程中遇有文物、化石、古迹遗址或遇到可能危及安全的危险源等，应立即停止施工和采取保护措施，并报有关部门处理。</w:t>
      </w:r>
    </w:p>
    <w:p w14:paraId="6DA92853">
      <w:pPr>
        <w:ind w:firstLine="0"/>
        <w:rPr>
          <w:bCs/>
        </w:rPr>
      </w:pPr>
      <w:r>
        <w:rPr>
          <w:b/>
          <w:bCs/>
        </w:rPr>
        <w:t>3.3.4　</w:t>
      </w:r>
      <w:r>
        <w:rPr>
          <w:bCs/>
        </w:rPr>
        <w:t>综合管廊明挖段基坑工程施工应根据设计要求或工程施工安全的需要，对涉及施工安全、周边环境安全，以及可能对人身财产安全造成危害的对象或被保护对象进行工程监测。</w:t>
      </w:r>
    </w:p>
    <w:p w14:paraId="0850D14F">
      <w:pPr>
        <w:ind w:firstLine="0"/>
        <w:rPr>
          <w:bCs/>
        </w:rPr>
      </w:pPr>
      <w:r>
        <w:rPr>
          <w:b/>
          <w:bCs/>
        </w:rPr>
        <w:t>3.3.5　</w:t>
      </w:r>
      <w:r>
        <w:t>综合管廊岩土工程</w:t>
      </w:r>
      <w:r>
        <w:rPr>
          <w:bCs/>
        </w:rPr>
        <w:t>施工各施工工序应进行质量自检，必要时进行第三方检测，施工工序之间应进行交接质量检验。质量验收应在自检及第三方检测合格的基础上进行，隐蔽工程在隐蔽前应进行验收，并形成检查或验收文件。</w:t>
      </w:r>
    </w:p>
    <w:p w14:paraId="0755FD6C">
      <w:pPr>
        <w:ind w:firstLine="0"/>
        <w:rPr>
          <w:bCs/>
        </w:rPr>
      </w:pPr>
      <w:r>
        <w:rPr>
          <w:b/>
          <w:bCs/>
        </w:rPr>
        <w:t>3.3.6　</w:t>
      </w:r>
      <w:r>
        <w:rPr>
          <w:bCs/>
        </w:rPr>
        <w:t>综合管廊岩土工程施工质量验收应划分为（子）分部工程、分项工程和检验批，具体划分可按本规程附录A执行。综合管廊岩土工程验收应符合现行国家标准《建筑地基与基础工程施工质量验收规范》GB 50202、现行协会标准《城市综合管廊施工及验收规程》T/CECS 895的有关规定。</w:t>
      </w:r>
    </w:p>
    <w:p w14:paraId="3F284E0D">
      <w:pPr>
        <w:spacing w:before="328" w:beforeLines="100" w:after="328" w:afterLines="100" w:line="240" w:lineRule="auto"/>
        <w:ind w:firstLine="0"/>
        <w:jc w:val="center"/>
        <w:outlineLvl w:val="1"/>
        <w:rPr>
          <w:rFonts w:eastAsia="黑体"/>
          <w:b/>
          <w:bCs/>
          <w:sz w:val="28"/>
          <w:szCs w:val="28"/>
        </w:rPr>
      </w:pPr>
      <w:bookmarkStart w:id="152" w:name="_Toc32158"/>
      <w:bookmarkStart w:id="153" w:name="_Toc24882"/>
      <w:bookmarkStart w:id="154" w:name="_Toc193392070"/>
      <w:bookmarkStart w:id="155" w:name="_Toc4150"/>
      <w:bookmarkStart w:id="156" w:name="_Toc4102"/>
      <w:bookmarkStart w:id="157" w:name="_Toc13757"/>
      <w:bookmarkStart w:id="158" w:name="_Toc18666"/>
      <w:bookmarkStart w:id="159" w:name="_Toc10154"/>
      <w:r>
        <w:rPr>
          <w:rFonts w:eastAsia="黑体"/>
          <w:b/>
          <w:bCs/>
          <w:sz w:val="28"/>
          <w:szCs w:val="28"/>
        </w:rPr>
        <w:t>3.4　岩土工程监测</w:t>
      </w:r>
      <w:bookmarkEnd w:id="152"/>
      <w:bookmarkEnd w:id="153"/>
      <w:bookmarkEnd w:id="154"/>
      <w:bookmarkEnd w:id="155"/>
      <w:bookmarkEnd w:id="156"/>
      <w:bookmarkEnd w:id="157"/>
      <w:bookmarkEnd w:id="158"/>
      <w:bookmarkEnd w:id="159"/>
    </w:p>
    <w:p w14:paraId="29AF3AE9">
      <w:pPr>
        <w:ind w:firstLine="0"/>
        <w:rPr>
          <w:bCs/>
        </w:rPr>
      </w:pPr>
      <w:r>
        <w:rPr>
          <w:b/>
          <w:bCs/>
        </w:rPr>
        <w:t>3.4.1　</w:t>
      </w:r>
      <w:r>
        <w:rPr>
          <w:bCs/>
        </w:rPr>
        <w:t>城市综合管廊岩土工程监测工作应根据项目不同施工阶段、不同部位进行，需要时应在工程完工后继续进行监测。监测的内容和要求应根据工程具体实际需要确定，并将监测结果及时反馈给相关单位和人员。</w:t>
      </w:r>
    </w:p>
    <w:p w14:paraId="18B05AA9">
      <w:pPr>
        <w:ind w:firstLine="0"/>
        <w:rPr>
          <w:bCs/>
        </w:rPr>
      </w:pPr>
      <w:r>
        <w:rPr>
          <w:b/>
          <w:bCs/>
        </w:rPr>
        <w:t>3.4.2　</w:t>
      </w:r>
      <w:r>
        <w:rPr>
          <w:bCs/>
        </w:rPr>
        <w:t>城市综合管廊在施工、运维与使用期间的变形监测应符合国家现行标准《城市地下综合管廊运行维护及安全技术标准》GB 51354、《建筑变形测量规范》JGJ 8的有关规定。</w:t>
      </w:r>
    </w:p>
    <w:p w14:paraId="43F19387">
      <w:pPr>
        <w:keepNext/>
        <w:spacing w:before="328" w:beforeLines="100" w:after="328" w:afterLines="100" w:line="240" w:lineRule="auto"/>
        <w:ind w:firstLine="0"/>
        <w:jc w:val="center"/>
        <w:outlineLvl w:val="1"/>
        <w:rPr>
          <w:rFonts w:eastAsia="黑体"/>
          <w:b/>
          <w:bCs/>
          <w:sz w:val="28"/>
          <w:szCs w:val="28"/>
        </w:rPr>
      </w:pPr>
      <w:bookmarkStart w:id="160" w:name="_Toc7221"/>
      <w:bookmarkStart w:id="161" w:name="_Toc16101"/>
      <w:bookmarkStart w:id="162" w:name="_Toc24957"/>
      <w:bookmarkStart w:id="163" w:name="_Toc1122"/>
      <w:bookmarkStart w:id="164" w:name="_Toc7065"/>
      <w:bookmarkStart w:id="165" w:name="_Toc20689"/>
      <w:bookmarkStart w:id="166" w:name="_Toc5823"/>
      <w:bookmarkStart w:id="167" w:name="_Toc193392071"/>
      <w:r>
        <w:rPr>
          <w:rFonts w:eastAsia="黑体"/>
          <w:b/>
          <w:bCs/>
          <w:sz w:val="28"/>
          <w:szCs w:val="28"/>
        </w:rPr>
        <w:t>3.5　岩土工程检验与检测</w:t>
      </w:r>
      <w:bookmarkEnd w:id="160"/>
      <w:bookmarkEnd w:id="161"/>
      <w:bookmarkEnd w:id="162"/>
      <w:bookmarkEnd w:id="163"/>
      <w:bookmarkEnd w:id="164"/>
      <w:bookmarkEnd w:id="165"/>
      <w:bookmarkEnd w:id="166"/>
      <w:bookmarkEnd w:id="167"/>
    </w:p>
    <w:p w14:paraId="7D707412">
      <w:pPr>
        <w:ind w:firstLine="0"/>
        <w:rPr>
          <w:bCs/>
        </w:rPr>
      </w:pPr>
      <w:r>
        <w:rPr>
          <w:b/>
          <w:bCs/>
        </w:rPr>
        <w:t>3.5.1　</w:t>
      </w:r>
      <w:r>
        <w:rPr>
          <w:bCs/>
        </w:rPr>
        <w:t>综合管廊岩土工程应对地基和支护体系进行检验与检测，检验与检测数量应综合考虑地质条件、施工质量可靠性等因素。</w:t>
      </w:r>
    </w:p>
    <w:p w14:paraId="023F362C">
      <w:pPr>
        <w:ind w:firstLine="0"/>
        <w:rPr>
          <w:bCs/>
        </w:rPr>
      </w:pPr>
      <w:r>
        <w:rPr>
          <w:b/>
          <w:bCs/>
        </w:rPr>
        <w:t>3.5.2　</w:t>
      </w:r>
      <w:r>
        <w:rPr>
          <w:bCs/>
        </w:rPr>
        <w:t>检验与检测方法可根据地质条件、设计和施工工艺要求、周边环境条件以及各种检验与检测方法的特点和适用范围，选择观察、试验、仪器测量的手段进行。</w:t>
      </w:r>
    </w:p>
    <w:p w14:paraId="04D4EF7D">
      <w:pPr>
        <w:ind w:firstLine="0"/>
        <w:rPr>
          <w:bCs/>
        </w:rPr>
      </w:pPr>
      <w:r>
        <w:rPr>
          <w:b/>
          <w:bCs/>
        </w:rPr>
        <w:t>3.5.3　</w:t>
      </w:r>
      <w:r>
        <w:rPr>
          <w:bCs/>
        </w:rPr>
        <w:t>检验与检测数量和方法应符合国家现行有关标准和现行中国建设标准化协会有关标准的规定。</w:t>
      </w:r>
    </w:p>
    <w:p w14:paraId="2F25C1FF">
      <w:pPr>
        <w:ind w:firstLine="0"/>
      </w:pPr>
    </w:p>
    <w:p w14:paraId="28154752">
      <w:bookmarkStart w:id="168" w:name="_Toc17480"/>
      <w:r>
        <w:br w:type="page"/>
      </w:r>
    </w:p>
    <w:p w14:paraId="7C257468">
      <w:pPr>
        <w:jc w:val="center"/>
      </w:pPr>
      <w:bookmarkStart w:id="169" w:name="_Toc15844"/>
      <w:bookmarkStart w:id="170" w:name="_Toc15472"/>
      <w:bookmarkStart w:id="171" w:name="_Toc30192"/>
    </w:p>
    <w:p w14:paraId="7B4763C1">
      <w:pPr>
        <w:pStyle w:val="19"/>
        <w:widowControl w:val="0"/>
        <w:spacing w:before="328" w:beforeLines="100" w:after="328" w:afterLines="100" w:line="360" w:lineRule="auto"/>
        <w:jc w:val="center"/>
        <w:outlineLvl w:val="0"/>
        <w:rPr>
          <w:rFonts w:ascii="Times New Roman" w:eastAsia="宋体"/>
          <w:b/>
          <w:sz w:val="32"/>
        </w:rPr>
      </w:pPr>
      <w:bookmarkStart w:id="172" w:name="_Toc15763"/>
      <w:bookmarkStart w:id="173" w:name="_Toc13105"/>
      <w:bookmarkStart w:id="174" w:name="_Toc17522"/>
      <w:bookmarkStart w:id="175" w:name="_Toc14179"/>
      <w:bookmarkStart w:id="176" w:name="_Toc193392072"/>
      <w:bookmarkStart w:id="177" w:name="_Toc4067"/>
      <w:bookmarkStart w:id="178" w:name="_Toc7645"/>
      <w:bookmarkStart w:id="179" w:name="_Toc6223"/>
      <w:bookmarkStart w:id="180" w:name="_Toc3383"/>
      <w:r>
        <w:rPr>
          <w:rFonts w:ascii="Times New Roman" w:eastAsia="宋体"/>
          <w:b/>
          <w:sz w:val="32"/>
        </w:rPr>
        <w:t>4　岩土工程勘察</w:t>
      </w:r>
      <w:bookmarkEnd w:id="172"/>
      <w:bookmarkEnd w:id="173"/>
      <w:bookmarkEnd w:id="174"/>
      <w:bookmarkEnd w:id="175"/>
      <w:bookmarkEnd w:id="176"/>
      <w:bookmarkEnd w:id="177"/>
      <w:bookmarkEnd w:id="178"/>
      <w:bookmarkEnd w:id="179"/>
      <w:bookmarkEnd w:id="180"/>
    </w:p>
    <w:p w14:paraId="7546012D">
      <w:pPr>
        <w:keepNext/>
        <w:spacing w:before="328" w:beforeLines="100" w:after="328" w:afterLines="100" w:line="240" w:lineRule="auto"/>
        <w:ind w:firstLine="0"/>
        <w:jc w:val="center"/>
        <w:outlineLvl w:val="1"/>
        <w:rPr>
          <w:rFonts w:eastAsia="黑体"/>
          <w:b/>
          <w:bCs/>
          <w:sz w:val="28"/>
          <w:szCs w:val="28"/>
        </w:rPr>
      </w:pPr>
      <w:bookmarkStart w:id="181" w:name="_Toc27836"/>
      <w:bookmarkStart w:id="182" w:name="_Toc30651"/>
      <w:bookmarkStart w:id="183" w:name="_Toc11509"/>
      <w:bookmarkStart w:id="184" w:name="_Toc13213"/>
      <w:bookmarkStart w:id="185" w:name="_Toc6591"/>
      <w:bookmarkStart w:id="186" w:name="_Toc2152"/>
      <w:bookmarkStart w:id="187" w:name="_Toc193392073"/>
      <w:bookmarkStart w:id="188" w:name="_Toc7428"/>
      <w:r>
        <w:rPr>
          <w:rFonts w:eastAsia="黑体"/>
          <w:b/>
          <w:bCs/>
          <w:sz w:val="28"/>
          <w:szCs w:val="28"/>
        </w:rPr>
        <w:t>4.1　一般规定</w:t>
      </w:r>
      <w:bookmarkEnd w:id="181"/>
      <w:bookmarkEnd w:id="182"/>
      <w:bookmarkEnd w:id="183"/>
      <w:bookmarkEnd w:id="184"/>
      <w:bookmarkEnd w:id="185"/>
      <w:bookmarkEnd w:id="186"/>
      <w:bookmarkEnd w:id="187"/>
      <w:bookmarkEnd w:id="188"/>
    </w:p>
    <w:p w14:paraId="08AD9C71">
      <w:pPr>
        <w:ind w:firstLine="0"/>
      </w:pPr>
      <w:r>
        <w:rPr>
          <w:b/>
          <w:color w:val="auto"/>
        </w:rPr>
        <w:t>4.1.1　</w:t>
      </w:r>
      <w:r>
        <w:t>城市综合管廊岩土工程勘察等级应按照现行国家标准《岩土工程勘察规范》GB 50021和现行协会标准《城市综合管廊岩土工程勘察标准》T/CECS 1324有关规定，根据综合管廊工程重要性、场地复杂程度和岩土条件复杂程度综合确定。</w:t>
      </w:r>
    </w:p>
    <w:p w14:paraId="4E2AC736">
      <w:pPr>
        <w:ind w:firstLine="0"/>
      </w:pPr>
      <w:r>
        <w:rPr>
          <w:b/>
          <w:color w:val="auto"/>
        </w:rPr>
        <w:t>4.1.2　</w:t>
      </w:r>
      <w:bookmarkStart w:id="189" w:name="_Hlk192686729"/>
      <w:r>
        <w:t>城市综合管廊岩土工程勘察应根据设计阶段的任务、目的和要求，采用综合勘察方法，查明并评价沿线工程地质条件及水文地质条件，并提供设计、施工需要的岩土参数</w:t>
      </w:r>
      <w:bookmarkEnd w:id="189"/>
      <w:r>
        <w:t>。</w:t>
      </w:r>
    </w:p>
    <w:p w14:paraId="75DC2EBC">
      <w:pPr>
        <w:ind w:firstLine="0"/>
      </w:pPr>
      <w:r>
        <w:rPr>
          <w:b/>
          <w:color w:val="auto"/>
        </w:rPr>
        <w:t>4.1.3　</w:t>
      </w:r>
      <w:r>
        <w:t>勘察前应根据不同勘察工作阶段的要求取得相关的技术资料：</w:t>
      </w:r>
    </w:p>
    <w:p w14:paraId="257EFE4A">
      <w:pPr>
        <w:ind w:firstLine="482" w:firstLineChars="200"/>
        <w:jc w:val="left"/>
        <w:rPr>
          <w:bCs/>
          <w:color w:val="auto"/>
        </w:rPr>
      </w:pPr>
      <w:r>
        <w:rPr>
          <w:b/>
          <w:color w:val="auto"/>
        </w:rPr>
        <w:t>1　</w:t>
      </w:r>
      <w:r>
        <w:t>综合管廊总平面布置图、横断面图及纵断面图；</w:t>
      </w:r>
    </w:p>
    <w:p w14:paraId="5E0664CF">
      <w:pPr>
        <w:ind w:firstLine="482" w:firstLineChars="200"/>
        <w:rPr>
          <w:bCs/>
          <w:color w:val="auto"/>
        </w:rPr>
      </w:pPr>
      <w:r>
        <w:rPr>
          <w:b/>
          <w:color w:val="auto"/>
        </w:rPr>
        <w:t>2　</w:t>
      </w:r>
      <w:r>
        <w:t>综合管廊埋置深度、荷载、基础类型及地基允许变形等资料</w:t>
      </w:r>
      <w:r>
        <w:rPr>
          <w:bCs/>
          <w:color w:val="auto"/>
        </w:rPr>
        <w:t>；</w:t>
      </w:r>
    </w:p>
    <w:p w14:paraId="37B31DEA">
      <w:pPr>
        <w:ind w:firstLine="482" w:firstLineChars="200"/>
      </w:pPr>
      <w:r>
        <w:rPr>
          <w:b/>
          <w:color w:val="auto"/>
        </w:rPr>
        <w:t>3　</w:t>
      </w:r>
      <w:r>
        <w:t>综合管廊结构材料类别及可能采取的施工方法；</w:t>
      </w:r>
    </w:p>
    <w:p w14:paraId="01D63C25">
      <w:pPr>
        <w:ind w:firstLine="482" w:firstLineChars="200"/>
      </w:pPr>
      <w:r>
        <w:rPr>
          <w:b/>
          <w:color w:val="auto"/>
        </w:rPr>
        <w:t>4　</w:t>
      </w:r>
      <w:r>
        <w:t>综合管廊周边环境状况，包含但不限于既有建（构）筑物基础类型、埋置深度及其与拟建综合管廊外边线的净距离，既有管线的类型、几何尺寸、埋置深度。</w:t>
      </w:r>
    </w:p>
    <w:p w14:paraId="7084101A">
      <w:pPr>
        <w:ind w:firstLine="0"/>
        <w:rPr>
          <w:bCs/>
          <w:color w:val="auto"/>
        </w:rPr>
      </w:pPr>
      <w:r>
        <w:rPr>
          <w:b/>
          <w:color w:val="auto"/>
        </w:rPr>
        <w:t>4.1.4　</w:t>
      </w:r>
      <w:r>
        <w:t>勘探点宜沿综合管廊结构外侧布置。明挖法综合管廊勘探点宜布置在综合管廊结构外侧3m内，非开挖综合管廊勘探点宜布置在综合管廊结构外侧3m～5m，水域段勘探点宜布置在综合管廊结构外侧6m～10m。</w:t>
      </w:r>
    </w:p>
    <w:p w14:paraId="229BC309">
      <w:pPr>
        <w:ind w:firstLine="0"/>
      </w:pPr>
      <w:r>
        <w:rPr>
          <w:b/>
          <w:color w:val="auto"/>
        </w:rPr>
        <w:t>4.1.5　</w:t>
      </w:r>
      <w:r>
        <w:t>勘探孔深度应满足地基基础设计及施工方法的要求。控制性勘探孔数量不应少于勘探孔总数的1/3，可行性研究勘察和初步勘察阶段宜以控制性勘探孔为主。</w:t>
      </w:r>
    </w:p>
    <w:p w14:paraId="4DAE1851">
      <w:pPr>
        <w:ind w:firstLine="0"/>
      </w:pPr>
      <w:r>
        <w:rPr>
          <w:b/>
          <w:color w:val="auto"/>
        </w:rPr>
        <w:t>4.1.6　</w:t>
      </w:r>
      <w:r>
        <w:t>各勘察阶段钻孔应结合施工工法要求，采取不同的封填方法对钻孔进行封填。勘探施工过程中，若钻孔中存在遗留物未取出，在勘察报告书应详细说明其埋藏深度、长度、大小、材质等。</w:t>
      </w:r>
    </w:p>
    <w:p w14:paraId="11494381">
      <w:pPr>
        <w:keepNext/>
        <w:spacing w:before="328" w:beforeLines="100" w:after="328" w:afterLines="100" w:line="240" w:lineRule="auto"/>
        <w:ind w:firstLine="0"/>
        <w:jc w:val="center"/>
        <w:outlineLvl w:val="1"/>
        <w:rPr>
          <w:rFonts w:eastAsia="黑体"/>
          <w:b/>
          <w:bCs/>
          <w:sz w:val="28"/>
          <w:szCs w:val="28"/>
        </w:rPr>
      </w:pPr>
      <w:bookmarkStart w:id="190" w:name="_Toc16496"/>
      <w:bookmarkStart w:id="191" w:name="_Toc10303"/>
      <w:bookmarkStart w:id="192" w:name="_Toc3850"/>
      <w:bookmarkStart w:id="193" w:name="_Toc19706"/>
      <w:bookmarkStart w:id="194" w:name="_Toc16248"/>
      <w:bookmarkStart w:id="195" w:name="_Toc9126"/>
      <w:bookmarkStart w:id="196" w:name="_Toc23094"/>
      <w:bookmarkStart w:id="197" w:name="_Toc193392074"/>
      <w:r>
        <w:rPr>
          <w:rFonts w:eastAsia="黑体"/>
          <w:b/>
          <w:bCs/>
          <w:sz w:val="28"/>
          <w:szCs w:val="28"/>
        </w:rPr>
        <w:t>4.2　可行性勘察阶段</w:t>
      </w:r>
      <w:bookmarkEnd w:id="190"/>
      <w:bookmarkEnd w:id="191"/>
      <w:bookmarkEnd w:id="192"/>
      <w:bookmarkEnd w:id="193"/>
      <w:bookmarkEnd w:id="194"/>
      <w:bookmarkEnd w:id="195"/>
      <w:bookmarkEnd w:id="196"/>
      <w:bookmarkEnd w:id="197"/>
    </w:p>
    <w:p w14:paraId="4CC09B99">
      <w:pPr>
        <w:ind w:firstLine="0"/>
      </w:pPr>
      <w:r>
        <w:rPr>
          <w:b/>
          <w:color w:val="auto"/>
        </w:rPr>
        <w:t>4.2.1　</w:t>
      </w:r>
      <w:r>
        <w:t>可行性研究勘察以搜集既有地质资料和工程地质调绘为主，已有资料不能满足本阶段勘察要求时，应进行必要的勘探工作。</w:t>
      </w:r>
    </w:p>
    <w:p w14:paraId="13699719">
      <w:pPr>
        <w:ind w:firstLine="0"/>
      </w:pPr>
      <w:r>
        <w:rPr>
          <w:b/>
          <w:color w:val="auto"/>
        </w:rPr>
        <w:t>4.2.2　</w:t>
      </w:r>
      <w:r>
        <w:t>工程地质测绘比例尺宜为1：2000～1：5000；山岭段测绘范围宜为管廊两侧外扩200m～300m，其余地段</w:t>
      </w:r>
      <w:r>
        <w:rPr>
          <w:rFonts w:hint="eastAsia"/>
        </w:rPr>
        <w:t>宜</w:t>
      </w:r>
      <w:r>
        <w:t>为管廊两侧外扩100m～200m；勘探孔间距不</w:t>
      </w:r>
      <w:r>
        <w:rPr>
          <w:rFonts w:hint="eastAsia"/>
        </w:rPr>
        <w:t>应</w:t>
      </w:r>
      <w:r>
        <w:t>大于1000m，每个工程地质单元均应有勘探孔。勘探孔深度应满足场地稳定性、适宜性评价和线路方案设计及工法选择的需要。</w:t>
      </w:r>
    </w:p>
    <w:p w14:paraId="5094432C">
      <w:pPr>
        <w:ind w:firstLine="0"/>
      </w:pPr>
      <w:r>
        <w:rPr>
          <w:b/>
          <w:color w:val="auto"/>
        </w:rPr>
        <w:t>4.2.3　</w:t>
      </w:r>
      <w:r>
        <w:t>可行性研究勘察应重点调查分析下列内容：</w:t>
      </w:r>
    </w:p>
    <w:p w14:paraId="1BCDA271">
      <w:pPr>
        <w:ind w:firstLine="482" w:firstLineChars="200"/>
        <w:rPr>
          <w:bCs/>
          <w:color w:val="auto"/>
        </w:rPr>
      </w:pPr>
      <w:r>
        <w:rPr>
          <w:b/>
          <w:color w:val="auto"/>
        </w:rPr>
        <w:t>1　</w:t>
      </w:r>
      <w:r>
        <w:t>搜集工程沿线的区域地质、地形、地貌、气象、水文、地震、工程地质、岩土工程资料和相关工程建设经验；</w:t>
      </w:r>
    </w:p>
    <w:p w14:paraId="2CC72E53">
      <w:pPr>
        <w:ind w:firstLine="482" w:firstLineChars="200"/>
        <w:jc w:val="left"/>
        <w:rPr>
          <w:bCs/>
          <w:color w:val="auto"/>
        </w:rPr>
      </w:pPr>
      <w:r>
        <w:rPr>
          <w:b/>
          <w:color w:val="auto"/>
        </w:rPr>
        <w:t>2　</w:t>
      </w:r>
      <w:r>
        <w:t>评价沿线工程地质条件，分析存在的岩土工程问题</w:t>
      </w:r>
      <w:r>
        <w:rPr>
          <w:bCs/>
          <w:color w:val="auto"/>
        </w:rPr>
        <w:t>；</w:t>
      </w:r>
    </w:p>
    <w:p w14:paraId="4D332515">
      <w:pPr>
        <w:ind w:firstLine="482" w:firstLineChars="200"/>
        <w:jc w:val="left"/>
      </w:pPr>
      <w:r>
        <w:rPr>
          <w:b/>
          <w:color w:val="auto"/>
        </w:rPr>
        <w:t>3　</w:t>
      </w:r>
      <w:r>
        <w:t>分析评价拟建场地的稳定性及适宜性；</w:t>
      </w:r>
    </w:p>
    <w:p w14:paraId="6046E41D">
      <w:pPr>
        <w:ind w:firstLine="482" w:firstLineChars="200"/>
      </w:pPr>
      <w:r>
        <w:rPr>
          <w:b/>
          <w:color w:val="auto"/>
        </w:rPr>
        <w:t>4　</w:t>
      </w:r>
      <w:r>
        <w:t>分析工程周边环境与管廊工程的相互影响，提出规避、保护的初步建议；</w:t>
      </w:r>
    </w:p>
    <w:p w14:paraId="3001FB2A">
      <w:pPr>
        <w:ind w:firstLine="482" w:firstLineChars="200"/>
      </w:pPr>
      <w:r>
        <w:rPr>
          <w:b/>
          <w:color w:val="auto"/>
        </w:rPr>
        <w:t>5　</w:t>
      </w:r>
      <w:r>
        <w:t>存在两个或两个以上拟选场地时，提出线路方案比选建议。</w:t>
      </w:r>
    </w:p>
    <w:p w14:paraId="52DB453E">
      <w:pPr>
        <w:keepNext/>
        <w:spacing w:before="328" w:beforeLines="100" w:after="328" w:afterLines="100" w:line="240" w:lineRule="auto"/>
        <w:ind w:firstLine="0"/>
        <w:jc w:val="center"/>
        <w:outlineLvl w:val="1"/>
        <w:rPr>
          <w:rFonts w:eastAsia="黑体"/>
          <w:b/>
          <w:bCs/>
          <w:sz w:val="28"/>
          <w:szCs w:val="28"/>
        </w:rPr>
      </w:pPr>
      <w:bookmarkStart w:id="198" w:name="_Toc32413"/>
      <w:bookmarkStart w:id="199" w:name="_Toc193392075"/>
      <w:bookmarkStart w:id="200" w:name="_Toc12856"/>
      <w:bookmarkStart w:id="201" w:name="_Toc603"/>
      <w:bookmarkStart w:id="202" w:name="_Toc9037"/>
      <w:bookmarkStart w:id="203" w:name="_Toc13577"/>
      <w:bookmarkStart w:id="204" w:name="_Toc28372"/>
      <w:bookmarkStart w:id="205" w:name="_Toc14236"/>
      <w:r>
        <w:rPr>
          <w:rFonts w:eastAsia="黑体"/>
          <w:b/>
          <w:bCs/>
          <w:sz w:val="28"/>
          <w:szCs w:val="28"/>
        </w:rPr>
        <w:t>4.3　初步勘察</w:t>
      </w:r>
      <w:bookmarkEnd w:id="198"/>
      <w:bookmarkEnd w:id="199"/>
      <w:bookmarkEnd w:id="200"/>
      <w:bookmarkEnd w:id="201"/>
      <w:bookmarkEnd w:id="202"/>
      <w:bookmarkEnd w:id="203"/>
      <w:bookmarkEnd w:id="204"/>
      <w:bookmarkEnd w:id="205"/>
    </w:p>
    <w:p w14:paraId="582727C3">
      <w:pPr>
        <w:ind w:firstLine="0"/>
      </w:pPr>
      <w:r>
        <w:rPr>
          <w:b/>
          <w:color w:val="auto"/>
        </w:rPr>
        <w:t>4.3.1　</w:t>
      </w:r>
      <w:r>
        <w:t>初步勘察宜在可行性研究勘察的基础上进行，勘察方法以工程地质测绘、钻探取样、原位测试、室内试验为主，辅以必要的井探、槽探、洞探、工程物探和水文地质试验等勘察手段。</w:t>
      </w:r>
    </w:p>
    <w:p w14:paraId="25FE5448">
      <w:pPr>
        <w:ind w:firstLine="0"/>
      </w:pPr>
      <w:r>
        <w:rPr>
          <w:b/>
          <w:color w:val="auto"/>
        </w:rPr>
        <w:t>4.3.2　</w:t>
      </w:r>
      <w:r>
        <w:t>工程地质测绘比例尺宜为1：1000～1：2000。工程物探方法的选择和物探线的布置应根据综合管廊沿线地形、地貌、工程地质条件及周边环境综合确定。</w:t>
      </w:r>
    </w:p>
    <w:p w14:paraId="0216474C">
      <w:pPr>
        <w:ind w:firstLine="0"/>
      </w:pPr>
      <w:r>
        <w:rPr>
          <w:b/>
          <w:color w:val="auto"/>
        </w:rPr>
        <w:t>4.3.3　</w:t>
      </w:r>
      <w:r>
        <w:t>初步勘察的勘探点间距和深度应根据综合管廊工程重要性等级、场地或岩土条件复杂程度和施工方法确定，并符合现行协会标准《城市综合管廊岩土工程勘察标准》T/CECS 1324的有关规定。</w:t>
      </w:r>
    </w:p>
    <w:p w14:paraId="1DB57351">
      <w:pPr>
        <w:ind w:firstLine="0"/>
      </w:pPr>
      <w:r>
        <w:rPr>
          <w:b/>
          <w:color w:val="auto"/>
        </w:rPr>
        <w:t>4.3.4　</w:t>
      </w:r>
      <w:r>
        <w:t>初步勘察应重点分析评价下列内容：</w:t>
      </w:r>
    </w:p>
    <w:p w14:paraId="6A531F48">
      <w:pPr>
        <w:ind w:firstLine="482" w:firstLineChars="200"/>
        <w:jc w:val="left"/>
        <w:rPr>
          <w:b/>
          <w:color w:val="auto"/>
        </w:rPr>
      </w:pPr>
      <w:r>
        <w:rPr>
          <w:b/>
          <w:color w:val="auto"/>
        </w:rPr>
        <w:t>1　</w:t>
      </w:r>
      <w:bookmarkStart w:id="206" w:name="_Hlk192969523"/>
      <w:r>
        <w:t>初步查明沿线地质构造、地层岩性的分布及工程性质、水文地质条件；</w:t>
      </w:r>
    </w:p>
    <w:bookmarkEnd w:id="206"/>
    <w:p w14:paraId="64187440">
      <w:pPr>
        <w:ind w:firstLine="482" w:firstLineChars="200"/>
        <w:jc w:val="left"/>
        <w:rPr>
          <w:bCs/>
          <w:color w:val="auto"/>
        </w:rPr>
      </w:pPr>
      <w:r>
        <w:rPr>
          <w:b/>
          <w:color w:val="auto"/>
        </w:rPr>
        <w:t>2　</w:t>
      </w:r>
      <w:r>
        <w:rPr>
          <w:bCs/>
          <w:color w:val="auto"/>
        </w:rPr>
        <w:t>查明不良地质作用及其分布范围，分析其对工程的危害并提出防治措施建议；</w:t>
      </w:r>
    </w:p>
    <w:p w14:paraId="2394F693">
      <w:pPr>
        <w:ind w:firstLine="482" w:firstLineChars="200"/>
        <w:jc w:val="left"/>
        <w:rPr>
          <w:bCs/>
          <w:color w:val="auto"/>
        </w:rPr>
      </w:pPr>
      <w:r>
        <w:rPr>
          <w:b/>
          <w:color w:val="auto"/>
        </w:rPr>
        <w:t>3　</w:t>
      </w:r>
      <w:r>
        <w:rPr>
          <w:bCs/>
          <w:color w:val="auto"/>
        </w:rPr>
        <w:t>初步分析评价特殊性岩土对工程建设的影响；</w:t>
      </w:r>
    </w:p>
    <w:p w14:paraId="0AB702F8">
      <w:pPr>
        <w:ind w:firstLine="482" w:firstLineChars="200"/>
        <w:jc w:val="left"/>
        <w:rPr>
          <w:bCs/>
          <w:color w:val="auto"/>
        </w:rPr>
      </w:pPr>
      <w:r>
        <w:rPr>
          <w:b/>
          <w:color w:val="auto"/>
        </w:rPr>
        <w:t>4　</w:t>
      </w:r>
      <w:r>
        <w:rPr>
          <w:bCs/>
          <w:color w:val="auto"/>
        </w:rPr>
        <w:t>初步判定场地水和土对建筑材料的腐蚀性；</w:t>
      </w:r>
    </w:p>
    <w:p w14:paraId="1044B624">
      <w:pPr>
        <w:ind w:firstLine="482" w:firstLineChars="200"/>
        <w:jc w:val="left"/>
        <w:rPr>
          <w:bCs/>
          <w:color w:val="auto"/>
        </w:rPr>
      </w:pPr>
      <w:r>
        <w:rPr>
          <w:b/>
          <w:color w:val="auto"/>
        </w:rPr>
        <w:t>5　</w:t>
      </w:r>
      <w:r>
        <w:rPr>
          <w:bCs/>
          <w:color w:val="auto"/>
        </w:rPr>
        <w:t>初步评价场地和地基的地震效用；</w:t>
      </w:r>
    </w:p>
    <w:p w14:paraId="2B15997C">
      <w:pPr>
        <w:ind w:firstLine="482" w:firstLineChars="200"/>
        <w:jc w:val="left"/>
        <w:rPr>
          <w:bCs/>
          <w:color w:val="auto"/>
        </w:rPr>
      </w:pPr>
      <w:r>
        <w:rPr>
          <w:b/>
          <w:color w:val="auto"/>
        </w:rPr>
        <w:t>6　</w:t>
      </w:r>
      <w:r>
        <w:rPr>
          <w:bCs/>
          <w:color w:val="auto"/>
        </w:rPr>
        <w:t>评价场地稳定性及适宜性；</w:t>
      </w:r>
    </w:p>
    <w:p w14:paraId="30E1A260">
      <w:pPr>
        <w:ind w:firstLine="482" w:firstLineChars="200"/>
        <w:jc w:val="left"/>
        <w:rPr>
          <w:bCs/>
          <w:color w:val="auto"/>
        </w:rPr>
      </w:pPr>
      <w:r>
        <w:rPr>
          <w:b/>
          <w:color w:val="auto"/>
        </w:rPr>
        <w:t>7　</w:t>
      </w:r>
      <w:r>
        <w:rPr>
          <w:bCs/>
          <w:color w:val="auto"/>
        </w:rPr>
        <w:t>初步分析评价岩土工程问题及可能采用的地基基础方案；</w:t>
      </w:r>
    </w:p>
    <w:p w14:paraId="767FFB6A">
      <w:pPr>
        <w:ind w:firstLine="482" w:firstLineChars="200"/>
        <w:jc w:val="left"/>
        <w:rPr>
          <w:bCs/>
          <w:color w:val="auto"/>
        </w:rPr>
      </w:pPr>
      <w:r>
        <w:rPr>
          <w:b/>
          <w:color w:val="auto"/>
        </w:rPr>
        <w:t>8　</w:t>
      </w:r>
      <w:r>
        <w:rPr>
          <w:bCs/>
          <w:color w:val="auto"/>
        </w:rPr>
        <w:t>下一阶段勘察工作的建议。</w:t>
      </w:r>
    </w:p>
    <w:p w14:paraId="101E7F83">
      <w:pPr>
        <w:keepNext/>
        <w:spacing w:before="328" w:beforeLines="100" w:after="328" w:afterLines="100" w:line="240" w:lineRule="auto"/>
        <w:ind w:firstLine="0"/>
        <w:jc w:val="center"/>
        <w:outlineLvl w:val="1"/>
        <w:rPr>
          <w:rFonts w:eastAsia="黑体"/>
          <w:b/>
          <w:bCs/>
          <w:sz w:val="28"/>
          <w:szCs w:val="28"/>
        </w:rPr>
      </w:pPr>
      <w:bookmarkStart w:id="207" w:name="_Toc26325"/>
      <w:bookmarkStart w:id="208" w:name="_Toc8404"/>
      <w:bookmarkStart w:id="209" w:name="_Toc31665"/>
      <w:bookmarkStart w:id="210" w:name="_Toc10287"/>
      <w:bookmarkStart w:id="211" w:name="_Toc5104"/>
      <w:bookmarkStart w:id="212" w:name="_Toc22841"/>
      <w:bookmarkStart w:id="213" w:name="_Toc14648"/>
      <w:bookmarkStart w:id="214" w:name="_Toc193392076"/>
      <w:r>
        <w:rPr>
          <w:rFonts w:eastAsia="黑体"/>
          <w:b/>
          <w:bCs/>
          <w:sz w:val="28"/>
          <w:szCs w:val="28"/>
        </w:rPr>
        <w:t>4.4　详细勘察</w:t>
      </w:r>
      <w:bookmarkEnd w:id="207"/>
      <w:bookmarkEnd w:id="208"/>
      <w:bookmarkEnd w:id="209"/>
      <w:bookmarkEnd w:id="210"/>
      <w:bookmarkEnd w:id="211"/>
      <w:bookmarkEnd w:id="212"/>
      <w:bookmarkEnd w:id="213"/>
      <w:bookmarkEnd w:id="214"/>
    </w:p>
    <w:p w14:paraId="340848F7">
      <w:pPr>
        <w:ind w:firstLine="0"/>
        <w:jc w:val="left"/>
      </w:pPr>
      <w:r>
        <w:rPr>
          <w:b/>
          <w:color w:val="auto"/>
        </w:rPr>
        <w:t>4.4.1　</w:t>
      </w:r>
      <w:r>
        <w:t>详细勘察宜在初步勘察的基础上进行，根据工程特点、工程地质、水文地质和工程周边环境等条件，采用钻探取样、原位测试、室内试验为主，辅以工程地质调绘、井探、槽探、洞探、工程物探和水文地质试验等勘察手段，进行岩土工程分析与评价，提供详细的岩土工程资料和设计、施工所需的岩土参数，并提出相关建议。</w:t>
      </w:r>
    </w:p>
    <w:p w14:paraId="3D4971C6">
      <w:pPr>
        <w:ind w:firstLine="0"/>
      </w:pPr>
      <w:r>
        <w:rPr>
          <w:b/>
          <w:color w:val="auto"/>
        </w:rPr>
        <w:t>4.4.2　</w:t>
      </w:r>
      <w:r>
        <w:t>详细勘察的勘探点间距和深度应根据综合管廊工程重要性等级、场地或岩土条件复杂程度和施工方法确定，并应符合现行协会标准《城市综合管廊岩土工程勘察标准》T/CECS 1324的有关规定。</w:t>
      </w:r>
    </w:p>
    <w:p w14:paraId="1A0E03E9">
      <w:pPr>
        <w:ind w:firstLine="0"/>
      </w:pPr>
      <w:r>
        <w:rPr>
          <w:b/>
          <w:color w:val="auto"/>
        </w:rPr>
        <w:t>4.4.3　</w:t>
      </w:r>
      <w:r>
        <w:t>非开挖综合管廊工程应调查沿线地下有害气体情况。</w:t>
      </w:r>
    </w:p>
    <w:p w14:paraId="2527B90B">
      <w:pPr>
        <w:ind w:firstLine="0"/>
      </w:pPr>
      <w:r>
        <w:rPr>
          <w:b/>
          <w:color w:val="auto"/>
        </w:rPr>
        <w:t>4.4.4　</w:t>
      </w:r>
      <w:r>
        <w:t>详细勘察阶段勘探点布置应符合下列规定：</w:t>
      </w:r>
    </w:p>
    <w:p w14:paraId="7EDA9C2A">
      <w:pPr>
        <w:ind w:firstLine="482" w:firstLineChars="200"/>
        <w:rPr>
          <w:b/>
          <w:color w:val="auto"/>
        </w:rPr>
      </w:pPr>
      <w:r>
        <w:rPr>
          <w:b/>
          <w:color w:val="auto"/>
        </w:rPr>
        <w:t>1　</w:t>
      </w:r>
      <w:r>
        <w:t>综合管廊走向转角处、节点处或工作井处宜布置勘探点；</w:t>
      </w:r>
    </w:p>
    <w:p w14:paraId="73313D20">
      <w:pPr>
        <w:ind w:left="398" w:leftChars="166" w:firstLine="77" w:firstLineChars="32"/>
      </w:pPr>
      <w:r>
        <w:rPr>
          <w:b/>
          <w:color w:val="auto"/>
        </w:rPr>
        <w:t>2　</w:t>
      </w:r>
      <w:r>
        <w:t>在不同地貌单元交界处、微地貌及地层变化较大的地段宜适当加密勘探点；</w:t>
      </w:r>
    </w:p>
    <w:p w14:paraId="27D8DC92">
      <w:pPr>
        <w:ind w:left="398" w:leftChars="166" w:firstLine="77" w:firstLineChars="32"/>
      </w:pPr>
      <w:r>
        <w:rPr>
          <w:b/>
          <w:color w:val="auto"/>
        </w:rPr>
        <w:t>3　</w:t>
      </w:r>
      <w:r>
        <w:t>在特殊性岩土分布地段和不良地质作用发育地段，宜加密勘探点</w:t>
      </w:r>
      <w:r>
        <w:rPr>
          <w:bCs/>
          <w:color w:val="auto"/>
        </w:rPr>
        <w:t>；</w:t>
      </w:r>
    </w:p>
    <w:p w14:paraId="61DB88DA">
      <w:pPr>
        <w:ind w:firstLine="482" w:firstLineChars="200"/>
        <w:rPr>
          <w:bCs/>
          <w:color w:val="auto"/>
        </w:rPr>
      </w:pPr>
      <w:r>
        <w:rPr>
          <w:b/>
        </w:rPr>
        <w:t>4</w:t>
      </w:r>
      <w:r>
        <w:t>　综合管廊穿越河流、道路、铁路和轨道交通线路时，在其两侧应布置勘探点</w:t>
      </w:r>
      <w:r>
        <w:rPr>
          <w:bCs/>
          <w:color w:val="auto"/>
        </w:rPr>
        <w:t>；</w:t>
      </w:r>
    </w:p>
    <w:p w14:paraId="0B7ED4B0">
      <w:pPr>
        <w:ind w:left="398" w:leftChars="166" w:firstLine="77" w:firstLineChars="32"/>
        <w:rPr>
          <w:bCs/>
          <w:color w:val="auto"/>
        </w:rPr>
      </w:pPr>
      <w:r>
        <w:rPr>
          <w:b/>
          <w:color w:val="auto"/>
        </w:rPr>
        <w:t>5　</w:t>
      </w:r>
      <w:r>
        <w:t>综合管廊穿越埋藏的河道、沟浜等地段时，宜加密勘探点</w:t>
      </w:r>
      <w:r>
        <w:rPr>
          <w:bCs/>
          <w:color w:val="auto"/>
        </w:rPr>
        <w:t>；</w:t>
      </w:r>
    </w:p>
    <w:p w14:paraId="0D014156">
      <w:pPr>
        <w:ind w:left="398" w:leftChars="166" w:firstLine="77" w:firstLineChars="32"/>
        <w:rPr>
          <w:bCs/>
          <w:color w:val="auto"/>
        </w:rPr>
      </w:pPr>
      <w:r>
        <w:rPr>
          <w:b/>
          <w:color w:val="auto"/>
        </w:rPr>
        <w:t>6　</w:t>
      </w:r>
      <w:r>
        <w:t>地质条件复杂的地段应根据施工工法的特点，必要时布置横断面勘探孔。</w:t>
      </w:r>
    </w:p>
    <w:p w14:paraId="5C9187EF">
      <w:pPr>
        <w:ind w:firstLine="0"/>
      </w:pPr>
      <w:r>
        <w:rPr>
          <w:b/>
          <w:color w:val="auto"/>
        </w:rPr>
        <w:t>4.4.5　</w:t>
      </w:r>
      <w:r>
        <w:t>详细勘察阶段勘探点布置应符合下列规定：</w:t>
      </w:r>
    </w:p>
    <w:p w14:paraId="4F662AD7">
      <w:pPr>
        <w:ind w:firstLine="482" w:firstLineChars="200"/>
        <w:rPr>
          <w:b/>
          <w:color w:val="auto"/>
        </w:rPr>
      </w:pPr>
      <w:r>
        <w:rPr>
          <w:b/>
          <w:color w:val="auto"/>
        </w:rPr>
        <w:t>1　</w:t>
      </w:r>
      <w:r>
        <w:t>查明沿线地质构造、地层岩性的分布及工程性质，提出各岩土层物理力学参数，分析和评价地基的稳定性、均匀性和承载力；</w:t>
      </w:r>
    </w:p>
    <w:p w14:paraId="66E9744E">
      <w:pPr>
        <w:ind w:firstLine="482" w:firstLineChars="200"/>
      </w:pPr>
      <w:r>
        <w:rPr>
          <w:b/>
          <w:color w:val="auto"/>
        </w:rPr>
        <w:t>2　</w:t>
      </w:r>
      <w:r>
        <w:t>分析评价不良地质作用及特殊性岩土对综合管廊建设的影响，并提出处理措施建议；</w:t>
      </w:r>
    </w:p>
    <w:p w14:paraId="067798D8">
      <w:pPr>
        <w:ind w:firstLine="482" w:firstLineChars="200"/>
      </w:pPr>
      <w:r>
        <w:rPr>
          <w:b/>
          <w:color w:val="auto"/>
        </w:rPr>
        <w:t>3　</w:t>
      </w:r>
      <w:r>
        <w:t>查明埋藏的河道、沟浜、墓穴、防空洞、孤石等对工程不利的埋藏物</w:t>
      </w:r>
      <w:r>
        <w:rPr>
          <w:bCs/>
          <w:color w:val="auto"/>
        </w:rPr>
        <w:t>；</w:t>
      </w:r>
    </w:p>
    <w:p w14:paraId="01A8E403">
      <w:pPr>
        <w:ind w:firstLine="482" w:firstLineChars="200"/>
        <w:rPr>
          <w:bCs/>
          <w:color w:val="auto"/>
        </w:rPr>
      </w:pPr>
      <w:r>
        <w:rPr>
          <w:b/>
          <w:bCs/>
        </w:rPr>
        <w:t>4　</w:t>
      </w:r>
      <w:r>
        <w:t>季节性冻土地区，提供场地土的标准冻结深度</w:t>
      </w:r>
      <w:r>
        <w:rPr>
          <w:bCs/>
          <w:color w:val="auto"/>
        </w:rPr>
        <w:t>；</w:t>
      </w:r>
    </w:p>
    <w:p w14:paraId="5323085A">
      <w:pPr>
        <w:ind w:firstLine="482" w:firstLineChars="200"/>
        <w:rPr>
          <w:bCs/>
          <w:color w:val="auto"/>
        </w:rPr>
      </w:pPr>
      <w:r>
        <w:rPr>
          <w:b/>
          <w:color w:val="auto"/>
        </w:rPr>
        <w:t>5　</w:t>
      </w:r>
      <w:r>
        <w:t>查明沿线地表水的分布，分析地表水对工程可能造成的危害</w:t>
      </w:r>
      <w:r>
        <w:rPr>
          <w:bCs/>
          <w:color w:val="auto"/>
        </w:rPr>
        <w:t>；</w:t>
      </w:r>
    </w:p>
    <w:p w14:paraId="3365890A">
      <w:pPr>
        <w:ind w:firstLine="482" w:firstLineChars="200"/>
      </w:pPr>
      <w:r>
        <w:rPr>
          <w:b/>
          <w:color w:val="auto"/>
        </w:rPr>
        <w:t>6　</w:t>
      </w:r>
      <w:r>
        <w:t>查明地下水的埋藏条件，提供地下水位及其变化幅度，分析评价地下水对工程设计、施工的影响，提供地下水控制所需参数，评价地下水控制对工程周边环境的影响；</w:t>
      </w:r>
    </w:p>
    <w:p w14:paraId="6E4FF8B9">
      <w:pPr>
        <w:ind w:firstLine="482" w:firstLineChars="200"/>
        <w:jc w:val="left"/>
        <w:rPr>
          <w:bCs/>
          <w:color w:val="auto"/>
        </w:rPr>
      </w:pPr>
      <w:r>
        <w:rPr>
          <w:b/>
          <w:color w:val="auto"/>
        </w:rPr>
        <w:t>7　</w:t>
      </w:r>
      <w:r>
        <w:t>分析评价地下水、土对建筑材料的腐蚀性；</w:t>
      </w:r>
    </w:p>
    <w:p w14:paraId="7AA0BEA8">
      <w:pPr>
        <w:ind w:firstLine="482" w:firstLineChars="200"/>
        <w:jc w:val="left"/>
        <w:rPr>
          <w:bCs/>
          <w:color w:val="auto"/>
        </w:rPr>
      </w:pPr>
      <w:r>
        <w:rPr>
          <w:b/>
          <w:color w:val="auto"/>
        </w:rPr>
        <w:t>8　</w:t>
      </w:r>
      <w:r>
        <w:t>评价场地与地基的地震效应；</w:t>
      </w:r>
    </w:p>
    <w:p w14:paraId="46C5E3A9">
      <w:pPr>
        <w:ind w:firstLine="482" w:firstLineChars="200"/>
        <w:jc w:val="left"/>
        <w:rPr>
          <w:bCs/>
          <w:color w:val="auto"/>
        </w:rPr>
      </w:pPr>
      <w:r>
        <w:rPr>
          <w:b/>
          <w:color w:val="auto"/>
        </w:rPr>
        <w:t>9　</w:t>
      </w:r>
      <w:r>
        <w:t>评价场地稳定性和工程建设适宜性；</w:t>
      </w:r>
    </w:p>
    <w:p w14:paraId="4290AEA4">
      <w:pPr>
        <w:ind w:firstLine="482" w:firstLineChars="200"/>
        <w:jc w:val="left"/>
      </w:pPr>
      <w:r>
        <w:rPr>
          <w:b/>
          <w:color w:val="auto"/>
        </w:rPr>
        <w:t>10　</w:t>
      </w:r>
      <w:r>
        <w:t>分析评价岩土工程问题，并提出设计、施工的建议；</w:t>
      </w:r>
    </w:p>
    <w:p w14:paraId="3D6A154B">
      <w:pPr>
        <w:ind w:firstLine="482" w:firstLineChars="200"/>
        <w:jc w:val="left"/>
      </w:pPr>
      <w:r>
        <w:rPr>
          <w:b/>
          <w:color w:val="auto"/>
        </w:rPr>
        <w:t>11　</w:t>
      </w:r>
      <w:r>
        <w:t>分析评价既有地下管线、地下建（构）筑物及其他建（构）筑物基础对综合管廊的影响及程度，并提出处理措施建议；</w:t>
      </w:r>
    </w:p>
    <w:p w14:paraId="3CFF1587">
      <w:pPr>
        <w:ind w:firstLine="482" w:firstLineChars="200"/>
        <w:jc w:val="left"/>
      </w:pPr>
      <w:r>
        <w:rPr>
          <w:b/>
          <w:color w:val="auto"/>
        </w:rPr>
        <w:t>12　</w:t>
      </w:r>
      <w:r>
        <w:t>综合管廊穿越河岸时，应分析评价岸坡稳定性及其对综合管廊的影响，并提出相关建议；</w:t>
      </w:r>
    </w:p>
    <w:p w14:paraId="533AFB27">
      <w:pPr>
        <w:ind w:firstLine="482" w:firstLineChars="200"/>
        <w:jc w:val="left"/>
      </w:pPr>
      <w:r>
        <w:rPr>
          <w:b/>
          <w:color w:val="auto"/>
        </w:rPr>
        <w:t>13　</w:t>
      </w:r>
      <w:r>
        <w:t>评价地质条件可能造成的工程风险，提出防治措施建议.</w:t>
      </w:r>
    </w:p>
    <w:p w14:paraId="00E0EEEC">
      <w:pPr>
        <w:ind w:firstLine="0"/>
        <w:jc w:val="left"/>
      </w:pPr>
      <w:r>
        <w:rPr>
          <w:b/>
          <w:color w:val="auto"/>
        </w:rPr>
        <w:t>4.4.6　</w:t>
      </w:r>
      <w:r>
        <w:t>针对施工工法及施工工艺的特殊要求、对工程设计及施工有重大影响的工程地质问题、尚待查明的专门问题及其他需要施工勘察的情况，应开展施工勘察或专项勘察工作。</w:t>
      </w:r>
    </w:p>
    <w:p w14:paraId="3AEB656F">
      <w:pPr>
        <w:pStyle w:val="19"/>
        <w:widowControl w:val="0"/>
        <w:spacing w:beforeLines="0" w:afterLines="0"/>
        <w:jc w:val="center"/>
        <w:outlineLvl w:val="0"/>
        <w:rPr>
          <w:rFonts w:ascii="Times New Roman" w:eastAsia="宋体"/>
          <w:b/>
          <w:bCs/>
          <w:sz w:val="30"/>
          <w:szCs w:val="30"/>
        </w:rPr>
        <w:sectPr>
          <w:footerReference r:id="rId8" w:type="default"/>
          <w:pgSz w:w="11906" w:h="16838"/>
          <w:pgMar w:top="1984" w:right="1701" w:bottom="1701" w:left="1701" w:header="1701" w:footer="1417" w:gutter="0"/>
          <w:pgNumType w:start="1"/>
          <w:cols w:space="0" w:num="1"/>
          <w:docGrid w:type="lines" w:linePitch="328" w:charSpace="0"/>
        </w:sectPr>
      </w:pPr>
    </w:p>
    <w:p w14:paraId="593AF973">
      <w:pPr>
        <w:pStyle w:val="20"/>
        <w:ind w:firstLine="420"/>
        <w:rPr>
          <w:rFonts w:ascii="Times New Roman"/>
        </w:rPr>
      </w:pPr>
    </w:p>
    <w:p w14:paraId="5E5C14BB">
      <w:pPr>
        <w:pStyle w:val="19"/>
        <w:widowControl w:val="0"/>
        <w:spacing w:before="328" w:beforeLines="100" w:after="328" w:afterLines="100" w:line="360" w:lineRule="auto"/>
        <w:jc w:val="center"/>
        <w:outlineLvl w:val="0"/>
        <w:rPr>
          <w:rFonts w:ascii="Times New Roman" w:eastAsia="宋体"/>
          <w:b/>
          <w:sz w:val="32"/>
        </w:rPr>
      </w:pPr>
      <w:bookmarkStart w:id="215" w:name="_Toc31043"/>
      <w:bookmarkStart w:id="216" w:name="_Toc21347"/>
      <w:bookmarkStart w:id="217" w:name="_Toc2060"/>
      <w:bookmarkStart w:id="218" w:name="_Toc18374"/>
      <w:bookmarkStart w:id="219" w:name="_Toc21566"/>
      <w:bookmarkStart w:id="220" w:name="_Toc28463"/>
      <w:bookmarkStart w:id="221" w:name="_Toc7413"/>
      <w:bookmarkStart w:id="222" w:name="_Toc25036"/>
      <w:bookmarkStart w:id="223" w:name="_Toc193392077"/>
      <w:r>
        <w:rPr>
          <w:rFonts w:ascii="Times New Roman" w:eastAsia="宋体"/>
          <w:b/>
          <w:sz w:val="32"/>
        </w:rPr>
        <w:t>5　岩土工程设计</w:t>
      </w:r>
      <w:bookmarkEnd w:id="215"/>
      <w:bookmarkEnd w:id="216"/>
      <w:bookmarkEnd w:id="217"/>
      <w:bookmarkEnd w:id="218"/>
      <w:bookmarkEnd w:id="219"/>
      <w:bookmarkEnd w:id="220"/>
      <w:bookmarkEnd w:id="221"/>
      <w:bookmarkEnd w:id="222"/>
      <w:bookmarkEnd w:id="223"/>
    </w:p>
    <w:p w14:paraId="672A966A">
      <w:pPr>
        <w:keepNext/>
        <w:spacing w:before="328" w:beforeLines="100" w:after="328" w:afterLines="100" w:line="240" w:lineRule="auto"/>
        <w:ind w:firstLine="0"/>
        <w:jc w:val="center"/>
        <w:outlineLvl w:val="1"/>
        <w:rPr>
          <w:rFonts w:eastAsia="黑体"/>
          <w:b/>
          <w:bCs/>
          <w:sz w:val="28"/>
          <w:szCs w:val="28"/>
        </w:rPr>
      </w:pPr>
      <w:bookmarkStart w:id="224" w:name="_Toc9532"/>
      <w:bookmarkStart w:id="225" w:name="_Toc12898"/>
      <w:bookmarkStart w:id="226" w:name="_Toc26739"/>
      <w:bookmarkStart w:id="227" w:name="_Toc193392078"/>
      <w:bookmarkStart w:id="228" w:name="_Toc7533"/>
      <w:bookmarkStart w:id="229" w:name="_Toc21422"/>
      <w:bookmarkStart w:id="230" w:name="_Toc19036"/>
      <w:bookmarkStart w:id="231" w:name="_Toc16026"/>
      <w:r>
        <w:rPr>
          <w:rFonts w:eastAsia="黑体"/>
          <w:b/>
          <w:bCs/>
          <w:sz w:val="28"/>
          <w:szCs w:val="28"/>
        </w:rPr>
        <w:t>5.1　一般规定</w:t>
      </w:r>
      <w:bookmarkEnd w:id="224"/>
      <w:bookmarkEnd w:id="225"/>
      <w:bookmarkEnd w:id="226"/>
      <w:bookmarkEnd w:id="227"/>
      <w:bookmarkEnd w:id="228"/>
      <w:bookmarkEnd w:id="229"/>
      <w:bookmarkEnd w:id="230"/>
      <w:bookmarkEnd w:id="231"/>
    </w:p>
    <w:p w14:paraId="754064FD">
      <w:pPr>
        <w:ind w:firstLine="0"/>
        <w:rPr>
          <w:bCs/>
          <w:color w:val="auto"/>
        </w:rPr>
      </w:pPr>
      <w:r>
        <w:rPr>
          <w:b/>
          <w:color w:val="auto"/>
        </w:rPr>
        <w:t>5.1.1　</w:t>
      </w:r>
      <w:r>
        <w:rPr>
          <w:bCs/>
          <w:color w:val="auto"/>
        </w:rPr>
        <w:t>综合管廊岩土工程极限状态应分两类，综合管廊岩土工程设计时，应同时满足两种极限状态的验算要求：</w:t>
      </w:r>
    </w:p>
    <w:p w14:paraId="48836641">
      <w:pPr>
        <w:ind w:firstLine="482" w:firstLineChars="200"/>
        <w:rPr>
          <w:bCs/>
          <w:color w:val="auto"/>
        </w:rPr>
      </w:pPr>
      <w:r>
        <w:rPr>
          <w:b/>
          <w:color w:val="auto"/>
        </w:rPr>
        <w:t>1　</w:t>
      </w:r>
      <w:r>
        <w:rPr>
          <w:bCs/>
          <w:color w:val="auto"/>
        </w:rPr>
        <w:t>承载能力极限状态：对应于岩土工程达到最大承载能力或不适于继续承载的变形；</w:t>
      </w:r>
    </w:p>
    <w:p w14:paraId="176AA3A7">
      <w:pPr>
        <w:ind w:firstLine="482" w:firstLineChars="200"/>
        <w:rPr>
          <w:bCs/>
          <w:color w:val="auto"/>
        </w:rPr>
      </w:pPr>
      <w:r>
        <w:rPr>
          <w:b/>
          <w:color w:val="auto"/>
        </w:rPr>
        <w:t>2　</w:t>
      </w:r>
      <w:r>
        <w:rPr>
          <w:bCs/>
          <w:color w:val="auto"/>
        </w:rPr>
        <w:t>正常使用极限状态：对应于岩土工程达到结构正常使用所规定的变形极限值或达到耐久性要求的某项极限值；</w:t>
      </w:r>
    </w:p>
    <w:p w14:paraId="28B76600">
      <w:pPr>
        <w:ind w:firstLine="0"/>
        <w:rPr>
          <w:bCs/>
          <w:color w:val="auto"/>
        </w:rPr>
      </w:pPr>
      <w:r>
        <w:rPr>
          <w:b/>
          <w:color w:val="auto"/>
        </w:rPr>
        <w:t>5.1.2　</w:t>
      </w:r>
      <w:r>
        <w:rPr>
          <w:bCs/>
          <w:color w:val="auto"/>
        </w:rPr>
        <w:t>综合管廊地基处理工程，应符合</w:t>
      </w:r>
      <w:r>
        <w:rPr>
          <w:bCs/>
        </w:rPr>
        <w:t>国家现行标准</w:t>
      </w:r>
      <w:r>
        <w:rPr>
          <w:bCs/>
          <w:color w:val="auto"/>
        </w:rPr>
        <w:t>《建筑地基基础设计规范》GB 50007和《建筑地基处理技术规范》JGJ 79等的有关规定。</w:t>
      </w:r>
    </w:p>
    <w:p w14:paraId="7E9864E1">
      <w:pPr>
        <w:ind w:firstLine="0"/>
        <w:rPr>
          <w:bCs/>
          <w:color w:val="auto"/>
        </w:rPr>
      </w:pPr>
      <w:r>
        <w:rPr>
          <w:b/>
          <w:color w:val="auto"/>
        </w:rPr>
        <w:t>5.1.3　</w:t>
      </w:r>
      <w:r>
        <w:rPr>
          <w:bCs/>
          <w:color w:val="auto"/>
        </w:rPr>
        <w:t>综合管廊明挖段支护应综合考虑地质条件、管廊明挖段周边环境要求、管廊主体结构要求、施工季节变化等因素，选用合理的基坑（槽）支护体系。</w:t>
      </w:r>
    </w:p>
    <w:p w14:paraId="6448DA19">
      <w:pPr>
        <w:ind w:firstLine="0"/>
        <w:rPr>
          <w:bCs/>
          <w:color w:val="auto"/>
        </w:rPr>
      </w:pPr>
      <w:r>
        <w:rPr>
          <w:b/>
          <w:color w:val="auto"/>
        </w:rPr>
        <w:t>5.1.4　</w:t>
      </w:r>
      <w:r>
        <w:rPr>
          <w:bCs/>
          <w:color w:val="auto"/>
        </w:rPr>
        <w:t>综合管廊明挖段支护体系的选用应满足以下原则：</w:t>
      </w:r>
    </w:p>
    <w:p w14:paraId="7FEE7973">
      <w:pPr>
        <w:ind w:firstLine="482" w:firstLineChars="200"/>
        <w:rPr>
          <w:bCs/>
          <w:color w:val="auto"/>
        </w:rPr>
      </w:pPr>
      <w:r>
        <w:rPr>
          <w:b/>
          <w:color w:val="auto"/>
        </w:rPr>
        <w:t>1　</w:t>
      </w:r>
      <w:r>
        <w:rPr>
          <w:bCs/>
          <w:color w:val="auto"/>
        </w:rPr>
        <w:t>由于综合管廊明挖段总长度长，呈较规则的狭长形，支护工程量大，因此在满足支护受力和周边环境保护要求的前提下，应优先选用成熟可靠、经济合理、施工便捷、绿色环保的支护体系；</w:t>
      </w:r>
    </w:p>
    <w:p w14:paraId="1BE92B47">
      <w:pPr>
        <w:ind w:firstLine="482" w:firstLineChars="200"/>
        <w:rPr>
          <w:b/>
          <w:color w:val="auto"/>
        </w:rPr>
      </w:pPr>
      <w:r>
        <w:rPr>
          <w:b/>
          <w:color w:val="auto"/>
        </w:rPr>
        <w:t>2　</w:t>
      </w:r>
      <w:r>
        <w:rPr>
          <w:bCs/>
          <w:color w:val="auto"/>
        </w:rPr>
        <w:t>当综合管廊采用预制拼装结构时，在场地和周边环境允许的条件下，所采用的支护体系应能保证管廊结构吊装和拼装的工作空间。</w:t>
      </w:r>
    </w:p>
    <w:p w14:paraId="174563E5">
      <w:pPr>
        <w:ind w:firstLine="0"/>
        <w:rPr>
          <w:bCs/>
          <w:color w:val="auto"/>
        </w:rPr>
      </w:pPr>
      <w:r>
        <w:rPr>
          <w:b/>
          <w:color w:val="auto"/>
        </w:rPr>
        <w:t>5.1.5　</w:t>
      </w:r>
      <w:r>
        <w:rPr>
          <w:bCs/>
          <w:color w:val="auto"/>
        </w:rPr>
        <w:t>综合管廊明挖段支护设计应满足管廊结构及其防水的施工要求；采用锚杆时，锚杆的锚头及腰梁不应妨碍管廊结构外墙的施工；采用内支撑时，内支撑及腰梁的设置应便于管廊结构及其防水的施工要求。</w:t>
      </w:r>
    </w:p>
    <w:p w14:paraId="17F7AD6F">
      <w:pPr>
        <w:ind w:firstLine="0"/>
        <w:rPr>
          <w:b/>
          <w:color w:val="auto"/>
        </w:rPr>
      </w:pPr>
      <w:r>
        <w:rPr>
          <w:b/>
          <w:color w:val="auto"/>
        </w:rPr>
        <w:t>5.1.6　</w:t>
      </w:r>
      <w:r>
        <w:rPr>
          <w:bCs/>
          <w:color w:val="auto"/>
        </w:rPr>
        <w:t>综合管廊明挖段支护可根据实际情况选用以下形式：放坡开挖、土钉墙或复合土钉墙、水泥土重力式围护墙、钢板桩墙、劲芯水泥土连续墙、排桩墙、内支撑、锚杆（索）等。</w:t>
      </w:r>
    </w:p>
    <w:p w14:paraId="69F0644E">
      <w:pPr>
        <w:ind w:firstLine="0"/>
        <w:rPr>
          <w:bCs/>
          <w:color w:val="auto"/>
        </w:rPr>
      </w:pPr>
      <w:r>
        <w:rPr>
          <w:b/>
          <w:color w:val="auto"/>
        </w:rPr>
        <w:t>5.1.7　</w:t>
      </w:r>
      <w:r>
        <w:rPr>
          <w:bCs/>
          <w:color w:val="auto"/>
        </w:rPr>
        <w:t>城市综合管廊施工若采用盾构法、顶管（箱）工法施工，具有始发段、接收段或工作井等，本规程适用于其明挖段岩土工程设计。</w:t>
      </w:r>
    </w:p>
    <w:p w14:paraId="08CB58F6">
      <w:pPr>
        <w:keepNext/>
        <w:spacing w:before="328" w:beforeLines="100" w:after="328" w:afterLines="100" w:line="240" w:lineRule="auto"/>
        <w:ind w:firstLine="0"/>
        <w:jc w:val="center"/>
        <w:outlineLvl w:val="1"/>
        <w:rPr>
          <w:rFonts w:eastAsia="黑体"/>
          <w:b/>
          <w:bCs/>
          <w:sz w:val="28"/>
          <w:szCs w:val="28"/>
        </w:rPr>
      </w:pPr>
      <w:bookmarkStart w:id="232" w:name="_Toc9099"/>
      <w:bookmarkStart w:id="233" w:name="_Toc6966"/>
      <w:bookmarkStart w:id="234" w:name="_Toc193392079"/>
      <w:bookmarkStart w:id="235" w:name="_Toc4192"/>
      <w:bookmarkStart w:id="236" w:name="_Toc5491"/>
      <w:bookmarkStart w:id="237" w:name="_Toc21771"/>
      <w:bookmarkStart w:id="238" w:name="_Toc14905"/>
      <w:bookmarkStart w:id="239" w:name="_Toc5502"/>
      <w:r>
        <w:rPr>
          <w:rFonts w:eastAsia="黑体"/>
          <w:b/>
          <w:bCs/>
          <w:sz w:val="28"/>
          <w:szCs w:val="28"/>
        </w:rPr>
        <w:t>5.2　综合管廊明挖段岩土工程设计</w:t>
      </w:r>
      <w:bookmarkEnd w:id="232"/>
      <w:bookmarkEnd w:id="233"/>
      <w:bookmarkEnd w:id="234"/>
      <w:bookmarkEnd w:id="235"/>
      <w:bookmarkEnd w:id="236"/>
      <w:bookmarkEnd w:id="237"/>
      <w:bookmarkEnd w:id="238"/>
      <w:bookmarkEnd w:id="239"/>
    </w:p>
    <w:p w14:paraId="10728B3D">
      <w:pPr>
        <w:spacing w:before="164" w:beforeLines="50" w:after="164" w:afterLines="50"/>
        <w:ind w:firstLine="0"/>
        <w:jc w:val="center"/>
        <w:outlineLvl w:val="2"/>
        <w:rPr>
          <w:rFonts w:eastAsia="仿宋"/>
          <w:b/>
          <w:bCs/>
          <w:color w:val="auto"/>
          <w:sz w:val="28"/>
          <w:szCs w:val="28"/>
        </w:rPr>
      </w:pPr>
      <w:bookmarkStart w:id="240" w:name="_Toc17132"/>
      <w:bookmarkStart w:id="241" w:name="_Toc21628"/>
      <w:bookmarkStart w:id="242" w:name="_Toc29768"/>
      <w:bookmarkStart w:id="243" w:name="_Toc26406"/>
      <w:bookmarkStart w:id="244" w:name="_Toc11938"/>
      <w:r>
        <w:rPr>
          <w:rFonts w:eastAsia="仿宋"/>
          <w:b/>
          <w:bCs/>
          <w:color w:val="auto"/>
          <w:sz w:val="28"/>
          <w:szCs w:val="28"/>
        </w:rPr>
        <w:t>Ⅰ  支护结构设计计算</w:t>
      </w:r>
      <w:bookmarkEnd w:id="240"/>
      <w:bookmarkEnd w:id="241"/>
      <w:bookmarkEnd w:id="242"/>
      <w:bookmarkEnd w:id="243"/>
      <w:bookmarkEnd w:id="244"/>
    </w:p>
    <w:p w14:paraId="68F3ECC4">
      <w:pPr>
        <w:ind w:firstLine="0"/>
        <w:rPr>
          <w:bCs/>
          <w:color w:val="auto"/>
        </w:rPr>
      </w:pPr>
      <w:r>
        <w:rPr>
          <w:b/>
          <w:bCs/>
          <w:color w:val="auto"/>
        </w:rPr>
        <w:t>5.2.1　</w:t>
      </w:r>
      <w:r>
        <w:rPr>
          <w:bCs/>
          <w:color w:val="auto"/>
        </w:rPr>
        <w:t>对悬臂式、支挡式支护结构，当位移控制要求严格时，应采用静止土压力；当位移控制较严格时，宜采用介于主动土压力与静止土压力之间的土压力值。</w:t>
      </w:r>
    </w:p>
    <w:p w14:paraId="50F9D44A">
      <w:pPr>
        <w:ind w:firstLine="0"/>
        <w:rPr>
          <w:bCs/>
          <w:color w:val="auto"/>
        </w:rPr>
      </w:pPr>
      <w:r>
        <w:rPr>
          <w:b/>
          <w:bCs/>
          <w:color w:val="auto"/>
        </w:rPr>
        <w:t>5.2.2　</w:t>
      </w:r>
      <w:r>
        <w:rPr>
          <w:bCs/>
          <w:color w:val="auto"/>
        </w:rPr>
        <w:t>土压力计算应考虑因雨水、地下管线渗漏形成的滞水压力作用和土体抗剪强度指标的降低。</w:t>
      </w:r>
    </w:p>
    <w:p w14:paraId="3F59EA8F">
      <w:pPr>
        <w:ind w:firstLine="0"/>
        <w:rPr>
          <w:bCs/>
          <w:color w:val="auto"/>
        </w:rPr>
      </w:pPr>
      <w:r>
        <w:rPr>
          <w:b/>
          <w:bCs/>
          <w:color w:val="auto"/>
        </w:rPr>
        <w:t>5.2.3　</w:t>
      </w:r>
      <w:r>
        <w:rPr>
          <w:bCs/>
          <w:color w:val="auto"/>
        </w:rPr>
        <w:t>土压力及水压力计算、土的各类稳定性验算时，土、水压力的分、合算方法及相应的土的抗剪强度指标类别应符合下列规定：</w:t>
      </w:r>
    </w:p>
    <w:p w14:paraId="7634F2F4">
      <w:pPr>
        <w:ind w:firstLine="482" w:firstLineChars="200"/>
        <w:rPr>
          <w:bCs/>
          <w:color w:val="auto"/>
        </w:rPr>
      </w:pPr>
      <w:r>
        <w:rPr>
          <w:b/>
          <w:bCs/>
          <w:color w:val="auto"/>
        </w:rPr>
        <w:t>1　</w:t>
      </w:r>
      <w:r>
        <w:rPr>
          <w:bCs/>
          <w:color w:val="auto"/>
        </w:rPr>
        <w:t>对地下水位以上的黏性土、黏质粉土，土的抗剪强度指标应采用三轴固结不排水抗剪强度指标（</w:t>
      </w:r>
      <w:r>
        <w:rPr>
          <w:bCs/>
          <w:color w:val="auto"/>
          <w:position w:val="-10"/>
        </w:rPr>
        <w:object>
          <v:shape id="_x0000_i1025" o:spt="75" type="#_x0000_t75" style="height:15pt;width:36.75pt;" o:ole="t" filled="f" o:preferrelative="t" stroked="f" coordsize="21600,21600">
            <v:path/>
            <v:fill on="f" focussize="0,0"/>
            <v:stroke on="f" joinstyle="miter"/>
            <v:imagedata r:id="rId12" o:title=""/>
            <o:lock v:ext="edit" aspectratio="t"/>
            <w10:wrap type="none"/>
            <w10:anchorlock/>
          </v:shape>
          <o:OLEObject Type="Embed" ProgID="Equation.3" ShapeID="_x0000_i1025" DrawAspect="Content" ObjectID="_1468075725" r:id="rId11">
            <o:LockedField>false</o:LockedField>
          </o:OLEObject>
        </w:object>
      </w:r>
      <w:r>
        <w:rPr>
          <w:bCs/>
          <w:color w:val="auto"/>
        </w:rPr>
        <w:t>）或直剪（固结快剪）强度指标（</w:t>
      </w:r>
      <w:r>
        <w:rPr>
          <w:bCs/>
          <w:color w:val="auto"/>
          <w:position w:val="-12"/>
        </w:rPr>
        <w:object>
          <v:shape id="_x0000_i1026" o:spt="75" type="#_x0000_t75" style="height:16.5pt;width:36.75pt;" o:ole="t" filled="f" o:preferrelative="t" stroked="f" coordsize="21600,21600">
            <v:path/>
            <v:fill on="f" focussize="0,0"/>
            <v:stroke on="f" joinstyle="miter"/>
            <v:imagedata r:id="rId14" o:title=""/>
            <o:lock v:ext="edit" aspectratio="t"/>
            <w10:wrap type="none"/>
            <w10:anchorlock/>
          </v:shape>
          <o:OLEObject Type="Embed" ProgID="Equation.3" ShapeID="_x0000_i1026" DrawAspect="Content" ObjectID="_1468075726" r:id="rId13">
            <o:LockedField>false</o:LockedField>
          </o:OLEObject>
        </w:object>
      </w:r>
      <w:r>
        <w:rPr>
          <w:bCs/>
          <w:color w:val="auto"/>
        </w:rPr>
        <w:t>），对地下水位以上的砂质粉土、砂土、碎石土，土的抗剪强度指标应采用有效应力强度指标（</w:t>
      </w:r>
      <w:r>
        <w:rPr>
          <w:bCs/>
          <w:color w:val="auto"/>
          <w:position w:val="-10"/>
        </w:rPr>
        <w:object>
          <v:shape id="_x0000_i1027" o:spt="75" type="#_x0000_t75" style="height:15.75pt;width:30.75pt;" o:ole="t" filled="f" o:preferrelative="t" stroked="f" coordsize="21600,21600">
            <v:path/>
            <v:fill on="f" focussize="0,0"/>
            <v:stroke on="f" joinstyle="miter"/>
            <v:imagedata r:id="rId16" o:title=""/>
            <o:lock v:ext="edit" aspectratio="t"/>
            <w10:wrap type="none"/>
            <w10:anchorlock/>
          </v:shape>
          <o:OLEObject Type="Embed" ProgID="Equation.3" ShapeID="_x0000_i1027" DrawAspect="Content" ObjectID="_1468075727" r:id="rId15">
            <o:LockedField>false</o:LockedField>
          </o:OLEObject>
        </w:object>
      </w:r>
      <w:r>
        <w:rPr>
          <w:bCs/>
          <w:color w:val="auto"/>
        </w:rPr>
        <w:t>）；</w:t>
      </w:r>
    </w:p>
    <w:p w14:paraId="404DB7F7">
      <w:pPr>
        <w:ind w:firstLine="482" w:firstLineChars="200"/>
        <w:rPr>
          <w:bCs/>
          <w:color w:val="auto"/>
        </w:rPr>
      </w:pPr>
      <w:r>
        <w:rPr>
          <w:b/>
          <w:bCs/>
          <w:color w:val="auto"/>
        </w:rPr>
        <w:t>2　</w:t>
      </w:r>
      <w:r>
        <w:rPr>
          <w:bCs/>
          <w:color w:val="auto"/>
        </w:rPr>
        <w:t>对地下水位以下的黏性土、黏质粉土，可采用土压力、水压力合算方法；此时，对正常固结和超固结土，土的抗剪强度指标应采用三轴固结不排水抗剪强度指标（</w:t>
      </w:r>
      <w:r>
        <w:rPr>
          <w:bCs/>
          <w:color w:val="auto"/>
        </w:rPr>
        <w:object>
          <v:shape id="_x0000_i1028" o:spt="75" type="#_x0000_t75" style="height:18pt;width:42pt;" o:ole="t" filled="f" o:preferrelative="t" stroked="f" coordsize="21600,21600">
            <v:path/>
            <v:fill on="f" focussize="0,0"/>
            <v:stroke on="f" joinstyle="miter"/>
            <v:imagedata r:id="rId18" o:title=""/>
            <o:lock v:ext="edit" aspectratio="t"/>
            <w10:wrap type="none"/>
            <w10:anchorlock/>
          </v:shape>
          <o:OLEObject Type="Embed" ProgID="Equation.3" ShapeID="_x0000_i1028" DrawAspect="Content" ObjectID="_1468075728" r:id="rId17">
            <o:LockedField>false</o:LockedField>
          </o:OLEObject>
        </w:object>
      </w:r>
      <w:r>
        <w:rPr>
          <w:bCs/>
          <w:color w:val="auto"/>
        </w:rPr>
        <w:t>）或直剪（固结快剪）强度指标（</w:t>
      </w:r>
      <w:r>
        <w:rPr>
          <w:bCs/>
          <w:color w:val="auto"/>
          <w:position w:val="-12"/>
        </w:rPr>
        <w:object>
          <v:shape id="_x0000_i1029" o:spt="75" type="#_x0000_t75" style="height:16.5pt;width:36.75pt;" o:ole="t" filled="f" o:preferrelative="t" stroked="f" coordsize="21600,21600">
            <v:path/>
            <v:fill on="f" focussize="0,0"/>
            <v:stroke on="f" joinstyle="miter"/>
            <v:imagedata r:id="rId20" o:title=""/>
            <o:lock v:ext="edit" aspectratio="t"/>
            <w10:wrap type="none"/>
            <w10:anchorlock/>
          </v:shape>
          <o:OLEObject Type="Embed" ProgID="Equation.3" ShapeID="_x0000_i1029" DrawAspect="Content" ObjectID="_1468075729" r:id="rId19">
            <o:LockedField>false</o:LockedField>
          </o:OLEObject>
        </w:object>
      </w:r>
      <w:r>
        <w:rPr>
          <w:bCs/>
          <w:color w:val="auto"/>
        </w:rPr>
        <w:t>）；对欠固结土，宜采用有效自重压力下预固结的三轴不固结不排水抗剪强度指标（</w:t>
      </w:r>
      <w:r>
        <w:rPr>
          <w:bCs/>
          <w:color w:val="auto"/>
          <w:position w:val="-10"/>
        </w:rPr>
        <w:object>
          <v:shape id="_x0000_i1030" o:spt="75" type="#_x0000_t75" style="height:15pt;width:36.75pt;" o:ole="t" filled="f" o:preferrelative="t" stroked="f" coordsize="21600,21600">
            <v:path/>
            <v:fill on="f" focussize="0,0"/>
            <v:stroke on="f" joinstyle="miter"/>
            <v:imagedata r:id="rId22" o:title=""/>
            <o:lock v:ext="edit" aspectratio="t"/>
            <w10:wrap type="none"/>
            <w10:anchorlock/>
          </v:shape>
          <o:OLEObject Type="Embed" ProgID="Equation.3" ShapeID="_x0000_i1030" DrawAspect="Content" ObjectID="_1468075730" r:id="rId21">
            <o:LockedField>false</o:LockedField>
          </o:OLEObject>
        </w:object>
      </w:r>
      <w:r>
        <w:rPr>
          <w:bCs/>
          <w:color w:val="auto"/>
        </w:rPr>
        <w:t>）；</w:t>
      </w:r>
    </w:p>
    <w:p w14:paraId="2D43F6C6">
      <w:pPr>
        <w:ind w:firstLine="482" w:firstLineChars="200"/>
        <w:rPr>
          <w:bCs/>
          <w:color w:val="auto"/>
        </w:rPr>
      </w:pPr>
      <w:r>
        <w:rPr>
          <w:b/>
          <w:bCs/>
          <w:color w:val="auto"/>
        </w:rPr>
        <w:t>3　</w:t>
      </w:r>
      <w:r>
        <w:rPr>
          <w:bCs/>
          <w:color w:val="auto"/>
        </w:rPr>
        <w:t>对地下水位以下的砂质粉土、砂土和碎石土，应采用土压力、水压力分算方法；此时，土的抗剪强度指标应采用有效应力强度指标（</w:t>
      </w:r>
      <w:r>
        <w:rPr>
          <w:bCs/>
          <w:color w:val="auto"/>
          <w:position w:val="-10"/>
        </w:rPr>
        <w:object>
          <v:shape id="_x0000_i1031" o:spt="75" type="#_x0000_t75" style="height:15.75pt;width:30.75pt;" o:ole="t" filled="f" o:preferrelative="t" stroked="f" coordsize="21600,21600">
            <v:path/>
            <v:fill on="f" focussize="0,0"/>
            <v:stroke on="f" joinstyle="miter"/>
            <v:imagedata r:id="rId24" o:title=""/>
            <o:lock v:ext="edit" aspectratio="t"/>
            <w10:wrap type="none"/>
            <w10:anchorlock/>
          </v:shape>
          <o:OLEObject Type="Embed" ProgID="Equation.3" ShapeID="_x0000_i1031" DrawAspect="Content" ObjectID="_1468075731" r:id="rId23">
            <o:LockedField>false</o:LockedField>
          </o:OLEObject>
        </w:object>
      </w:r>
      <w:r>
        <w:rPr>
          <w:bCs/>
          <w:color w:val="auto"/>
        </w:rPr>
        <w:t>），对砂质粉土，缺少有效应力强度指标时，也可采用三轴固结不排水抗剪强度指标（</w:t>
      </w:r>
      <w:r>
        <w:rPr>
          <w:bCs/>
          <w:color w:val="auto"/>
          <w:position w:val="-10"/>
        </w:rPr>
        <w:object>
          <v:shape id="_x0000_i1032" o:spt="75" type="#_x0000_t75" style="height:15pt;width:36.75pt;" o:ole="t" filled="f" o:preferrelative="t" stroked="f" coordsize="21600,21600">
            <v:path/>
            <v:fill on="f" focussize="0,0"/>
            <v:stroke on="f" joinstyle="miter"/>
            <v:imagedata r:id="rId26" o:title=""/>
            <o:lock v:ext="edit" aspectratio="t"/>
            <w10:wrap type="none"/>
            <w10:anchorlock/>
          </v:shape>
          <o:OLEObject Type="Embed" ProgID="Equation.3" ShapeID="_x0000_i1032" DrawAspect="Content" ObjectID="_1468075732" r:id="rId25">
            <o:LockedField>false</o:LockedField>
          </o:OLEObject>
        </w:object>
      </w:r>
      <w:r>
        <w:rPr>
          <w:bCs/>
          <w:color w:val="auto"/>
        </w:rPr>
        <w:t>）或直剪固结快剪强度指标（</w:t>
      </w:r>
      <w:r>
        <w:rPr>
          <w:bCs/>
          <w:color w:val="auto"/>
          <w:position w:val="-12"/>
        </w:rPr>
        <w:object>
          <v:shape id="_x0000_i1033" o:spt="75" type="#_x0000_t75" style="height:16.5pt;width:36.75pt;" o:ole="t" filled="f" o:preferrelative="t" stroked="f" coordsize="21600,21600">
            <v:path/>
            <v:fill on="f" focussize="0,0"/>
            <v:stroke on="f" joinstyle="miter"/>
            <v:imagedata r:id="rId28" o:title=""/>
            <o:lock v:ext="edit" aspectratio="t"/>
            <w10:wrap type="none"/>
            <w10:anchorlock/>
          </v:shape>
          <o:OLEObject Type="Embed" ProgID="Equation.3" ShapeID="_x0000_i1033" DrawAspect="Content" ObjectID="_1468075733" r:id="rId27">
            <o:LockedField>false</o:LockedField>
          </o:OLEObject>
        </w:object>
      </w:r>
      <w:r>
        <w:rPr>
          <w:bCs/>
          <w:color w:val="auto"/>
        </w:rPr>
        <w:t>）代替，对砂土和碎石土，有效应力强度指标（</w:t>
      </w:r>
      <w:r>
        <w:rPr>
          <w:bCs/>
          <w:color w:val="auto"/>
        </w:rPr>
        <w:object>
          <v:shape id="_x0000_i1034" o:spt="75" type="#_x0000_t75" style="height:16.5pt;width:13.5pt;" o:ole="t" filled="f" o:preferrelative="t" stroked="f" coordsize="21600,21600">
            <v:path/>
            <v:fill on="f" focussize="0,0"/>
            <v:stroke on="f" joinstyle="miter"/>
            <v:imagedata r:id="rId30" o:title=""/>
            <o:lock v:ext="edit" aspectratio="t"/>
            <w10:wrap type="none"/>
            <w10:anchorlock/>
          </v:shape>
          <o:OLEObject Type="Embed" ProgID="Equation.3" ShapeID="_x0000_i1034" DrawAspect="Content" ObjectID="_1468075734" r:id="rId29">
            <o:LockedField>false</o:LockedField>
          </o:OLEObject>
        </w:object>
      </w:r>
      <w:r>
        <w:rPr>
          <w:bCs/>
          <w:color w:val="auto"/>
        </w:rPr>
        <w:t>），可根据标准贯入试验实测击数和水下休止角等物理力学指标取值；土压力、水压力采用分算方法时，水压力可按静水压力计算；当地下水渗流时，宜按渗流理论计算水压力和土的竖向有效应力；当存在多个含水层时，应分别计算各含水层的水压力；</w:t>
      </w:r>
    </w:p>
    <w:p w14:paraId="00F9C32A">
      <w:pPr>
        <w:ind w:firstLine="482" w:firstLineChars="200"/>
        <w:rPr>
          <w:bCs/>
          <w:color w:val="auto"/>
        </w:rPr>
      </w:pPr>
      <w:r>
        <w:rPr>
          <w:b/>
          <w:bCs/>
          <w:color w:val="auto"/>
        </w:rPr>
        <w:t>4　</w:t>
      </w:r>
      <w:r>
        <w:rPr>
          <w:bCs/>
          <w:color w:val="auto"/>
        </w:rPr>
        <w:t>有可靠的地方经验时，土的抗剪强度指标亦可根据室内、原位试验得到的其他物理力学指标，按经验方法确定。</w:t>
      </w:r>
    </w:p>
    <w:p w14:paraId="27CF33DF">
      <w:pPr>
        <w:ind w:firstLine="0"/>
        <w:rPr>
          <w:bCs/>
          <w:color w:val="auto"/>
        </w:rPr>
      </w:pPr>
      <w:r>
        <w:rPr>
          <w:b/>
          <w:bCs/>
          <w:color w:val="auto"/>
        </w:rPr>
        <w:t>5.2.4　</w:t>
      </w:r>
      <w:r>
        <w:rPr>
          <w:bCs/>
          <w:color w:val="auto"/>
        </w:rPr>
        <w:t>静止土压力强度标准值，可按下式计算：</w:t>
      </w:r>
    </w:p>
    <w:p w14:paraId="45E7EF58">
      <w:pPr>
        <w:ind w:firstLine="2640" w:firstLineChars="1100"/>
        <w:jc w:val="right"/>
        <w:rPr>
          <w:color w:val="auto"/>
        </w:rPr>
      </w:pPr>
      <w:r>
        <w:rPr>
          <w:color w:val="auto"/>
          <w:position w:val="-14"/>
        </w:rPr>
        <w:object>
          <v:shape id="_x0000_i1035" o:spt="75" type="#_x0000_t75" style="height:21pt;width:101.3pt;" o:ole="t" filled="f" o:preferrelative="t" stroked="f" coordsize="21600,21600">
            <v:path/>
            <v:fill on="f" focussize="0,0"/>
            <v:stroke on="f" joinstyle="miter"/>
            <v:imagedata r:id="rId32" o:title=""/>
            <o:lock v:ext="edit" aspectratio="t"/>
            <w10:wrap type="none"/>
            <w10:anchorlock/>
          </v:shape>
          <o:OLEObject Type="Embed" ProgID="Equation.3" ShapeID="_x0000_i1035" DrawAspect="Content" ObjectID="_1468075735" r:id="rId31">
            <o:LockedField>false</o:LockedField>
          </o:OLEObject>
        </w:object>
      </w:r>
      <w:r>
        <w:rPr>
          <w:color w:val="auto"/>
        </w:rPr>
        <w:t xml:space="preserve">                    （</w:t>
      </w:r>
      <w:r>
        <w:rPr>
          <w:rFonts w:hint="eastAsia"/>
          <w:color w:val="auto"/>
          <w:lang w:val="en-US" w:eastAsia="zh-CN"/>
        </w:rPr>
        <w:t>5</w:t>
      </w:r>
      <w:r>
        <w:rPr>
          <w:color w:val="auto"/>
        </w:rPr>
        <w:t>.2.4）</w:t>
      </w:r>
    </w:p>
    <w:p w14:paraId="03C346FD">
      <w:pPr>
        <w:tabs>
          <w:tab w:val="left" w:pos="7174"/>
        </w:tabs>
        <w:ind w:firstLine="0"/>
        <w:rPr>
          <w:rFonts w:hint="eastAsia" w:eastAsia="宋体"/>
          <w:color w:val="auto"/>
          <w:lang w:eastAsia="zh-CN"/>
        </w:rPr>
      </w:pPr>
      <w:r>
        <w:rPr>
          <w:color w:val="auto"/>
        </w:rPr>
        <w:t>式中：</w:t>
      </w:r>
      <w:r>
        <w:rPr>
          <w:color w:val="auto"/>
          <w:position w:val="-12"/>
        </w:rPr>
        <w:object>
          <v:shape id="_x0000_i1036" o:spt="75" type="#_x0000_t75" style="height:18pt;width:14.25pt;" o:ole="t" filled="f" o:preferrelative="t" stroked="f" coordsize="21600,21600">
            <v:path/>
            <v:fill on="f" focussize="0,0"/>
            <v:stroke on="f" joinstyle="miter"/>
            <v:imagedata r:id="rId34" o:title=""/>
            <o:lock v:ext="edit" aspectratio="t"/>
            <w10:wrap type="none"/>
            <w10:anchorlock/>
          </v:shape>
          <o:OLEObject Type="Embed" ProgID="Equation.3" ShapeID="_x0000_i1036" DrawAspect="Content" ObjectID="_1468075736" r:id="rId33">
            <o:LockedField>false</o:LockedField>
          </o:OLEObject>
        </w:object>
      </w:r>
      <w:r>
        <w:rPr>
          <w:color w:val="auto"/>
        </w:rPr>
        <w:t>——静止土压力强度标准值（kPa）；</w:t>
      </w:r>
      <w:r>
        <w:rPr>
          <w:rFonts w:hint="eastAsia"/>
          <w:color w:val="auto"/>
          <w:lang w:eastAsia="zh-CN"/>
        </w:rPr>
        <w:tab/>
      </w:r>
    </w:p>
    <w:p w14:paraId="25192AE5">
      <w:pPr>
        <w:ind w:left="1440" w:leftChars="300" w:hanging="720" w:hangingChars="300"/>
        <w:rPr>
          <w:color w:val="auto"/>
        </w:rPr>
      </w:pPr>
      <w:r>
        <w:rPr>
          <w:color w:val="auto"/>
        </w:rPr>
        <w:object>
          <v:shape id="_x0000_i1037" o:spt="75" type="#_x0000_t75" style="height:18pt;width:13.5pt;" o:ole="t" filled="f" o:preferrelative="t" stroked="f" coordsize="21600,21600">
            <v:path/>
            <v:fill on="f" focussize="0,0"/>
            <v:stroke on="f" joinstyle="miter"/>
            <v:imagedata r:id="rId36" o:title=""/>
            <o:lock v:ext="edit" aspectratio="t"/>
            <w10:wrap type="none"/>
            <w10:anchorlock/>
          </v:shape>
          <o:OLEObject Type="Embed" ProgID="Equation.3" ShapeID="_x0000_i1037" DrawAspect="Content" ObjectID="_1468075737" r:id="rId35">
            <o:LockedField>false</o:LockedField>
          </o:OLEObject>
        </w:object>
      </w:r>
      <w:r>
        <w:rPr>
          <w:color w:val="auto"/>
        </w:rPr>
        <w:t>——第i层土的重度（kN/m³），地下水位以上取天然重度，地下水位以下取浮重度；</w:t>
      </w:r>
    </w:p>
    <w:p w14:paraId="684F8D6A">
      <w:pPr>
        <w:ind w:firstLine="720" w:firstLineChars="300"/>
        <w:rPr>
          <w:color w:val="auto"/>
        </w:rPr>
      </w:pPr>
      <w:r>
        <w:rPr>
          <w:color w:val="auto"/>
        </w:rPr>
        <w:object>
          <v:shape id="_x0000_i1038" o:spt="75" type="#_x0000_t75" style="height:18pt;width:13.5pt;" o:ole="t" filled="f" o:preferrelative="t" stroked="f" coordsize="21600,21600">
            <v:path/>
            <v:fill on="f" focussize="0,0"/>
            <v:stroke on="f" joinstyle="miter"/>
            <v:imagedata r:id="rId38" o:title=""/>
            <o:lock v:ext="edit" aspectratio="t"/>
            <w10:wrap type="none"/>
            <w10:anchorlock/>
          </v:shape>
          <o:OLEObject Type="Embed" ProgID="Equation.3" ShapeID="_x0000_i1038" DrawAspect="Content" ObjectID="_1468075738" r:id="rId37">
            <o:LockedField>false</o:LockedField>
          </o:OLEObject>
        </w:object>
      </w:r>
      <w:r>
        <w:rPr>
          <w:color w:val="auto"/>
        </w:rPr>
        <w:t>——第i层土的厚度（m）；</w:t>
      </w:r>
    </w:p>
    <w:p w14:paraId="3415DAAC">
      <w:pPr>
        <w:ind w:firstLine="720" w:firstLineChars="300"/>
        <w:rPr>
          <w:color w:val="auto"/>
        </w:rPr>
      </w:pPr>
      <w:r>
        <w:rPr>
          <w:color w:val="auto"/>
        </w:rPr>
        <w:object>
          <v:shape id="_x0000_i1039" o:spt="75" type="#_x0000_t75" style="height:18pt;width:13.5pt;" o:ole="t" filled="f" o:preferrelative="t" stroked="f" coordsize="21600,21600">
            <v:path/>
            <v:fill on="f" focussize="0,0"/>
            <v:stroke on="f" joinstyle="miter"/>
            <v:imagedata r:id="rId40" o:title=""/>
            <o:lock v:ext="edit" aspectratio="t"/>
            <w10:wrap type="none"/>
            <w10:anchorlock/>
          </v:shape>
          <o:OLEObject Type="Embed" ProgID="Equation.3" ShapeID="_x0000_i1039" DrawAspect="Content" ObjectID="_1468075739" r:id="rId39">
            <o:LockedField>false</o:LockedField>
          </o:OLEObject>
        </w:object>
      </w:r>
      <w:r>
        <w:rPr>
          <w:color w:val="auto"/>
        </w:rPr>
        <w:t>——地面的均布超载（kPa）；</w:t>
      </w:r>
    </w:p>
    <w:p w14:paraId="03D5C53D">
      <w:pPr>
        <w:ind w:left="1440" w:leftChars="300" w:hanging="720" w:hangingChars="300"/>
        <w:rPr>
          <w:color w:val="auto"/>
        </w:rPr>
      </w:pPr>
      <w:r>
        <w:rPr>
          <w:color w:val="auto"/>
          <w:position w:val="-10"/>
        </w:rPr>
        <w:object>
          <v:shape id="_x0000_i1040" o:spt="75" type="#_x0000_t75" style="height:15pt;width:15pt;" o:ole="t" filled="f" o:preferrelative="t" stroked="f" coordsize="21600,21600">
            <v:path/>
            <v:fill on="f" focussize="0,0"/>
            <v:stroke on="f" joinstyle="miter"/>
            <v:imagedata r:id="rId42" o:title=""/>
            <o:lock v:ext="edit" aspectratio="t"/>
            <w10:wrap type="none"/>
            <w10:anchorlock/>
          </v:shape>
          <o:OLEObject Type="Embed" ProgID="Equation.3" ShapeID="_x0000_i1040" DrawAspect="Content" ObjectID="_1468075740" r:id="rId41">
            <o:LockedField>false</o:LockedField>
          </o:OLEObject>
        </w:object>
      </w:r>
      <w:r>
        <w:rPr>
          <w:color w:val="auto"/>
        </w:rPr>
        <w:t>——静止土压力系数，对于正常固结土，</w:t>
      </w:r>
      <w:r>
        <w:rPr>
          <w:color w:val="auto"/>
        </w:rPr>
        <w:object>
          <v:shape id="_x0000_i1041" o:spt="75" type="#_x0000_t75" style="height:18pt;width:81.75pt;" o:ole="t" filled="f" o:preferrelative="t" stroked="f" coordsize="21600,21600">
            <v:path/>
            <v:fill on="f" focussize="0,0"/>
            <v:stroke on="f" joinstyle="miter"/>
            <v:imagedata r:id="rId44" o:title=""/>
            <o:lock v:ext="edit" aspectratio="t"/>
            <w10:wrap type="none"/>
            <w10:anchorlock/>
          </v:shape>
          <o:OLEObject Type="Embed" ProgID="Equation.3" ShapeID="_x0000_i1041" DrawAspect="Content" ObjectID="_1468075741" r:id="rId43">
            <o:LockedField>false</o:LockedField>
          </o:OLEObject>
        </w:object>
      </w:r>
      <w:r>
        <w:rPr>
          <w:color w:val="auto"/>
        </w:rPr>
        <w:t>；对于超固结土，</w:t>
      </w:r>
      <w:r>
        <w:rPr>
          <w:color w:val="auto"/>
        </w:rPr>
        <w:object>
          <v:shape id="_x0000_i1042" o:spt="75" type="#_x0000_t75" style="height:21pt;width:116.25pt;" o:ole="t" filled="f" o:preferrelative="t" stroked="f" coordsize="21600,21600">
            <v:path/>
            <v:fill on="f" focussize="0,0"/>
            <v:stroke on="f" joinstyle="miter"/>
            <v:imagedata r:id="rId46" o:title=""/>
            <o:lock v:ext="edit" aspectratio="t"/>
            <w10:wrap type="none"/>
            <w10:anchorlock/>
          </v:shape>
          <o:OLEObject Type="Embed" ProgID="Equation.3" ShapeID="_x0000_i1042" DrawAspect="Content" ObjectID="_1468075742" r:id="rId45">
            <o:LockedField>false</o:LockedField>
          </o:OLEObject>
        </w:object>
      </w:r>
      <w:r>
        <w:rPr>
          <w:color w:val="auto"/>
        </w:rPr>
        <w:t>；</w:t>
      </w:r>
    </w:p>
    <w:p w14:paraId="044A6E8C">
      <w:pPr>
        <w:ind w:firstLine="720" w:firstLineChars="300"/>
        <w:rPr>
          <w:color w:val="auto"/>
        </w:rPr>
      </w:pPr>
      <w:r>
        <w:rPr>
          <w:color w:val="auto"/>
        </w:rPr>
        <w:object>
          <v:shape id="_x0000_i1043" o:spt="75" type="#_x0000_t75" style="height:15pt;width:13.5pt;" o:ole="t" filled="f" o:preferrelative="t" stroked="f" coordsize="21600,21600">
            <v:path/>
            <v:fill on="f" focussize="0,0"/>
            <v:stroke on="f" joinstyle="miter"/>
            <v:imagedata r:id="rId48" o:title=""/>
            <o:lock v:ext="edit" aspectratio="t"/>
            <w10:wrap type="none"/>
            <w10:anchorlock/>
          </v:shape>
          <o:OLEObject Type="Embed" ProgID="Equation.3" ShapeID="_x0000_i1043" DrawAspect="Content" ObjectID="_1468075743" r:id="rId47">
            <o:LockedField>false</o:LockedField>
          </o:OLEObject>
        </w:object>
      </w:r>
      <w:r>
        <w:rPr>
          <w:color w:val="auto"/>
        </w:rPr>
        <w:t>——土的有效内摩擦角（°）；</w:t>
      </w:r>
    </w:p>
    <w:p w14:paraId="7104DE0E">
      <w:pPr>
        <w:ind w:firstLine="698" w:firstLineChars="291"/>
        <w:rPr>
          <w:color w:val="auto"/>
        </w:rPr>
      </w:pPr>
      <w:r>
        <w:rPr>
          <w:color w:val="auto"/>
        </w:rPr>
        <w:t>OCR——黏性土的超固结比。</w:t>
      </w:r>
    </w:p>
    <w:p w14:paraId="57D5FDE4">
      <w:pPr>
        <w:ind w:firstLine="0"/>
        <w:rPr>
          <w:bCs/>
          <w:color w:val="auto"/>
        </w:rPr>
      </w:pPr>
      <w:r>
        <w:rPr>
          <w:b/>
          <w:bCs/>
          <w:color w:val="auto"/>
        </w:rPr>
        <w:t>5.2.5　</w:t>
      </w:r>
      <w:r>
        <w:rPr>
          <w:bCs/>
          <w:color w:val="auto"/>
        </w:rPr>
        <w:t>主动土压力强度标准值（</w:t>
      </w:r>
      <w:r>
        <w:rPr>
          <w:color w:val="auto"/>
          <w:position w:val="-12"/>
        </w:rPr>
        <w:object>
          <v:shape id="_x0000_i1044" o:spt="75" type="#_x0000_t75" style="height:18pt;width:17.25pt;" o:ole="t" filled="f" o:preferrelative="t" stroked="f" coordsize="21600,21600">
            <v:path/>
            <v:fill on="f" focussize="0,0"/>
            <v:stroke on="f" joinstyle="miter"/>
            <v:imagedata r:id="rId50" o:title=""/>
            <o:lock v:ext="edit" aspectratio="t"/>
            <w10:wrap type="none"/>
            <w10:anchorlock/>
          </v:shape>
          <o:OLEObject Type="Embed" ProgID="Equation.3" ShapeID="_x0000_i1044" DrawAspect="Content" ObjectID="_1468075744" r:id="rId49">
            <o:LockedField>false</o:LockedField>
          </o:OLEObject>
        </w:object>
      </w:r>
      <w:r>
        <w:rPr>
          <w:bCs/>
          <w:color w:val="auto"/>
        </w:rPr>
        <w:t>）的计算应符合下列规定（图5.2.5）：</w:t>
      </w:r>
    </w:p>
    <w:p w14:paraId="21063DD8">
      <w:pPr>
        <w:ind w:firstLine="482" w:firstLineChars="200"/>
        <w:jc w:val="left"/>
        <w:rPr>
          <w:bCs/>
          <w:color w:val="auto"/>
        </w:rPr>
      </w:pPr>
      <w:r>
        <w:rPr>
          <w:b/>
          <w:bCs/>
          <w:color w:val="auto"/>
        </w:rPr>
        <w:t>1　</w:t>
      </w:r>
      <w:r>
        <w:rPr>
          <w:bCs/>
          <w:color w:val="auto"/>
        </w:rPr>
        <w:t>碎石土及砂土可按下列公式计算：</w:t>
      </w:r>
    </w:p>
    <w:p w14:paraId="6A6F81EA">
      <w:pPr>
        <w:ind w:firstLine="0"/>
        <w:jc w:val="center"/>
        <w:rPr>
          <w:color w:val="auto"/>
        </w:rPr>
      </w:pPr>
      <w:r>
        <w:rPr>
          <w:color w:val="auto"/>
        </w:rPr>
        <w:object>
          <v:shape id="_x0000_i1045" o:spt="75" type="#_x0000_t75" style="height:171.85pt;width:201pt;" o:ole="t" filled="f" o:preferrelative="t" stroked="f" coordsize="21600,21600">
            <v:path/>
            <v:fill on="f" focussize="0,0"/>
            <v:stroke on="f" joinstyle="miter"/>
            <v:imagedata r:id="rId52" cropleft="19093f" croptop="21777f" cropright="36230f" cropbottom="16042f" o:title=""/>
            <o:lock v:ext="edit" aspectratio="f"/>
            <w10:wrap type="none"/>
            <w10:anchorlock/>
          </v:shape>
          <o:OLEObject Type="Embed" ProgID="AutoCAD.Drawing.20" ShapeID="_x0000_i1045" DrawAspect="Content" ObjectID="_1468075745" r:id="rId51">
            <o:LockedField>false</o:LockedField>
          </o:OLEObject>
        </w:object>
      </w:r>
    </w:p>
    <w:p w14:paraId="25832E5D">
      <w:pPr>
        <w:ind w:firstLine="0"/>
        <w:jc w:val="center"/>
        <w:rPr>
          <w:b/>
          <w:bCs/>
          <w:color w:val="auto"/>
          <w:sz w:val="21"/>
          <w:szCs w:val="21"/>
        </w:rPr>
      </w:pPr>
      <w:r>
        <w:rPr>
          <w:b/>
          <w:bCs/>
          <w:color w:val="auto"/>
          <w:sz w:val="21"/>
          <w:szCs w:val="21"/>
        </w:rPr>
        <w:t>图5.2.5　主动土压力强度标准值计算</w:t>
      </w:r>
    </w:p>
    <w:p w14:paraId="7F84A563">
      <w:pPr>
        <w:ind w:left="925" w:leftChars="302" w:hanging="200" w:hangingChars="83"/>
        <w:rPr>
          <w:color w:val="auto"/>
        </w:rPr>
      </w:pPr>
      <w:r>
        <w:rPr>
          <w:b/>
          <w:bCs/>
          <w:color w:val="auto"/>
        </w:rPr>
        <w:t>1</w:t>
      </w:r>
      <w:r>
        <w:rPr>
          <w:color w:val="auto"/>
        </w:rPr>
        <w:t>）当计算点位于地下水位以上时：</w:t>
      </w:r>
    </w:p>
    <w:p w14:paraId="69D0B894">
      <w:pPr>
        <w:ind w:left="1843" w:firstLine="490"/>
        <w:jc w:val="right"/>
        <w:rPr>
          <w:color w:val="auto"/>
        </w:rPr>
      </w:pPr>
      <w:r>
        <w:rPr>
          <w:color w:val="auto"/>
          <w:position w:val="-12"/>
        </w:rPr>
        <w:object>
          <v:shape id="_x0000_i1046" o:spt="75" type="#_x0000_t75" style="height:18pt;width:60.75pt;" o:ole="t" filled="f" o:preferrelative="t" stroked="f" coordsize="21600,21600">
            <v:path/>
            <v:fill on="f" focussize="0,0"/>
            <v:stroke on="f" joinstyle="miter"/>
            <v:imagedata r:id="rId54" o:title=""/>
            <o:lock v:ext="edit" aspectratio="t"/>
            <w10:wrap type="none"/>
            <w10:anchorlock/>
          </v:shape>
          <o:OLEObject Type="Embed" ProgID="Equation.3" ShapeID="_x0000_i1046" DrawAspect="Content" ObjectID="_1468075746" r:id="rId53">
            <o:LockedField>false</o:LockedField>
          </o:OLEObject>
        </w:object>
      </w:r>
      <w:r>
        <w:rPr>
          <w:color w:val="auto"/>
        </w:rPr>
        <w:t xml:space="preserve">                      （5.2.5-1）</w:t>
      </w:r>
    </w:p>
    <w:p w14:paraId="2BAB63B6">
      <w:pPr>
        <w:ind w:left="925" w:leftChars="302" w:hanging="200" w:hangingChars="83"/>
        <w:rPr>
          <w:color w:val="auto"/>
        </w:rPr>
      </w:pPr>
      <w:r>
        <w:rPr>
          <w:b/>
          <w:bCs/>
          <w:color w:val="auto"/>
        </w:rPr>
        <w:t>2</w:t>
      </w:r>
      <w:r>
        <w:rPr>
          <w:color w:val="auto"/>
        </w:rPr>
        <w:t>）当计算点位于地下水位以下时：</w:t>
      </w:r>
    </w:p>
    <w:p w14:paraId="5251BF24">
      <w:pPr>
        <w:ind w:left="1843" w:firstLine="490"/>
        <w:jc w:val="right"/>
        <w:rPr>
          <w:color w:val="auto"/>
          <w:position w:val="-10"/>
        </w:rPr>
      </w:pPr>
      <w:r>
        <w:rPr>
          <w:color w:val="auto"/>
          <w:position w:val="-12"/>
        </w:rPr>
        <w:object>
          <v:shape id="_x0000_i1047" o:spt="75" type="#_x0000_t75" style="height:18pt;width:112.5pt;" o:ole="t" filled="f" o:preferrelative="t" stroked="f" coordsize="21600,21600">
            <v:path/>
            <v:fill on="f" focussize="0,0"/>
            <v:stroke on="f" joinstyle="miter"/>
            <v:imagedata r:id="rId56" o:title=""/>
            <o:lock v:ext="edit" aspectratio="t"/>
            <w10:wrap type="none"/>
            <w10:anchorlock/>
          </v:shape>
          <o:OLEObject Type="Embed" ProgID="Equation.3" ShapeID="_x0000_i1047" DrawAspect="Content" ObjectID="_1468075747" r:id="rId55">
            <o:LockedField>false</o:LockedField>
          </o:OLEObject>
        </w:object>
      </w:r>
      <w:r>
        <w:rPr>
          <w:color w:val="auto"/>
          <w:position w:val="-10"/>
        </w:rPr>
        <w:t xml:space="preserve">                 （5.2.5-2）</w:t>
      </w:r>
    </w:p>
    <w:p w14:paraId="34709D9C">
      <w:pPr>
        <w:ind w:firstLine="2400" w:firstLineChars="1000"/>
        <w:jc w:val="right"/>
        <w:rPr>
          <w:color w:val="auto"/>
          <w:position w:val="-10"/>
        </w:rPr>
      </w:pPr>
      <w:r>
        <w:rPr>
          <w:color w:val="auto"/>
        </w:rPr>
        <w:drawing>
          <wp:inline distT="0" distB="0" distL="114300" distR="114300">
            <wp:extent cx="1543050" cy="457200"/>
            <wp:effectExtent l="0" t="0" r="6350" b="0"/>
            <wp:docPr id="8"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1"/>
                    <pic:cNvPicPr>
                      <a:picLocks noChangeAspect="1"/>
                    </pic:cNvPicPr>
                  </pic:nvPicPr>
                  <pic:blipFill>
                    <a:blip r:embed="rId57"/>
                    <a:stretch>
                      <a:fillRect/>
                    </a:stretch>
                  </pic:blipFill>
                  <pic:spPr>
                    <a:xfrm>
                      <a:off x="0" y="0"/>
                      <a:ext cx="1543050" cy="457200"/>
                    </a:xfrm>
                    <a:prstGeom prst="rect">
                      <a:avLst/>
                    </a:prstGeom>
                    <a:noFill/>
                    <a:ln>
                      <a:noFill/>
                    </a:ln>
                  </pic:spPr>
                </pic:pic>
              </a:graphicData>
            </a:graphic>
          </wp:inline>
        </w:drawing>
      </w:r>
      <w:r>
        <w:rPr>
          <w:color w:val="auto"/>
          <w:position w:val="-10"/>
        </w:rPr>
        <w:t xml:space="preserve">                  （5.2.5-3）</w:t>
      </w:r>
    </w:p>
    <w:p w14:paraId="31BE909B">
      <w:pPr>
        <w:ind w:firstLine="20"/>
        <w:jc w:val="left"/>
        <w:rPr>
          <w:color w:val="auto"/>
        </w:rPr>
      </w:pPr>
      <w:r>
        <w:rPr>
          <w:color w:val="auto"/>
        </w:rPr>
        <w:t>式中：</w:t>
      </w:r>
      <w:r>
        <w:rPr>
          <w:color w:val="auto"/>
          <w:position w:val="-10"/>
        </w:rPr>
        <w:object>
          <v:shape id="_x0000_i1048" o:spt="75" type="#_x0000_t75" style="height:15pt;width:15.75pt;" o:ole="t" filled="f" o:preferrelative="t" stroked="f" coordsize="21600,21600">
            <v:path/>
            <v:fill on="f" focussize="0,0"/>
            <v:stroke on="f" joinstyle="miter"/>
            <v:imagedata r:id="rId59" o:title=""/>
            <o:lock v:ext="edit" aspectratio="t"/>
            <w10:wrap type="none"/>
            <w10:anchorlock/>
          </v:shape>
          <o:OLEObject Type="Embed" ProgID="Equation.3" ShapeID="_x0000_i1048" DrawAspect="Content" ObjectID="_1468075748" r:id="rId58">
            <o:LockedField>false</o:LockedField>
          </o:OLEObject>
        </w:object>
      </w:r>
      <w:r>
        <w:rPr>
          <w:color w:val="auto"/>
        </w:rPr>
        <w:t>——第i层土的主动土压力系数，</w:t>
      </w:r>
    </w:p>
    <w:p w14:paraId="52BDA2F1">
      <w:pPr>
        <w:ind w:firstLine="720" w:firstLineChars="300"/>
        <w:rPr>
          <w:color w:val="auto"/>
        </w:rPr>
      </w:pPr>
      <w:r>
        <w:rPr>
          <w:color w:val="auto"/>
        </w:rPr>
        <w:object>
          <v:shape id="_x0000_i1049" o:spt="75" type="#_x0000_t75" style="height:18pt;width:17.25pt;" o:ole="t" filled="f" o:preferrelative="t" stroked="f" coordsize="21600,21600">
            <v:path/>
            <v:fill on="f" focussize="0,0"/>
            <v:stroke on="f" joinstyle="miter"/>
            <v:imagedata r:id="rId61" o:title=""/>
            <o:lock v:ext="edit" aspectratio="t"/>
            <w10:wrap type="none"/>
            <w10:anchorlock/>
          </v:shape>
          <o:OLEObject Type="Embed" ProgID="Equation.3" ShapeID="_x0000_i1049" DrawAspect="Content" ObjectID="_1468075749" r:id="rId60">
            <o:LockedField>false</o:LockedField>
          </o:OLEObject>
        </w:object>
      </w:r>
      <w:r>
        <w:rPr>
          <w:color w:val="auto"/>
        </w:rPr>
        <w:t>——第i层土的内摩擦角标准值（°）；</w:t>
      </w:r>
    </w:p>
    <w:p w14:paraId="51B36211">
      <w:pPr>
        <w:ind w:left="1579" w:leftChars="342" w:hanging="758" w:hangingChars="316"/>
        <w:rPr>
          <w:color w:val="auto"/>
        </w:rPr>
      </w:pPr>
      <w:r>
        <w:rPr>
          <w:color w:val="auto"/>
        </w:rPr>
        <w:object>
          <v:shape id="_x0000_i1050" o:spt="75" type="#_x0000_t75" style="height:18pt;width:18pt;" o:ole="t" filled="f" o:preferrelative="t" stroked="f" coordsize="21600,21600">
            <v:path/>
            <v:fill on="f" focussize="0,0"/>
            <v:stroke on="f" joinstyle="miter"/>
            <v:imagedata r:id="rId63" o:title=""/>
            <o:lock v:ext="edit" aspectratio="t"/>
            <w10:wrap type="none"/>
            <w10:anchorlock/>
          </v:shape>
          <o:OLEObject Type="Embed" ProgID="Equation.3" ShapeID="_x0000_i1050" DrawAspect="Content" ObjectID="_1468075750" r:id="rId62">
            <o:LockedField>false</o:LockedField>
          </o:OLEObject>
        </w:object>
      </w:r>
      <w:r>
        <w:rPr>
          <w:color w:val="auto"/>
        </w:rPr>
        <w:t>——作用于深度</w:t>
      </w:r>
      <w:r>
        <w:rPr>
          <w:color w:val="auto"/>
        </w:rPr>
        <w:object>
          <v:shape id="_x0000_i1051" o:spt="75" type="#_x0000_t75" style="height:18pt;width:13.5pt;" o:ole="t" filled="f" o:preferrelative="t" stroked="f" coordsize="21600,21600">
            <v:path/>
            <v:fill on="f" focussize="0,0"/>
            <v:stroke on="f" joinstyle="miter"/>
            <v:imagedata r:id="rId65" o:title=""/>
            <o:lock v:ext="edit" aspectratio="t"/>
            <w10:wrap type="none"/>
            <w10:anchorlock/>
          </v:shape>
          <o:OLEObject Type="Embed" ProgID="Equation.3" ShapeID="_x0000_i1051" DrawAspect="Content" ObjectID="_1468075751" r:id="rId64">
            <o:LockedField>false</o:LockedField>
          </o:OLEObject>
        </w:object>
      </w:r>
      <w:r>
        <w:rPr>
          <w:color w:val="auto"/>
        </w:rPr>
        <w:t>处的竖向应力标准值（kPa），可按本规程第5.2.6条规定计算；</w:t>
      </w:r>
    </w:p>
    <w:p w14:paraId="27BD7632">
      <w:pPr>
        <w:ind w:left="1579" w:leftChars="342" w:hanging="758" w:hangingChars="316"/>
        <w:rPr>
          <w:color w:val="auto"/>
        </w:rPr>
      </w:pPr>
      <w:r>
        <w:rPr>
          <w:color w:val="auto"/>
        </w:rPr>
        <w:object>
          <v:shape id="_x0000_i1052" o:spt="75" type="#_x0000_t75" style="height:18pt;width:16pt;" o:ole="t" filled="f" o:preferrelative="t" stroked="f" coordsize="21600,21600">
            <v:path/>
            <v:fill on="f" focussize="0,0"/>
            <v:stroke on="f" joinstyle="miter"/>
            <v:imagedata r:id="rId67" o:title=""/>
            <o:lock v:ext="edit" aspectratio="t"/>
            <w10:wrap type="none"/>
            <w10:anchorlock/>
          </v:shape>
          <o:OLEObject Type="Embed" ProgID="Equation.3" ShapeID="_x0000_i1052" DrawAspect="Content" ObjectID="_1468075752" r:id="rId66">
            <o:LockedField>false</o:LockedField>
          </o:OLEObject>
        </w:object>
      </w:r>
      <w:r>
        <w:rPr>
          <w:color w:val="auto"/>
        </w:rPr>
        <w:t>——支护结构外侧计算点处的水压力（kPa），可按本规程第5.2.7条规定计算。</w:t>
      </w:r>
    </w:p>
    <w:p w14:paraId="4498E877">
      <w:pPr>
        <w:ind w:firstLine="482" w:firstLineChars="200"/>
        <w:jc w:val="left"/>
        <w:rPr>
          <w:bCs/>
          <w:color w:val="auto"/>
        </w:rPr>
      </w:pPr>
      <w:r>
        <w:rPr>
          <w:b/>
          <w:bCs/>
          <w:color w:val="auto"/>
        </w:rPr>
        <w:t>2　</w:t>
      </w:r>
      <w:r>
        <w:rPr>
          <w:bCs/>
          <w:color w:val="auto"/>
        </w:rPr>
        <w:t>粉土及黏性土可按下式计算：</w:t>
      </w:r>
    </w:p>
    <w:p w14:paraId="4A09BE9C">
      <w:pPr>
        <w:ind w:firstLine="490"/>
        <w:jc w:val="right"/>
        <w:rPr>
          <w:color w:val="auto"/>
        </w:rPr>
      </w:pPr>
      <w:r>
        <w:rPr>
          <w:color w:val="auto"/>
          <w:position w:val="-14"/>
        </w:rPr>
        <w:object>
          <v:shape id="_x0000_i1053" o:spt="75" type="#_x0000_t75" style="height:21pt;width:117pt;" o:ole="t" filled="f" o:preferrelative="t" stroked="f" coordsize="21600,21600">
            <v:path/>
            <v:fill on="f" focussize="0,0"/>
            <v:stroke on="f" joinstyle="miter"/>
            <v:imagedata r:id="rId69" o:title=""/>
            <o:lock v:ext="edit" aspectratio="t"/>
            <w10:wrap type="none"/>
            <w10:anchorlock/>
          </v:shape>
          <o:OLEObject Type="Embed" ProgID="Equation.3" ShapeID="_x0000_i1053" DrawAspect="Content" ObjectID="_1468075753" r:id="rId68">
            <o:LockedField>false</o:LockedField>
          </o:OLEObject>
        </w:object>
      </w:r>
      <w:r>
        <w:rPr>
          <w:color w:val="auto"/>
        </w:rPr>
        <w:t xml:space="preserve">                   （5.2.5-4）</w:t>
      </w:r>
    </w:p>
    <w:p w14:paraId="5D560294">
      <w:pPr>
        <w:ind w:firstLine="0"/>
        <w:rPr>
          <w:color w:val="auto"/>
        </w:rPr>
      </w:pPr>
      <w:r>
        <w:rPr>
          <w:color w:val="auto"/>
        </w:rPr>
        <w:t>式中：</w:t>
      </w:r>
      <w:r>
        <w:rPr>
          <w:color w:val="auto"/>
          <w:position w:val="-10"/>
        </w:rPr>
        <w:object>
          <v:shape id="_x0000_i1054" o:spt="75" type="#_x0000_t75" style="height:15pt;width:14.5pt;" o:ole="t" filled="f" o:preferrelative="t" stroked="f" coordsize="21600,21600">
            <v:path/>
            <v:fill on="f" focussize="0,0"/>
            <v:stroke on="f" joinstyle="miter"/>
            <v:imagedata r:id="rId71" o:title=""/>
            <o:lock v:ext="edit" aspectratio="t"/>
            <w10:wrap type="none"/>
            <w10:anchorlock/>
          </v:shape>
          <o:OLEObject Type="Embed" ProgID="Equation.3" ShapeID="_x0000_i1054" DrawAspect="Content" ObjectID="_1468075754" r:id="rId70">
            <o:LockedField>false</o:LockedField>
          </o:OLEObject>
        </w:object>
      </w:r>
      <w:r>
        <w:rPr>
          <w:color w:val="auto"/>
        </w:rPr>
        <w:t>——第i层土黏聚力标准值（kPa）。</w:t>
      </w:r>
    </w:p>
    <w:p w14:paraId="5288844B">
      <w:pPr>
        <w:ind w:firstLine="482" w:firstLineChars="200"/>
        <w:jc w:val="left"/>
        <w:rPr>
          <w:bCs/>
          <w:color w:val="auto"/>
        </w:rPr>
      </w:pPr>
      <w:r>
        <w:rPr>
          <w:b/>
          <w:bCs/>
          <w:color w:val="auto"/>
        </w:rPr>
        <w:t>3　</w:t>
      </w:r>
      <w:r>
        <w:rPr>
          <w:bCs/>
          <w:color w:val="auto"/>
        </w:rPr>
        <w:t>当按以上规定计算的综合管廊明挖段开挖面以上主动土压力强度标准值小于零时，应取零。</w:t>
      </w:r>
    </w:p>
    <w:p w14:paraId="6CBB3139">
      <w:pPr>
        <w:ind w:firstLine="0"/>
        <w:rPr>
          <w:bCs/>
          <w:color w:val="auto"/>
        </w:rPr>
      </w:pPr>
      <w:r>
        <w:rPr>
          <w:b/>
          <w:bCs/>
          <w:color w:val="auto"/>
        </w:rPr>
        <w:t>5.2.6　</w:t>
      </w:r>
      <w:r>
        <w:rPr>
          <w:bCs/>
          <w:color w:val="auto"/>
        </w:rPr>
        <w:t>综合管廊明挖段外侧竖向应力标准值计算应符合下列规定：</w:t>
      </w:r>
    </w:p>
    <w:p w14:paraId="47370069">
      <w:pPr>
        <w:ind w:firstLine="482" w:firstLineChars="200"/>
        <w:jc w:val="left"/>
        <w:rPr>
          <w:bCs/>
          <w:color w:val="auto"/>
        </w:rPr>
      </w:pPr>
      <w:r>
        <w:rPr>
          <w:b/>
          <w:color w:val="auto"/>
        </w:rPr>
        <w:t>1　</w:t>
      </w:r>
      <w:r>
        <w:rPr>
          <w:bCs/>
          <w:color w:val="auto"/>
        </w:rPr>
        <w:t>综合管廊明挖段外侧竖向应力标准值（</w:t>
      </w:r>
      <w:r>
        <w:rPr>
          <w:bCs/>
          <w:color w:val="auto"/>
        </w:rPr>
        <w:object>
          <v:shape id="_x0000_i1055" o:spt="75" type="#_x0000_t75" style="height:18pt;width:18pt;" o:ole="t" filled="f" o:preferrelative="t" stroked="f" coordsize="21600,21600">
            <v:path/>
            <v:fill on="f" focussize="0,0"/>
            <v:stroke on="f" joinstyle="miter"/>
            <v:imagedata r:id="rId63" o:title=""/>
            <o:lock v:ext="edit" aspectratio="t"/>
            <w10:wrap type="none"/>
            <w10:anchorlock/>
          </v:shape>
          <o:OLEObject Type="Embed" ProgID="Equation.3" ShapeID="_x0000_i1055" DrawAspect="Content" ObjectID="_1468075755" r:id="rId72">
            <o:LockedField>false</o:LockedField>
          </o:OLEObject>
        </w:object>
      </w:r>
      <w:r>
        <w:rPr>
          <w:bCs/>
          <w:color w:val="auto"/>
        </w:rPr>
        <w:t>）应按下式计算：</w:t>
      </w:r>
    </w:p>
    <w:p w14:paraId="3BB00871">
      <w:pPr>
        <w:ind w:firstLine="490"/>
        <w:jc w:val="right"/>
        <w:rPr>
          <w:color w:val="auto"/>
        </w:rPr>
      </w:pPr>
      <w:r>
        <w:rPr>
          <w:color w:val="auto"/>
          <w:position w:val="-14"/>
        </w:rPr>
        <w:object>
          <v:shape id="_x0000_i1056" o:spt="75" type="#_x0000_t75" style="height:21pt;width:120pt;" o:ole="t" filled="f" o:preferrelative="t" stroked="f" coordsize="21600,21600">
            <v:path/>
            <v:fill on="f" focussize="0,0"/>
            <v:stroke on="f" joinstyle="miter"/>
            <v:imagedata r:id="rId74" o:title=""/>
            <o:lock v:ext="edit" aspectratio="t"/>
            <w10:wrap type="none"/>
            <w10:anchorlock/>
          </v:shape>
          <o:OLEObject Type="Embed" ProgID="Equation.3" ShapeID="_x0000_i1056" DrawAspect="Content" ObjectID="_1468075756" r:id="rId73">
            <o:LockedField>false</o:LockedField>
          </o:OLEObject>
        </w:object>
      </w:r>
      <w:r>
        <w:rPr>
          <w:color w:val="auto"/>
        </w:rPr>
        <w:t xml:space="preserve">                      （5.2.6-1）</w:t>
      </w:r>
    </w:p>
    <w:p w14:paraId="062EDF1F">
      <w:pPr>
        <w:ind w:left="1680" w:hanging="1680" w:hangingChars="700"/>
        <w:rPr>
          <w:color w:val="auto"/>
        </w:rPr>
      </w:pPr>
      <w:r>
        <w:rPr>
          <w:color w:val="auto"/>
        </w:rPr>
        <w:t>式中：</w:t>
      </w:r>
      <w:r>
        <w:rPr>
          <w:color w:val="auto"/>
          <w:position w:val="-12"/>
        </w:rPr>
        <w:object>
          <v:shape id="_x0000_i1057" o:spt="75" type="#_x0000_t75" style="height:16.5pt;width:25.5pt;" o:ole="t" filled="f" o:preferrelative="t" stroked="f" coordsize="21600,21600">
            <v:path/>
            <v:fill on="f" focussize="0,0"/>
            <v:stroke on="f" joinstyle="miter"/>
            <v:imagedata r:id="rId76" o:title=""/>
            <o:lock v:ext="edit" aspectratio="t"/>
            <w10:wrap type="none"/>
            <w10:anchorlock/>
          </v:shape>
          <o:OLEObject Type="Embed" ProgID="Equation.3" ShapeID="_x0000_i1057" DrawAspect="Content" ObjectID="_1468075757" r:id="rId75">
            <o:LockedField>false</o:LockedField>
          </o:OLEObject>
        </w:object>
      </w:r>
      <w:r>
        <w:rPr>
          <w:color w:val="auto"/>
        </w:rPr>
        <w:t>——明挖段外侧计算点深度</w:t>
      </w:r>
      <w:r>
        <w:rPr>
          <w:color w:val="auto"/>
        </w:rPr>
        <w:object>
          <v:shape id="_x0000_i1058" o:spt="75" type="#_x0000_t75" style="height:18pt;width:13.5pt;" o:ole="t" filled="f" o:preferrelative="t" stroked="f" coordsize="21600,21600">
            <v:path/>
            <v:fill on="f" focussize="0,0"/>
            <v:stroke on="f" joinstyle="miter"/>
            <v:imagedata r:id="rId65" o:title=""/>
            <o:lock v:ext="edit" aspectratio="t"/>
            <w10:wrap type="none"/>
            <w10:anchorlock/>
          </v:shape>
          <o:OLEObject Type="Embed" ProgID="Equation.3" ShapeID="_x0000_i1058" DrawAspect="Content" ObjectID="_1468075758" r:id="rId77">
            <o:LockedField>false</o:LockedField>
          </o:OLEObject>
        </w:object>
      </w:r>
      <w:r>
        <w:rPr>
          <w:color w:val="auto"/>
        </w:rPr>
        <w:t>处第j个附加荷载作用产生的附加竖向应力标准值（kPa）；</w:t>
      </w:r>
    </w:p>
    <w:p w14:paraId="7BFD3A78">
      <w:pPr>
        <w:ind w:left="1800" w:leftChars="350" w:hanging="960" w:hangingChars="400"/>
        <w:rPr>
          <w:color w:val="auto"/>
        </w:rPr>
      </w:pPr>
      <w:r>
        <w:rPr>
          <w:color w:val="auto"/>
        </w:rPr>
        <w:object>
          <v:shape id="_x0000_i1059" o:spt="75" type="#_x0000_t75" style="height:18pt;width:17.5pt;" o:ole="t" filled="f" o:preferrelative="t" stroked="f" coordsize="21600,21600">
            <v:path/>
            <v:fill on="f" focussize="0,0"/>
            <v:stroke on="f" joinstyle="miter"/>
            <v:imagedata r:id="rId79" o:title=""/>
            <o:lock v:ext="edit" aspectratio="t"/>
            <w10:wrap type="none"/>
            <w10:anchorlock/>
          </v:shape>
          <o:OLEObject Type="Embed" ProgID="Equation.3" ShapeID="_x0000_i1059" DrawAspect="Content" ObjectID="_1468075759" r:id="rId78">
            <o:LockedField>false</o:LockedField>
          </o:OLEObject>
        </w:object>
      </w:r>
      <w:r>
        <w:rPr>
          <w:color w:val="auto"/>
        </w:rPr>
        <w:t>——深度</w:t>
      </w:r>
      <w:r>
        <w:rPr>
          <w:color w:val="auto"/>
        </w:rPr>
        <w:object>
          <v:shape id="_x0000_i1060" o:spt="75" type="#_x0000_t75" style="height:18pt;width:13.5pt;" o:ole="t" filled="f" o:preferrelative="t" stroked="f" coordsize="21600,21600">
            <v:path/>
            <v:fill on="f" focussize="0,0"/>
            <v:stroke on="f" joinstyle="miter"/>
            <v:imagedata r:id="rId65" o:title=""/>
            <o:lock v:ext="edit" aspectratio="t"/>
            <w10:wrap type="none"/>
            <w10:anchorlock/>
          </v:shape>
          <o:OLEObject Type="Embed" ProgID="Equation.3" ShapeID="_x0000_i1060" DrawAspect="Content" ObjectID="_1468075760" r:id="rId80">
            <o:LockedField>false</o:LockedField>
          </o:OLEObject>
        </w:object>
      </w:r>
      <w:r>
        <w:rPr>
          <w:color w:val="auto"/>
        </w:rPr>
        <w:t>以上土的加权平均重度（kN/m³）地下水位以上取天然重度，地下水位以下取饱和重度。</w:t>
      </w:r>
    </w:p>
    <w:p w14:paraId="6075CBF9">
      <w:pPr>
        <w:ind w:firstLine="482" w:firstLineChars="200"/>
        <w:rPr>
          <w:bCs/>
          <w:color w:val="auto"/>
        </w:rPr>
      </w:pPr>
      <w:r>
        <w:rPr>
          <w:b/>
          <w:color w:val="auto"/>
        </w:rPr>
        <w:t>2　</w:t>
      </w:r>
      <w:r>
        <w:rPr>
          <w:bCs/>
          <w:color w:val="auto"/>
        </w:rPr>
        <w:t>当支护结构外侧地面作用满布附加荷载（</w:t>
      </w:r>
      <w:r>
        <w:rPr>
          <w:bCs/>
          <w:color w:val="auto"/>
        </w:rPr>
        <w:object>
          <v:shape id="_x0000_i1061" o:spt="75" type="#_x0000_t75" style="height:18pt;width:13.5pt;" o:ole="t" filled="f" o:preferrelative="t" stroked="f" coordsize="21600,21600">
            <v:path/>
            <v:fill on="f" focussize="0,0"/>
            <v:stroke on="f" joinstyle="miter"/>
            <v:imagedata r:id="rId82" o:title=""/>
            <o:lock v:ext="edit" aspectratio="t"/>
            <w10:wrap type="none"/>
            <w10:anchorlock/>
          </v:shape>
          <o:OLEObject Type="Embed" ProgID="Equation.3" ShapeID="_x0000_i1061" DrawAspect="Content" ObjectID="_1468075761" r:id="rId81">
            <o:LockedField>false</o:LockedField>
          </o:OLEObject>
        </w:object>
      </w:r>
      <w:r>
        <w:rPr>
          <w:bCs/>
          <w:color w:val="auto"/>
        </w:rPr>
        <w:t>）时（图</w:t>
      </w:r>
      <w:r>
        <w:rPr>
          <w:rFonts w:hint="eastAsia"/>
          <w:bCs/>
          <w:color w:val="auto"/>
          <w:lang w:val="en-US" w:eastAsia="zh-CN"/>
        </w:rPr>
        <w:t>5</w:t>
      </w:r>
      <w:r>
        <w:rPr>
          <w:bCs/>
          <w:color w:val="auto"/>
        </w:rPr>
        <w:t>.2.6-2），综合管廊明挖段外侧任意深度附加竖向应力标准值（</w:t>
      </w:r>
      <w:r>
        <w:rPr>
          <w:bCs/>
          <w:color w:val="auto"/>
          <w:position w:val="-10"/>
        </w:rPr>
        <w:object>
          <v:shape id="_x0000_i1062" o:spt="75" type="#_x0000_t75" style="height:15pt;width:21pt;" o:ole="t" filled="f" o:preferrelative="t" stroked="f" coordsize="21600,21600">
            <v:path/>
            <v:fill on="f" focussize="0,0"/>
            <v:stroke on="f" joinstyle="miter"/>
            <v:imagedata r:id="rId84" o:title=""/>
            <o:lock v:ext="edit" aspectratio="t"/>
            <w10:wrap type="none"/>
            <w10:anchorlock/>
          </v:shape>
          <o:OLEObject Type="Embed" ProgID="Equation.3" ShapeID="_x0000_i1062" DrawAspect="Content" ObjectID="_1468075762" r:id="rId83">
            <o:LockedField>false</o:LockedField>
          </o:OLEObject>
        </w:object>
      </w:r>
      <w:r>
        <w:rPr>
          <w:bCs/>
          <w:color w:val="auto"/>
        </w:rPr>
        <w:t>）可按下式计算：</w:t>
      </w:r>
    </w:p>
    <w:p w14:paraId="6F18E49C">
      <w:pPr>
        <w:ind w:firstLine="490"/>
        <w:jc w:val="right"/>
        <w:rPr>
          <w:color w:val="auto"/>
        </w:rPr>
      </w:pPr>
      <w:r>
        <w:rPr>
          <w:color w:val="auto"/>
          <w:position w:val="-10"/>
        </w:rPr>
        <w:object>
          <v:shape id="_x0000_i1063" o:spt="75" type="#_x0000_t75" style="height:18pt;width:23.5pt;" o:ole="t" filled="f" o:preferrelative="t" stroked="f" coordsize="21600,21600">
            <v:path/>
            <v:fill on="f" focussize="0,0"/>
            <v:stroke on="f" joinstyle="miter"/>
            <v:imagedata r:id="rId86" o:title=""/>
            <o:lock v:ext="edit" aspectratio="t"/>
            <w10:wrap type="none"/>
            <w10:anchorlock/>
          </v:shape>
          <o:OLEObject Type="Embed" ProgID="Equation.3" ShapeID="_x0000_i1063" DrawAspect="Content" ObjectID="_1468075763" r:id="rId85">
            <o:LockedField>false</o:LockedField>
          </o:OLEObject>
        </w:object>
      </w:r>
      <w:r>
        <w:rPr>
          <w:color w:val="auto"/>
        </w:rPr>
        <w:t>=</w:t>
      </w:r>
      <w:r>
        <w:rPr>
          <w:color w:val="auto"/>
          <w:position w:val="-10"/>
        </w:rPr>
        <w:object>
          <v:shape id="_x0000_i1064" o:spt="75" type="#_x0000_t75" style="height:18pt;width:13.5pt;" o:ole="t" filled="f" o:preferrelative="t" stroked="f" coordsize="21600,21600">
            <v:path/>
            <v:fill on="f" focussize="0,0"/>
            <v:stroke on="f" joinstyle="miter"/>
            <v:imagedata r:id="rId82" o:title=""/>
            <o:lock v:ext="edit" aspectratio="t"/>
            <w10:wrap type="none"/>
            <w10:anchorlock/>
          </v:shape>
          <o:OLEObject Type="Embed" ProgID="Equation.3" ShapeID="_x0000_i1064" DrawAspect="Content" ObjectID="_1468075764" r:id="rId87">
            <o:LockedField>false</o:LockedField>
          </o:OLEObject>
        </w:object>
      </w:r>
      <w:r>
        <w:rPr>
          <w:color w:val="auto"/>
        </w:rPr>
        <w:t xml:space="preserve">                         （5.2.6-2）</w:t>
      </w:r>
    </w:p>
    <w:p w14:paraId="6CAC2DED">
      <w:pPr>
        <w:ind w:firstLine="0"/>
        <w:jc w:val="center"/>
        <w:rPr>
          <w:color w:val="auto"/>
        </w:rPr>
      </w:pPr>
      <w:r>
        <w:rPr>
          <w:color w:val="auto"/>
        </w:rPr>
        <w:object>
          <v:shape id="_x0000_i1065" o:spt="75" type="#_x0000_t75" style="height:173pt;width:227.5pt;" o:ole="t" filled="f" o:preferrelative="t" stroked="f" coordsize="21600,21600">
            <v:path/>
            <v:fill on="f" focussize="0,0"/>
            <v:stroke on="f" joinstyle="miter"/>
            <v:imagedata r:id="rId89" cropleft="21311f" croptop="14342f" cropright="27040f" cropbottom="10591f" o:title=""/>
            <o:lock v:ext="edit" aspectratio="f"/>
            <w10:wrap type="none"/>
            <w10:anchorlock/>
          </v:shape>
          <o:OLEObject Type="Embed" ProgID="AutoCAD.Drawing.20" ShapeID="_x0000_i1065" DrawAspect="Content" ObjectID="_1468075765" r:id="rId88">
            <o:LockedField>false</o:LockedField>
          </o:OLEObject>
        </w:object>
      </w:r>
    </w:p>
    <w:p w14:paraId="7F74DBAB">
      <w:pPr>
        <w:ind w:firstLine="0"/>
        <w:jc w:val="center"/>
        <w:rPr>
          <w:b/>
          <w:bCs/>
          <w:color w:val="auto"/>
          <w:sz w:val="21"/>
          <w:szCs w:val="21"/>
        </w:rPr>
      </w:pPr>
      <w:r>
        <w:rPr>
          <w:b/>
          <w:bCs/>
          <w:color w:val="auto"/>
          <w:sz w:val="21"/>
          <w:szCs w:val="21"/>
        </w:rPr>
        <w:t>图5.2.6-2　地面均布荷载时明挖段外侧附加竖向应力计算</w:t>
      </w:r>
    </w:p>
    <w:p w14:paraId="2A29277A">
      <w:pPr>
        <w:ind w:firstLine="482" w:firstLineChars="200"/>
        <w:rPr>
          <w:bCs/>
          <w:color w:val="auto"/>
        </w:rPr>
      </w:pPr>
      <w:r>
        <w:rPr>
          <w:b/>
          <w:color w:val="auto"/>
        </w:rPr>
        <w:t>3　</w:t>
      </w:r>
      <w:r>
        <w:rPr>
          <w:bCs/>
          <w:color w:val="auto"/>
        </w:rPr>
        <w:t>当距支护结构外侧a处地表作用有宽度为b的条形附加荷载（</w:t>
      </w:r>
      <w:r>
        <w:rPr>
          <w:bCs/>
          <w:color w:val="auto"/>
          <w:position w:val="-10"/>
        </w:rPr>
        <w:object>
          <v:shape id="_x0000_i1066" o:spt="75" type="#_x0000_t75" style="height:15pt;width:12pt;" o:ole="t" filled="f" o:preferrelative="t" stroked="f" coordsize="21600,21600">
            <v:path/>
            <v:fill on="f" focussize="0,0"/>
            <v:stroke on="f" joinstyle="miter"/>
            <v:imagedata r:id="rId91" o:title=""/>
            <o:lock v:ext="edit" aspectratio="t"/>
            <w10:wrap type="none"/>
            <w10:anchorlock/>
          </v:shape>
          <o:OLEObject Type="Embed" ProgID="Equation.3" ShapeID="_x0000_i1066" DrawAspect="Content" ObjectID="_1468075766" r:id="rId90">
            <o:LockedField>false</o:LockedField>
          </o:OLEObject>
        </w:object>
      </w:r>
      <w:r>
        <w:rPr>
          <w:bCs/>
          <w:color w:val="auto"/>
        </w:rPr>
        <w:t>）时（图5.2.6-3），明挖段外侧土中附加竖向应力标准值（</w:t>
      </w:r>
      <w:r>
        <w:rPr>
          <w:bCs/>
          <w:color w:val="auto"/>
          <w:position w:val="-10"/>
        </w:rPr>
        <w:object>
          <v:shape id="_x0000_i1067" o:spt="75" type="#_x0000_t75" style="height:17.5pt;width:25pt;" o:ole="t" filled="f" o:preferrelative="t" stroked="f" coordsize="21600,21600">
            <v:path/>
            <v:fill on="f" focussize="0,0"/>
            <v:stroke on="f" joinstyle="miter"/>
            <v:imagedata r:id="rId93" o:title=""/>
            <o:lock v:ext="edit" aspectratio="t"/>
            <w10:wrap type="none"/>
            <w10:anchorlock/>
          </v:shape>
          <o:OLEObject Type="Embed" ProgID="Equation.3" ShapeID="_x0000_i1067" DrawAspect="Content" ObjectID="_1468075767" r:id="rId92">
            <o:LockedField>false</o:LockedField>
          </o:OLEObject>
        </w:object>
      </w:r>
      <w:r>
        <w:rPr>
          <w:bCs/>
          <w:color w:val="auto"/>
        </w:rPr>
        <w:t>），可按下式计算：</w:t>
      </w:r>
    </w:p>
    <w:p w14:paraId="3538B986">
      <w:pPr>
        <w:adjustRightInd w:val="0"/>
        <w:snapToGrid w:val="0"/>
        <w:ind w:left="1178" w:leftChars="491" w:firstLine="1200" w:firstLineChars="500"/>
        <w:jc w:val="right"/>
        <w:rPr>
          <w:color w:val="auto"/>
        </w:rPr>
      </w:pPr>
      <w:r>
        <w:rPr>
          <w:color w:val="auto"/>
        </w:rPr>
        <w:drawing>
          <wp:inline distT="0" distB="0" distL="0" distR="0">
            <wp:extent cx="1181100" cy="406400"/>
            <wp:effectExtent l="0" t="0" r="0" b="0"/>
            <wp:docPr id="10" name="Objec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ject 14"/>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181100" cy="406400"/>
                    </a:xfrm>
                    <a:prstGeom prst="rect">
                      <a:avLst/>
                    </a:prstGeom>
                    <a:noFill/>
                    <a:ln>
                      <a:noFill/>
                    </a:ln>
                  </pic:spPr>
                </pic:pic>
              </a:graphicData>
            </a:graphic>
          </wp:inline>
        </w:drawing>
      </w:r>
      <w:r>
        <w:rPr>
          <w:color w:val="auto"/>
        </w:rPr>
        <w:t xml:space="preserve">                    （5.2.6-3）</w:t>
      </w:r>
    </w:p>
    <w:p w14:paraId="1338C740">
      <w:pPr>
        <w:ind w:firstLine="0"/>
        <w:jc w:val="center"/>
        <w:rPr>
          <w:color w:val="auto"/>
        </w:rPr>
      </w:pPr>
      <w:r>
        <w:rPr>
          <w:color w:val="auto"/>
        </w:rPr>
        <w:object>
          <v:shape id="_x0000_i1068" o:spt="75" type="#_x0000_t75" style="height:176pt;width:157.5pt;" o:ole="t" filled="f" o:preferrelative="t" stroked="f" coordsize="21600,21600">
            <v:path/>
            <v:fill on="f" focussize="0,0"/>
            <v:stroke on="f" joinstyle="miter"/>
            <v:imagedata r:id="rId96" cropleft="41993f" croptop="19059f" cropright="17161f" cropbottom="19698f" o:title=""/>
            <o:lock v:ext="edit" aspectratio="f"/>
            <w10:wrap type="none"/>
            <w10:anchorlock/>
          </v:shape>
          <o:OLEObject Type="Embed" ProgID="AutoCAD.Drawing.20" ShapeID="_x0000_i1068" DrawAspect="Content" ObjectID="_1468075768" r:id="rId95">
            <o:LockedField>false</o:LockedField>
          </o:OLEObject>
        </w:object>
      </w:r>
    </w:p>
    <w:p w14:paraId="5D182879">
      <w:pPr>
        <w:ind w:firstLine="0"/>
        <w:jc w:val="center"/>
        <w:rPr>
          <w:b/>
          <w:bCs/>
          <w:color w:val="auto"/>
          <w:sz w:val="21"/>
          <w:szCs w:val="21"/>
        </w:rPr>
      </w:pPr>
      <w:r>
        <w:rPr>
          <w:b/>
          <w:bCs/>
          <w:color w:val="auto"/>
          <w:sz w:val="21"/>
          <w:szCs w:val="21"/>
        </w:rPr>
        <w:t>图5.2.6-3　地表局部条形荷载作用时明挖段外侧附加竖向应力计算</w:t>
      </w:r>
    </w:p>
    <w:p w14:paraId="79BA7B9E">
      <w:pPr>
        <w:ind w:firstLine="482" w:firstLineChars="200"/>
        <w:jc w:val="left"/>
        <w:rPr>
          <w:bCs/>
          <w:color w:val="auto"/>
        </w:rPr>
      </w:pPr>
      <w:r>
        <w:rPr>
          <w:b/>
          <w:color w:val="auto"/>
        </w:rPr>
        <w:t>4　</w:t>
      </w:r>
      <w:r>
        <w:rPr>
          <w:bCs/>
          <w:color w:val="auto"/>
        </w:rPr>
        <w:t>对条形基础下的附加荷载（图5.2.6-4），综合管廊明挖段外侧土中的附加竖向应力标准值（</w:t>
      </w:r>
      <w:r>
        <w:rPr>
          <w:bCs/>
          <w:color w:val="auto"/>
          <w:position w:val="-10"/>
        </w:rPr>
        <w:object>
          <v:shape id="_x0000_i1069" o:spt="75" type="#_x0000_t75" style="height:17.5pt;width:25pt;" o:ole="t" filled="f" o:preferrelative="t" stroked="f" coordsize="21600,21600">
            <v:path/>
            <v:fill on="f" focussize="0,0"/>
            <v:stroke on="f" joinstyle="miter"/>
            <v:imagedata r:id="rId98" o:title=""/>
            <o:lock v:ext="edit" aspectratio="t"/>
            <w10:wrap type="none"/>
            <w10:anchorlock/>
          </v:shape>
          <o:OLEObject Type="Embed" ProgID="Equation.3" ShapeID="_x0000_i1069" DrawAspect="Content" ObjectID="_1468075769" r:id="rId97">
            <o:LockedField>false</o:LockedField>
          </o:OLEObject>
        </w:object>
      </w:r>
      <w:r>
        <w:rPr>
          <w:bCs/>
          <w:color w:val="auto"/>
        </w:rPr>
        <w:t>）可按式（5.2.6-3）计算，相应计算参数应按图5.2.6-4取值。</w:t>
      </w:r>
    </w:p>
    <w:p w14:paraId="3464039E">
      <w:pPr>
        <w:ind w:firstLine="0"/>
        <w:jc w:val="center"/>
        <w:rPr>
          <w:color w:val="auto"/>
        </w:rPr>
      </w:pPr>
      <w:r>
        <w:rPr>
          <w:color w:val="auto"/>
        </w:rPr>
        <w:object>
          <v:shape id="_x0000_i1070" o:spt="75" type="#_x0000_t75" style="height:184.5pt;width:187pt;" o:ole="t" filled="f" o:preferrelative="t" stroked="f" coordsize="21600,21600">
            <v:path/>
            <v:fill on="f" focussize="0,0"/>
            <v:stroke on="f" joinstyle="miter"/>
            <v:imagedata r:id="rId100" cropleft="53740f" croptop="18285f" cropright="5821f" cropbottom="17397f" o:title=""/>
            <o:lock v:ext="edit" aspectratio="f"/>
            <w10:wrap type="none"/>
            <w10:anchorlock/>
          </v:shape>
          <o:OLEObject Type="Embed" ProgID="AutoCAD.Drawing.20" ShapeID="_x0000_i1070" DrawAspect="Content" ObjectID="_1468075770" r:id="rId99">
            <o:LockedField>false</o:LockedField>
          </o:OLEObject>
        </w:object>
      </w:r>
    </w:p>
    <w:p w14:paraId="4EB4B40B">
      <w:pPr>
        <w:ind w:firstLine="0"/>
        <w:jc w:val="center"/>
        <w:rPr>
          <w:b/>
          <w:bCs/>
          <w:color w:val="auto"/>
          <w:sz w:val="21"/>
          <w:szCs w:val="21"/>
        </w:rPr>
      </w:pPr>
      <w:r>
        <w:rPr>
          <w:b/>
          <w:bCs/>
          <w:color w:val="auto"/>
          <w:sz w:val="21"/>
          <w:szCs w:val="21"/>
        </w:rPr>
        <w:t>图5.2.6-4　条形基础下附加荷载作用时明挖段外侧附加竖向应力计算</w:t>
      </w:r>
    </w:p>
    <w:p w14:paraId="210BAF65">
      <w:pPr>
        <w:ind w:firstLine="482" w:firstLineChars="200"/>
        <w:rPr>
          <w:color w:val="auto"/>
        </w:rPr>
      </w:pPr>
      <w:r>
        <w:rPr>
          <w:b/>
          <w:color w:val="auto"/>
        </w:rPr>
        <w:t>5　</w:t>
      </w:r>
      <w:r>
        <w:rPr>
          <w:color w:val="auto"/>
        </w:rPr>
        <w:t>在临近建筑有复合地基时，可在此基础上，结合具体情况，考虑复合地基对土体性质、应力状态等的影响，对参数进行适当调整和分析，结合有限元数值分析计算土压力。</w:t>
      </w:r>
    </w:p>
    <w:p w14:paraId="6F679A6F">
      <w:pPr>
        <w:ind w:firstLine="0"/>
        <w:rPr>
          <w:bCs/>
          <w:color w:val="auto"/>
        </w:rPr>
      </w:pPr>
      <w:r>
        <w:rPr>
          <w:b/>
          <w:bCs/>
          <w:color w:val="auto"/>
        </w:rPr>
        <w:t>5.2.7　</w:t>
      </w:r>
      <w:r>
        <w:rPr>
          <w:color w:val="auto"/>
        </w:rPr>
        <w:t>综合</w:t>
      </w:r>
      <w:r>
        <w:rPr>
          <w:bCs/>
          <w:color w:val="auto"/>
        </w:rPr>
        <w:t>管廊明挖段内外无渗流条件时，支护结构外侧作用的水压力应根据明挖段外侧的静止地下水位按式（5.2.7）计算。当明挖段内外地下水有稳态渗流时，应考虑渗流力作用。</w:t>
      </w:r>
    </w:p>
    <w:p w14:paraId="4C37E2A6">
      <w:pPr>
        <w:ind w:firstLine="0"/>
        <w:jc w:val="right"/>
        <w:rPr>
          <w:color w:val="auto"/>
        </w:rPr>
      </w:pPr>
      <w:r>
        <w:rPr>
          <w:color w:val="auto"/>
          <w:position w:val="-12"/>
        </w:rPr>
        <w:object>
          <v:shape id="_x0000_i1071" o:spt="75" type="#_x0000_t75" style="height:18pt;width:56.5pt;" o:ole="t" filled="f" o:preferrelative="t" stroked="f" coordsize="21600,21600">
            <v:path/>
            <v:fill on="f" focussize="0,0"/>
            <v:stroke on="f" joinstyle="miter"/>
            <v:imagedata r:id="rId102" o:title=""/>
            <o:lock v:ext="edit" aspectratio="t"/>
            <w10:wrap type="none"/>
            <w10:anchorlock/>
          </v:shape>
          <o:OLEObject Type="Embed" ProgID="Equation.3" ShapeID="_x0000_i1071" DrawAspect="Content" ObjectID="_1468075771" r:id="rId101">
            <o:LockedField>false</o:LockedField>
          </o:OLEObject>
        </w:object>
      </w:r>
      <w:r>
        <w:rPr>
          <w:color w:val="auto"/>
        </w:rPr>
        <w:t xml:space="preserve">                         （5.2.7）</w:t>
      </w:r>
    </w:p>
    <w:p w14:paraId="0E776140">
      <w:pPr>
        <w:ind w:firstLine="0"/>
        <w:rPr>
          <w:color w:val="auto"/>
        </w:rPr>
      </w:pPr>
      <w:r>
        <w:rPr>
          <w:color w:val="auto"/>
        </w:rPr>
        <w:t>式中：</w:t>
      </w:r>
      <w:r>
        <w:rPr>
          <w:color w:val="auto"/>
        </w:rPr>
        <w:object>
          <v:shape id="_x0000_i1072" o:spt="75" type="#_x0000_t75" style="height:18pt;width:13.5pt;" o:ole="t" filled="f" o:preferrelative="t" stroked="f" coordsize="21600,21600">
            <v:path/>
            <v:fill on="f" focussize="0,0"/>
            <v:stroke on="f" joinstyle="miter"/>
            <v:imagedata r:id="rId104" o:title=""/>
            <o:lock v:ext="edit" aspectratio="t"/>
            <w10:wrap type="none"/>
            <w10:anchorlock/>
          </v:shape>
          <o:OLEObject Type="Embed" ProgID="Equation.3" ShapeID="_x0000_i1072" DrawAspect="Content" ObjectID="_1468075772" r:id="rId103">
            <o:LockedField>false</o:LockedField>
          </o:OLEObject>
        </w:object>
      </w:r>
      <w:r>
        <w:rPr>
          <w:color w:val="auto"/>
        </w:rPr>
        <w:t>——水的重度（kN/m³）；</w:t>
      </w:r>
    </w:p>
    <w:p w14:paraId="10D9426B">
      <w:pPr>
        <w:ind w:firstLine="720" w:firstLineChars="300"/>
        <w:rPr>
          <w:color w:val="auto"/>
        </w:rPr>
      </w:pPr>
      <w:r>
        <w:rPr>
          <w:color w:val="auto"/>
        </w:rPr>
        <w:object>
          <v:shape id="_x0000_i1073" o:spt="75" type="#_x0000_t75" style="height:18pt;width:18pt;" o:ole="t" filled="f" o:preferrelative="t" stroked="f" coordsize="21600,21600">
            <v:path/>
            <v:fill on="f" focussize="0,0"/>
            <v:stroke on="f" joinstyle="miter"/>
            <v:imagedata r:id="rId106" o:title=""/>
            <o:lock v:ext="edit" aspectratio="t"/>
            <w10:wrap type="none"/>
            <w10:anchorlock/>
          </v:shape>
          <o:OLEObject Type="Embed" ProgID="Equation.3" ShapeID="_x0000_i1073" DrawAspect="Content" ObjectID="_1468075773" r:id="rId105">
            <o:LockedField>false</o:LockedField>
          </o:OLEObject>
        </w:object>
      </w:r>
      <w:r>
        <w:rPr>
          <w:color w:val="auto"/>
        </w:rPr>
        <w:t>——明挖段外侧地下水位至主动土压力强度计算点的垂直距离（m）。</w:t>
      </w:r>
    </w:p>
    <w:p w14:paraId="38AD6562">
      <w:pPr>
        <w:ind w:firstLine="0"/>
        <w:rPr>
          <w:bCs/>
          <w:color w:val="auto"/>
        </w:rPr>
      </w:pPr>
      <w:r>
        <w:rPr>
          <w:b/>
          <w:bCs/>
          <w:color w:val="auto"/>
        </w:rPr>
        <w:t>5.2.8　</w:t>
      </w:r>
      <w:r>
        <w:rPr>
          <w:bCs/>
          <w:color w:val="auto"/>
        </w:rPr>
        <w:t>主动土压力系数宜按下式计算：</w:t>
      </w:r>
    </w:p>
    <w:p w14:paraId="14CF8592">
      <w:pPr>
        <w:ind w:firstLine="0"/>
        <w:jc w:val="right"/>
        <w:rPr>
          <w:color w:val="auto"/>
        </w:rPr>
      </w:pPr>
      <w:r>
        <w:rPr>
          <w:color w:val="auto"/>
          <w:position w:val="-30"/>
        </w:rPr>
        <w:object>
          <v:shape id="_x0000_i1074" o:spt="75" type="#_x0000_t75" style="height:36pt;width:121.5pt;" o:ole="t" filled="f" o:preferrelative="t" stroked="f" coordsize="21600,21600">
            <v:path/>
            <v:fill on="f" focussize="0,0"/>
            <v:stroke on="f" joinstyle="miter"/>
            <v:imagedata r:id="rId57" o:title=""/>
            <o:lock v:ext="edit" aspectratio="t"/>
            <w10:wrap type="none"/>
            <w10:anchorlock/>
          </v:shape>
          <o:OLEObject Type="Embed" ProgID="Equation.3" ShapeID="_x0000_i1074" DrawAspect="Content" ObjectID="_1468075774" r:id="rId107">
            <o:LockedField>false</o:LockedField>
          </o:OLEObject>
        </w:object>
      </w:r>
      <w:r>
        <w:rPr>
          <w:color w:val="auto"/>
        </w:rPr>
        <w:t xml:space="preserve">                       （5.2.8）</w:t>
      </w:r>
    </w:p>
    <w:p w14:paraId="5B657E61">
      <w:pPr>
        <w:ind w:firstLine="0"/>
        <w:rPr>
          <w:color w:val="auto"/>
        </w:rPr>
      </w:pPr>
      <w:r>
        <w:rPr>
          <w:color w:val="auto"/>
        </w:rPr>
        <w:t>式中：</w:t>
      </w:r>
      <w:r>
        <w:rPr>
          <w:color w:val="auto"/>
          <w:position w:val="-10"/>
        </w:rPr>
        <w:object>
          <v:shape id="_x0000_i1075" o:spt="75" type="#_x0000_t75" style="height:15pt;width:15pt;" o:ole="t" filled="f" o:preferrelative="t" stroked="f" coordsize="21600,21600">
            <v:path/>
            <v:fill on="f" focussize="0,0"/>
            <v:stroke on="f" joinstyle="miter"/>
            <v:imagedata r:id="rId109" o:title=""/>
            <o:lock v:ext="edit" aspectratio="t"/>
            <w10:wrap type="none"/>
            <w10:anchorlock/>
          </v:shape>
          <o:OLEObject Type="Embed" ProgID="Equation.3" ShapeID="_x0000_i1075" DrawAspect="Content" ObjectID="_1468075775" r:id="rId108">
            <o:LockedField>false</o:LockedField>
          </o:OLEObject>
        </w:object>
      </w:r>
      <w:r>
        <w:rPr>
          <w:color w:val="auto"/>
        </w:rPr>
        <w:t>——第i层土的内摩擦角标准值（°）。</w:t>
      </w:r>
    </w:p>
    <w:p w14:paraId="5CB53E4B">
      <w:pPr>
        <w:ind w:firstLine="0"/>
        <w:rPr>
          <w:bCs/>
          <w:color w:val="auto"/>
        </w:rPr>
      </w:pPr>
      <w:r>
        <w:rPr>
          <w:b/>
          <w:bCs/>
          <w:color w:val="auto"/>
        </w:rPr>
        <w:t>5.2.9　</w:t>
      </w:r>
      <w:r>
        <w:rPr>
          <w:bCs/>
          <w:color w:val="auto"/>
        </w:rPr>
        <w:t>被动土压力强度标准值</w:t>
      </w:r>
      <w:r>
        <w:rPr>
          <w:bCs/>
          <w:color w:val="auto"/>
        </w:rPr>
        <w:object>
          <v:shape id="_x0000_i1076" o:spt="75" type="#_x0000_t75" style="height:19.5pt;width:17pt;" o:ole="t" filled="f" o:preferrelative="t" stroked="f" coordsize="21600,21600">
            <v:path/>
            <v:fill on="f" focussize="0,0"/>
            <v:stroke on="f" joinstyle="miter"/>
            <v:imagedata r:id="rId111" o:title=""/>
            <o:lock v:ext="edit" aspectratio="t"/>
            <w10:wrap type="none"/>
            <w10:anchorlock/>
          </v:shape>
          <o:OLEObject Type="Embed" ProgID="Equation.3" ShapeID="_x0000_i1076" DrawAspect="Content" ObjectID="_1468075776" r:id="rId110">
            <o:LockedField>false</o:LockedField>
          </o:OLEObject>
        </w:object>
      </w:r>
      <w:r>
        <w:rPr>
          <w:bCs/>
          <w:color w:val="auto"/>
        </w:rPr>
        <w:t>的计算宜符合下列规定（图5.2.9）：</w:t>
      </w:r>
    </w:p>
    <w:p w14:paraId="087F1737">
      <w:pPr>
        <w:ind w:firstLine="482" w:firstLineChars="200"/>
        <w:jc w:val="left"/>
        <w:rPr>
          <w:bCs/>
          <w:color w:val="auto"/>
        </w:rPr>
      </w:pPr>
      <w:r>
        <w:rPr>
          <w:b/>
          <w:bCs/>
          <w:color w:val="auto"/>
        </w:rPr>
        <w:t>1　</w:t>
      </w:r>
      <w:r>
        <w:rPr>
          <w:bCs/>
          <w:color w:val="auto"/>
        </w:rPr>
        <w:t>对于砂土及碎石土，可按式（5.2.9-1）和式（5.2.9-2）计算。</w:t>
      </w:r>
    </w:p>
    <w:p w14:paraId="3A1760C5">
      <w:pPr>
        <w:ind w:left="925" w:leftChars="302" w:hanging="200" w:hangingChars="83"/>
        <w:rPr>
          <w:color w:val="auto"/>
        </w:rPr>
      </w:pPr>
      <w:r>
        <w:rPr>
          <w:b/>
          <w:bCs/>
          <w:color w:val="auto"/>
        </w:rPr>
        <w:t>1</w:t>
      </w:r>
      <w:r>
        <w:rPr>
          <w:color w:val="auto"/>
        </w:rPr>
        <w:t>）当计算点位于地下水位以上时：</w:t>
      </w:r>
    </w:p>
    <w:p w14:paraId="147B530A">
      <w:pPr>
        <w:ind w:firstLine="0"/>
        <w:jc w:val="right"/>
        <w:rPr>
          <w:color w:val="auto"/>
          <w:position w:val="-30"/>
        </w:rPr>
      </w:pPr>
      <w:r>
        <w:rPr>
          <w:color w:val="auto"/>
          <w:position w:val="-30"/>
        </w:rPr>
        <w:object>
          <v:shape id="_x0000_i1077" o:spt="75" type="#_x0000_t75" style="height:19.5pt;width:66.5pt;" o:ole="t" filled="f" o:preferrelative="t" stroked="f" coordsize="21600,21600">
            <v:path/>
            <v:fill on="f" focussize="0,0"/>
            <v:stroke on="f" joinstyle="miter"/>
            <v:imagedata r:id="rId113" o:title=""/>
            <o:lock v:ext="edit" aspectratio="t"/>
            <w10:wrap type="none"/>
            <w10:anchorlock/>
          </v:shape>
          <o:OLEObject Type="Embed" ProgID="Equation.3" ShapeID="_x0000_i1077" DrawAspect="Content" ObjectID="_1468075777" r:id="rId112">
            <o:LockedField>false</o:LockedField>
          </o:OLEObject>
        </w:object>
      </w:r>
      <w:r>
        <w:rPr>
          <w:color w:val="auto"/>
          <w:position w:val="-30"/>
        </w:rPr>
        <w:t xml:space="preserve">                            （5.2.9-1）</w:t>
      </w:r>
    </w:p>
    <w:p w14:paraId="69D7BE1D">
      <w:pPr>
        <w:ind w:left="925" w:leftChars="302" w:hanging="200" w:hangingChars="83"/>
        <w:rPr>
          <w:color w:val="auto"/>
        </w:rPr>
      </w:pPr>
      <w:r>
        <w:rPr>
          <w:b/>
          <w:bCs/>
          <w:color w:val="auto"/>
        </w:rPr>
        <w:t>2</w:t>
      </w:r>
      <w:r>
        <w:rPr>
          <w:color w:val="auto"/>
        </w:rPr>
        <w:t>）当计算点位于地下水位以下时：</w:t>
      </w:r>
    </w:p>
    <w:p w14:paraId="488F3847">
      <w:pPr>
        <w:ind w:firstLine="0"/>
        <w:jc w:val="right"/>
        <w:rPr>
          <w:color w:val="auto"/>
          <w:position w:val="-30"/>
        </w:rPr>
      </w:pPr>
      <w:r>
        <w:rPr>
          <w:color w:val="auto"/>
          <w:position w:val="-30"/>
        </w:rPr>
        <w:object>
          <v:shape id="_x0000_i1078" o:spt="75" type="#_x0000_t75" style="height:19.5pt;width:132pt;" o:ole="t" filled="f" o:preferrelative="t" stroked="f" coordsize="21600,21600">
            <v:path/>
            <v:fill on="f" focussize="0,0"/>
            <v:stroke on="f" joinstyle="miter"/>
            <v:imagedata r:id="rId115" o:title=""/>
            <o:lock v:ext="edit" aspectratio="t"/>
            <w10:wrap type="none"/>
            <w10:anchorlock/>
          </v:shape>
          <o:OLEObject Type="Embed" ProgID="Equation.3" ShapeID="_x0000_i1078" DrawAspect="Content" ObjectID="_1468075778" r:id="rId114">
            <o:LockedField>false</o:LockedField>
          </o:OLEObject>
        </w:object>
      </w:r>
      <w:r>
        <w:rPr>
          <w:color w:val="auto"/>
          <w:position w:val="-30"/>
        </w:rPr>
        <w:t xml:space="preserve">                   （5.2.9-2）</w:t>
      </w:r>
    </w:p>
    <w:p w14:paraId="1ACC4066">
      <w:pPr>
        <w:ind w:firstLine="0"/>
        <w:jc w:val="center"/>
        <w:rPr>
          <w:color w:val="auto"/>
        </w:rPr>
      </w:pPr>
      <w:r>
        <w:rPr>
          <w:color w:val="auto"/>
        </w:rPr>
        <w:object>
          <v:shape id="_x0000_i1079" o:spt="75" type="#_x0000_t75" style="height:173pt;width:246.5pt;" o:ole="t" filled="f" o:preferrelative="t" stroked="f" coordsize="21600,21600">
            <v:path/>
            <v:fill on="f" focussize="0,0"/>
            <v:stroke on="f" joinstyle="miter"/>
            <v:imagedata r:id="rId117" cropleft="30141f" croptop="5199f" cropright="23426f" cropbottom="29578f" o:title=""/>
            <o:lock v:ext="edit" aspectratio="f"/>
            <w10:wrap type="none"/>
            <w10:anchorlock/>
          </v:shape>
          <o:OLEObject Type="Embed" ProgID="AutoCAD.Drawing.20" ShapeID="_x0000_i1079" DrawAspect="Content" ObjectID="_1468075779" r:id="rId116">
            <o:LockedField>false</o:LockedField>
          </o:OLEObject>
        </w:object>
      </w:r>
    </w:p>
    <w:p w14:paraId="213F80CA">
      <w:pPr>
        <w:ind w:firstLine="0"/>
        <w:jc w:val="center"/>
        <w:rPr>
          <w:b/>
          <w:bCs/>
          <w:color w:val="auto"/>
          <w:sz w:val="21"/>
          <w:szCs w:val="21"/>
        </w:rPr>
      </w:pPr>
      <w:r>
        <w:rPr>
          <w:b/>
          <w:bCs/>
          <w:color w:val="auto"/>
          <w:sz w:val="21"/>
          <w:szCs w:val="21"/>
        </w:rPr>
        <w:t>图5.2.9　被动土压力标准值计算</w:t>
      </w:r>
    </w:p>
    <w:p w14:paraId="41D3B006">
      <w:pPr>
        <w:ind w:left="1680" w:hanging="1680" w:hangingChars="700"/>
        <w:rPr>
          <w:color w:val="auto"/>
        </w:rPr>
      </w:pPr>
      <w:r>
        <w:rPr>
          <w:color w:val="auto"/>
        </w:rPr>
        <w:t>式中：</w:t>
      </w:r>
      <w:r>
        <w:rPr>
          <w:color w:val="auto"/>
          <w:position w:val="-14"/>
        </w:rPr>
        <w:object>
          <v:shape id="_x0000_i1080" o:spt="75" type="#_x0000_t75" style="height:19.5pt;width:19.5pt;" o:ole="t" filled="f" o:preferrelative="t" stroked="f" coordsize="21600,21600">
            <v:path/>
            <v:fill on="f" focussize="0,0"/>
            <v:stroke on="f" joinstyle="miter"/>
            <v:imagedata r:id="rId119" o:title=""/>
            <o:lock v:ext="edit" aspectratio="t"/>
            <w10:wrap type="none"/>
            <w10:anchorlock/>
          </v:shape>
          <o:OLEObject Type="Embed" ProgID="Equation.3" ShapeID="_x0000_i1080" DrawAspect="Content" ObjectID="_1468075780" r:id="rId118">
            <o:LockedField>false</o:LockedField>
          </o:OLEObject>
        </w:object>
      </w:r>
      <w:r>
        <w:rPr>
          <w:color w:val="auto"/>
        </w:rPr>
        <w:t>——作用于管廊明挖段底面以下深度</w:t>
      </w:r>
      <w:r>
        <w:rPr>
          <w:color w:val="auto"/>
        </w:rPr>
        <w:object>
          <v:shape id="_x0000_i1081" o:spt="75" type="#_x0000_t75" style="height:19.5pt;width:13.5pt;" o:ole="t" filled="f" o:preferrelative="t" stroked="f" coordsize="21600,21600">
            <v:path/>
            <v:fill on="f" focussize="0,0"/>
            <v:stroke on="f" joinstyle="miter"/>
            <v:imagedata r:id="rId121" o:title=""/>
            <o:lock v:ext="edit" aspectratio="t"/>
            <w10:wrap type="none"/>
            <w10:anchorlock/>
          </v:shape>
          <o:OLEObject Type="Embed" ProgID="Equation.3" ShapeID="_x0000_i1081" DrawAspect="Content" ObjectID="_1468075781" r:id="rId120">
            <o:LockedField>false</o:LockedField>
          </o:OLEObject>
        </w:object>
      </w:r>
      <w:r>
        <w:rPr>
          <w:color w:val="auto"/>
        </w:rPr>
        <w:t>处的竖向应力标准值（kPa），按本规程第5.2.10条规定计算；</w:t>
      </w:r>
    </w:p>
    <w:p w14:paraId="61608CDE">
      <w:pPr>
        <w:ind w:firstLine="739" w:firstLineChars="308"/>
        <w:rPr>
          <w:color w:val="auto"/>
        </w:rPr>
      </w:pPr>
      <w:r>
        <w:rPr>
          <w:color w:val="auto"/>
          <w:position w:val="-14"/>
        </w:rPr>
        <w:object>
          <v:shape id="_x0000_i1082" o:spt="75" type="#_x0000_t75" style="height:19.5pt;width:18.5pt;" o:ole="t" filled="f" o:preferrelative="t" stroked="f" coordsize="21600,21600">
            <v:path/>
            <v:fill on="f" focussize="0,0"/>
            <v:stroke on="f" joinstyle="miter"/>
            <v:imagedata r:id="rId123" o:title=""/>
            <o:lock v:ext="edit" aspectratio="t"/>
            <w10:wrap type="none"/>
            <w10:anchorlock/>
          </v:shape>
          <o:OLEObject Type="Embed" ProgID="Equation.3" ShapeID="_x0000_i1082" DrawAspect="Content" ObjectID="_1468075782" r:id="rId122">
            <o:LockedField>false</o:LockedField>
          </o:OLEObject>
        </w:object>
      </w:r>
      <w:r>
        <w:rPr>
          <w:color w:val="auto"/>
        </w:rPr>
        <w:t>——第i层土的被动土压力系数，应按本规程第5.2.12条规定计算；</w:t>
      </w:r>
    </w:p>
    <w:p w14:paraId="2617608D">
      <w:pPr>
        <w:ind w:left="1639" w:leftChars="325" w:hanging="859" w:hangingChars="358"/>
        <w:rPr>
          <w:color w:val="auto"/>
        </w:rPr>
      </w:pPr>
      <w:r>
        <w:rPr>
          <w:color w:val="auto"/>
          <w:position w:val="-14"/>
        </w:rPr>
        <w:object>
          <v:shape id="_x0000_i1083" o:spt="75" type="#_x0000_t75" style="height:19.5pt;width:15.5pt;" o:ole="t" filled="f" o:preferrelative="t" stroked="f" coordsize="21600,21600">
            <v:path/>
            <v:fill on="f" focussize="0,0"/>
            <v:stroke on="f" joinstyle="miter"/>
            <v:imagedata r:id="rId125" o:title=""/>
            <o:lock v:ext="edit" aspectratio="t"/>
            <w10:wrap type="none"/>
            <w10:anchorlock/>
          </v:shape>
          <o:OLEObject Type="Embed" ProgID="Equation.3" ShapeID="_x0000_i1083" DrawAspect="Content" ObjectID="_1468075783" r:id="rId124">
            <o:LockedField>false</o:LockedField>
          </o:OLEObject>
        </w:object>
      </w:r>
      <w:r>
        <w:rPr>
          <w:color w:val="auto"/>
        </w:rPr>
        <w:t>——支护结构内侧计算点处的水压力（kPa），可按本规程第5.2.11条规定计算。</w:t>
      </w:r>
    </w:p>
    <w:p w14:paraId="58279894">
      <w:pPr>
        <w:ind w:firstLine="482" w:firstLineChars="200"/>
        <w:jc w:val="left"/>
        <w:rPr>
          <w:bCs/>
          <w:color w:val="auto"/>
        </w:rPr>
      </w:pPr>
      <w:r>
        <w:rPr>
          <w:b/>
          <w:bCs/>
          <w:color w:val="auto"/>
        </w:rPr>
        <w:t>2　</w:t>
      </w:r>
      <w:r>
        <w:rPr>
          <w:bCs/>
          <w:color w:val="auto"/>
        </w:rPr>
        <w:t>对于粉土及黏性土，可按下式计算：</w:t>
      </w:r>
    </w:p>
    <w:p w14:paraId="311A2495">
      <w:pPr>
        <w:ind w:firstLine="0"/>
        <w:jc w:val="right"/>
        <w:rPr>
          <w:color w:val="auto"/>
          <w:position w:val="-30"/>
        </w:rPr>
      </w:pPr>
      <w:r>
        <w:rPr>
          <w:color w:val="auto"/>
          <w:position w:val="-30"/>
        </w:rPr>
        <w:object>
          <v:shape id="_x0000_i1084" o:spt="75" type="#_x0000_t75" style="height:23pt;width:125pt;" o:ole="t" filled="f" o:preferrelative="t" stroked="f" coordsize="21600,21600">
            <v:path/>
            <v:fill on="f" focussize="0,0"/>
            <v:stroke on="f" joinstyle="miter"/>
            <v:imagedata r:id="rId127" o:title=""/>
            <o:lock v:ext="edit" aspectratio="t"/>
            <w10:wrap type="none"/>
            <w10:anchorlock/>
          </v:shape>
          <o:OLEObject Type="Embed" ProgID="Equation.3" ShapeID="_x0000_i1084" DrawAspect="Content" ObjectID="_1468075784" r:id="rId126">
            <o:LockedField>false</o:LockedField>
          </o:OLEObject>
        </w:object>
      </w:r>
      <w:r>
        <w:rPr>
          <w:color w:val="auto"/>
          <w:position w:val="-30"/>
        </w:rPr>
        <w:t xml:space="preserve">                       （5.2.9-3）</w:t>
      </w:r>
    </w:p>
    <w:p w14:paraId="12CAC2D2">
      <w:pPr>
        <w:ind w:firstLine="0"/>
        <w:rPr>
          <w:bCs/>
          <w:color w:val="auto"/>
        </w:rPr>
      </w:pPr>
      <w:r>
        <w:rPr>
          <w:b/>
          <w:bCs/>
          <w:color w:val="auto"/>
        </w:rPr>
        <w:t>5.2.10　</w:t>
      </w:r>
      <w:r>
        <w:rPr>
          <w:bCs/>
          <w:color w:val="auto"/>
        </w:rPr>
        <w:t>作用于综合管廊明挖段底面以下深度</w:t>
      </w:r>
      <w:r>
        <w:rPr>
          <w:bCs/>
          <w:color w:val="auto"/>
        </w:rPr>
        <w:object>
          <v:shape id="_x0000_i1085" o:spt="75" type="#_x0000_t75" style="height:19.5pt;width:14pt;" o:ole="t" filled="f" o:preferrelative="t" stroked="f" coordsize="21600,21600">
            <v:path/>
            <v:fill on="f" focussize="0,0"/>
            <v:stroke on="f" joinstyle="miter"/>
            <v:imagedata r:id="rId121" o:title=""/>
            <o:lock v:ext="edit" aspectratio="t"/>
            <w10:wrap type="none"/>
            <w10:anchorlock/>
          </v:shape>
          <o:OLEObject Type="Embed" ProgID="Equation.3" ShapeID="_x0000_i1085" DrawAspect="Content" ObjectID="_1468075785" r:id="rId128">
            <o:LockedField>false</o:LockedField>
          </o:OLEObject>
        </w:object>
      </w:r>
      <w:r>
        <w:rPr>
          <w:bCs/>
          <w:color w:val="auto"/>
        </w:rPr>
        <w:t>处的竖向应力（</w:t>
      </w:r>
      <w:r>
        <w:rPr>
          <w:bCs/>
          <w:color w:val="auto"/>
        </w:rPr>
        <w:object>
          <v:shape id="_x0000_i1086" o:spt="75" type="#_x0000_t75" style="height:19.5pt;width:19.5pt;" o:ole="t" filled="f" o:preferrelative="t" stroked="f" coordsize="21600,21600">
            <v:path/>
            <v:fill on="f" focussize="0,0"/>
            <v:stroke on="f" joinstyle="miter"/>
            <v:imagedata r:id="rId130" o:title=""/>
            <o:lock v:ext="edit" aspectratio="t"/>
            <w10:wrap type="none"/>
            <w10:anchorlock/>
          </v:shape>
          <o:OLEObject Type="Embed" ProgID="Equation.3" ShapeID="_x0000_i1086" DrawAspect="Content" ObjectID="_1468075786" r:id="rId129">
            <o:LockedField>false</o:LockedField>
          </o:OLEObject>
        </w:object>
      </w:r>
      <w:r>
        <w:rPr>
          <w:bCs/>
          <w:color w:val="auto"/>
        </w:rPr>
        <w:t>）可按下式计算：</w:t>
      </w:r>
    </w:p>
    <w:p w14:paraId="7355A568">
      <w:pPr>
        <w:ind w:firstLine="0"/>
        <w:jc w:val="right"/>
        <w:rPr>
          <w:color w:val="auto"/>
          <w:position w:val="-30"/>
        </w:rPr>
      </w:pPr>
      <w:r>
        <w:rPr>
          <w:color w:val="auto"/>
          <w:position w:val="-30"/>
        </w:rPr>
        <w:object>
          <v:shape id="_x0000_i1087" o:spt="75" type="#_x0000_t75" style="height:19.5pt;width:61pt;" o:ole="t" filled="f" o:preferrelative="t" stroked="f" coordsize="21600,21600">
            <v:path/>
            <v:fill on="f" focussize="0,0"/>
            <v:stroke on="f" joinstyle="miter"/>
            <v:imagedata r:id="rId132" o:title=""/>
            <o:lock v:ext="edit" aspectratio="t"/>
            <w10:wrap type="none"/>
            <w10:anchorlock/>
          </v:shape>
          <o:OLEObject Type="Embed" ProgID="Equation.3" ShapeID="_x0000_i1087" DrawAspect="Content" ObjectID="_1468075787" r:id="rId131">
            <o:LockedField>false</o:LockedField>
          </o:OLEObject>
        </w:object>
      </w:r>
      <w:r>
        <w:rPr>
          <w:color w:val="auto"/>
          <w:position w:val="-30"/>
        </w:rPr>
        <w:t xml:space="preserve">                             （5.2.10）</w:t>
      </w:r>
    </w:p>
    <w:p w14:paraId="1571AE57">
      <w:pPr>
        <w:ind w:left="1680" w:hanging="1680" w:hangingChars="700"/>
        <w:rPr>
          <w:color w:val="auto"/>
        </w:rPr>
      </w:pPr>
      <w:r>
        <w:rPr>
          <w:color w:val="auto"/>
        </w:rPr>
        <w:t xml:space="preserve">式中： </w:t>
      </w:r>
      <w:r>
        <w:rPr>
          <w:color w:val="auto"/>
          <w:position w:val="-12"/>
        </w:rPr>
        <w:object>
          <v:shape id="_x0000_i1088" o:spt="75" type="#_x0000_t75" style="height:17pt;width:17.5pt;" o:ole="t" filled="f" o:preferrelative="t" stroked="f" coordsize="21600,21600">
            <v:path/>
            <v:fill on="f" focussize="0,0"/>
            <v:stroke on="f" joinstyle="miter"/>
            <v:imagedata r:id="rId134" o:title=""/>
            <o:lock v:ext="edit" aspectratio="t"/>
            <w10:wrap type="none"/>
            <w10:anchorlock/>
          </v:shape>
          <o:OLEObject Type="Embed" ProgID="Equation.3" ShapeID="_x0000_i1088" DrawAspect="Content" ObjectID="_1468075788" r:id="rId133">
            <o:LockedField>false</o:LockedField>
          </o:OLEObject>
        </w:object>
      </w:r>
      <w:r>
        <w:rPr>
          <w:color w:val="auto"/>
        </w:rPr>
        <w:t>——深度</w:t>
      </w:r>
      <w:r>
        <w:rPr>
          <w:color w:val="auto"/>
          <w:position w:val="-12"/>
        </w:rPr>
        <w:object>
          <v:shape id="_x0000_i1089" o:spt="75" type="#_x0000_t75" style="height:17pt;width:12.5pt;" o:ole="t" filled="f" o:preferrelative="t" stroked="f" coordsize="21600,21600">
            <v:path/>
            <v:fill on="f" focussize="0,0"/>
            <v:stroke on="f" joinstyle="miter"/>
            <v:imagedata r:id="rId136" o:title=""/>
            <o:lock v:ext="edit" aspectratio="t"/>
            <w10:wrap type="none"/>
            <w10:anchorlock/>
          </v:shape>
          <o:OLEObject Type="Embed" ProgID="Equation.3" ShapeID="_x0000_i1089" DrawAspect="Content" ObjectID="_1468075789" r:id="rId135">
            <o:LockedField>false</o:LockedField>
          </o:OLEObject>
        </w:object>
      </w:r>
      <w:r>
        <w:rPr>
          <w:color w:val="auto"/>
        </w:rPr>
        <w:t>以上土的加权平均重度（kN/m³）地下水位以上取天然重度，地下水位以下取饱和重度。</w:t>
      </w:r>
    </w:p>
    <w:p w14:paraId="292CC2FF">
      <w:pPr>
        <w:ind w:firstLine="0"/>
        <w:rPr>
          <w:bCs/>
          <w:color w:val="auto"/>
        </w:rPr>
      </w:pPr>
      <w:r>
        <w:rPr>
          <w:b/>
          <w:bCs/>
          <w:color w:val="auto"/>
        </w:rPr>
        <w:t>5.2.11　</w:t>
      </w:r>
      <w:r>
        <w:rPr>
          <w:bCs/>
          <w:color w:val="auto"/>
        </w:rPr>
        <w:t>综合管廊明挖段内外无渗流条件时，支护结构内侧作用的水压力应根据明挖段内侧的静止地下水位按式（5.2.11）计算。当明挖段内外地下水有稳态渗流时，应考虑渗流力作用。</w:t>
      </w:r>
    </w:p>
    <w:p w14:paraId="1E213578">
      <w:pPr>
        <w:ind w:firstLine="0"/>
        <w:jc w:val="right"/>
        <w:rPr>
          <w:color w:val="auto"/>
          <w:position w:val="-30"/>
        </w:rPr>
      </w:pPr>
      <w:r>
        <w:rPr>
          <w:color w:val="auto"/>
          <w:position w:val="-30"/>
        </w:rPr>
        <w:object>
          <v:shape id="_x0000_i1090" o:spt="75" type="#_x0000_t75" style="height:19.5pt;width:59pt;" o:ole="t" filled="f" o:preferrelative="t" stroked="f" coordsize="21600,21600">
            <v:path/>
            <v:fill on="f" focussize="0,0"/>
            <v:stroke on="f" joinstyle="miter"/>
            <v:imagedata r:id="rId138" o:title=""/>
            <o:lock v:ext="edit" aspectratio="t"/>
            <w10:wrap type="none"/>
            <w10:anchorlock/>
          </v:shape>
          <o:OLEObject Type="Embed" ProgID="Equation.3" ShapeID="_x0000_i1090" DrawAspect="Content" ObjectID="_1468075790" r:id="rId137">
            <o:LockedField>false</o:LockedField>
          </o:OLEObject>
        </w:object>
      </w:r>
      <w:r>
        <w:rPr>
          <w:color w:val="auto"/>
          <w:position w:val="-30"/>
        </w:rPr>
        <w:t xml:space="preserve">                            （5.2.11）</w:t>
      </w:r>
    </w:p>
    <w:p w14:paraId="777C540D">
      <w:pPr>
        <w:ind w:firstLine="0"/>
        <w:rPr>
          <w:color w:val="auto"/>
        </w:rPr>
      </w:pPr>
      <w:r>
        <w:rPr>
          <w:color w:val="auto"/>
        </w:rPr>
        <w:t>式中：</w:t>
      </w:r>
      <w:r>
        <w:rPr>
          <w:color w:val="auto"/>
          <w:position w:val="-12"/>
        </w:rPr>
        <w:object>
          <v:shape id="_x0000_i1091" o:spt="75" type="#_x0000_t75" style="height:17pt;width:18pt;" o:ole="t" filled="f" o:preferrelative="t" stroked="f" coordsize="21600,21600">
            <v:path/>
            <v:fill on="f" focussize="0,0"/>
            <v:stroke on="f" joinstyle="miter"/>
            <v:imagedata r:id="rId140" o:title=""/>
            <o:lock v:ext="edit" aspectratio="t"/>
            <w10:wrap type="none"/>
            <w10:anchorlock/>
          </v:shape>
          <o:OLEObject Type="Embed" ProgID="Equation.3" ShapeID="_x0000_i1091" DrawAspect="Content" ObjectID="_1468075791" r:id="rId139">
            <o:LockedField>false</o:LockedField>
          </o:OLEObject>
        </w:object>
      </w:r>
      <w:r>
        <w:rPr>
          <w:color w:val="auto"/>
        </w:rPr>
        <w:t>——明挖段内侧地下水位至被动土压力强度计算点的垂直距离（m）。</w:t>
      </w:r>
    </w:p>
    <w:p w14:paraId="2AA32D59">
      <w:pPr>
        <w:ind w:firstLine="0"/>
        <w:rPr>
          <w:bCs/>
          <w:color w:val="auto"/>
        </w:rPr>
      </w:pPr>
      <w:r>
        <w:rPr>
          <w:b/>
          <w:bCs/>
          <w:color w:val="auto"/>
        </w:rPr>
        <w:t>5.2.12　</w:t>
      </w:r>
      <w:r>
        <w:rPr>
          <w:bCs/>
          <w:color w:val="auto"/>
        </w:rPr>
        <w:t>被动土压力系数宜按下式计算：</w:t>
      </w:r>
    </w:p>
    <w:p w14:paraId="38885846">
      <w:pPr>
        <w:ind w:firstLine="0"/>
        <w:jc w:val="right"/>
        <w:rPr>
          <w:color w:val="auto"/>
          <w:position w:val="-30"/>
        </w:rPr>
      </w:pPr>
      <w:r>
        <w:rPr>
          <w:color w:val="auto"/>
          <w:position w:val="-30"/>
        </w:rPr>
        <w:t xml:space="preserve">  </w:t>
      </w:r>
      <w:r>
        <w:rPr>
          <w:color w:val="auto"/>
          <w:position w:val="-28"/>
        </w:rPr>
        <w:drawing>
          <wp:inline distT="0" distB="0" distL="114300" distR="114300">
            <wp:extent cx="1381760" cy="431800"/>
            <wp:effectExtent l="0" t="0" r="2540" b="0"/>
            <wp:docPr id="11"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2"/>
                    <pic:cNvPicPr>
                      <a:picLocks noChangeAspect="1"/>
                    </pic:cNvPicPr>
                  </pic:nvPicPr>
                  <pic:blipFill>
                    <a:blip r:embed="rId141"/>
                    <a:stretch>
                      <a:fillRect/>
                    </a:stretch>
                  </pic:blipFill>
                  <pic:spPr>
                    <a:xfrm>
                      <a:off x="0" y="0"/>
                      <a:ext cx="1381760" cy="431800"/>
                    </a:xfrm>
                    <a:prstGeom prst="rect">
                      <a:avLst/>
                    </a:prstGeom>
                    <a:noFill/>
                    <a:ln>
                      <a:noFill/>
                    </a:ln>
                  </pic:spPr>
                </pic:pic>
              </a:graphicData>
            </a:graphic>
          </wp:inline>
        </w:drawing>
      </w:r>
      <w:r>
        <w:rPr>
          <w:color w:val="auto"/>
          <w:position w:val="-30"/>
        </w:rPr>
        <w:t xml:space="preserve">                    （5.2.12）</w:t>
      </w:r>
    </w:p>
    <w:p w14:paraId="5D35809B">
      <w:pPr>
        <w:ind w:firstLine="0"/>
        <w:rPr>
          <w:bCs/>
          <w:color w:val="auto"/>
        </w:rPr>
      </w:pPr>
      <w:r>
        <w:rPr>
          <w:b/>
          <w:bCs/>
          <w:color w:val="auto"/>
        </w:rPr>
        <w:t>5.2.13　</w:t>
      </w:r>
      <w:r>
        <w:rPr>
          <w:bCs/>
          <w:color w:val="auto"/>
        </w:rPr>
        <w:t>悬臂式支挡结构的嵌固深度（</w:t>
      </w:r>
      <w:r>
        <w:rPr>
          <w:bCs/>
          <w:color w:val="auto"/>
        </w:rPr>
        <w:object>
          <v:shape id="_x0000_i1092" o:spt="75" type="#_x0000_t75" style="height:18pt;width:12pt;" o:ole="t" filled="f" o:preferrelative="t" stroked="f" coordsize="21600,21600">
            <v:path/>
            <v:fill on="f" focussize="0,0"/>
            <v:stroke on="f" joinstyle="miter"/>
            <v:imagedata r:id="rId143" o:title=""/>
            <o:lock v:ext="edit" aspectratio="t"/>
            <w10:wrap type="none"/>
            <w10:anchorlock/>
          </v:shape>
          <o:OLEObject Type="Embed" ProgID="Equation.3" ShapeID="_x0000_i1092" DrawAspect="Content" ObjectID="_1468075792" r:id="rId142">
            <o:LockedField>false</o:LockedField>
          </o:OLEObject>
        </w:object>
      </w:r>
      <w:r>
        <w:rPr>
          <w:bCs/>
          <w:color w:val="auto"/>
        </w:rPr>
        <w:t>）应符合下式嵌固稳定性的要求（图5.2.13）：</w:t>
      </w:r>
    </w:p>
    <w:p w14:paraId="01D666F7">
      <w:pPr>
        <w:ind w:firstLine="0"/>
        <w:jc w:val="right"/>
        <w:rPr>
          <w:color w:val="auto"/>
          <w:position w:val="-30"/>
        </w:rPr>
      </w:pPr>
      <w:r>
        <w:rPr>
          <w:color w:val="auto"/>
          <w:position w:val="-30"/>
        </w:rPr>
        <w:object>
          <v:shape id="_x0000_i1093" o:spt="75" type="#_x0000_t75" style="height:38pt;width:61.5pt;" o:ole="t" filled="f" o:preferrelative="t" stroked="f" coordsize="21600,21600">
            <v:path/>
            <v:fill on="f" focussize="0,0"/>
            <v:stroke on="f" joinstyle="miter"/>
            <v:imagedata r:id="rId145" o:title=""/>
            <o:lock v:ext="edit" aspectratio="f"/>
            <w10:wrap type="none"/>
            <w10:anchorlock/>
          </v:shape>
          <o:OLEObject Type="Embed" ProgID="Equation.DSMT4" ShapeID="_x0000_i1093" DrawAspect="Content" ObjectID="_1468075793" r:id="rId144">
            <o:LockedField>false</o:LockedField>
          </o:OLEObject>
        </w:object>
      </w:r>
      <w:r>
        <w:rPr>
          <w:color w:val="auto"/>
          <w:position w:val="-30"/>
        </w:rPr>
        <w:t xml:space="preserve">                     （5.2.13）</w:t>
      </w:r>
    </w:p>
    <w:p w14:paraId="0282C4A3">
      <w:pPr>
        <w:ind w:left="1538" w:hanging="1538" w:hangingChars="641"/>
        <w:rPr>
          <w:color w:val="auto"/>
        </w:rPr>
      </w:pPr>
      <w:r>
        <w:rPr>
          <w:color w:val="auto"/>
        </w:rPr>
        <w:t>式中：</w:t>
      </w:r>
      <w:r>
        <w:rPr>
          <w:color w:val="auto"/>
          <w:position w:val="-12"/>
        </w:rPr>
        <w:object>
          <v:shape id="_x0000_i1094" o:spt="75" type="#_x0000_t75" style="height:18pt;width:17.5pt;" o:ole="t" filled="f" o:preferrelative="t" stroked="f" coordsize="21600,21600">
            <v:path/>
            <v:fill on="f" focussize="0,0"/>
            <v:stroke on="f" joinstyle="miter"/>
            <v:imagedata r:id="rId147" o:title=""/>
            <o:lock v:ext="edit" aspectratio="t"/>
            <w10:wrap type="none"/>
            <w10:anchorlock/>
          </v:shape>
          <o:OLEObject Type="Embed" ProgID="Equation.3" ShapeID="_x0000_i1094" DrawAspect="Content" ObjectID="_1468075794" r:id="rId146">
            <o:LockedField>false</o:LockedField>
          </o:OLEObject>
        </w:object>
      </w:r>
      <w:r>
        <w:rPr>
          <w:color w:val="auto"/>
        </w:rPr>
        <w:t>——嵌固稳定安全系数；安全等级为一级、二级、三级的悬臂式支挡结构，</w:t>
      </w:r>
      <w:r>
        <w:rPr>
          <w:color w:val="auto"/>
          <w:position w:val="-12"/>
        </w:rPr>
        <w:object>
          <v:shape id="_x0000_i1095" o:spt="75" type="#_x0000_t75" style="height:18pt;width:17.5pt;" o:ole="t" filled="f" o:preferrelative="t" stroked="f" coordsize="21600,21600">
            <v:path/>
            <v:fill on="f" focussize="0,0"/>
            <v:stroke on="f" joinstyle="miter"/>
            <v:imagedata r:id="rId147" o:title=""/>
            <o:lock v:ext="edit" aspectratio="t"/>
            <w10:wrap type="none"/>
            <w10:anchorlock/>
          </v:shape>
          <o:OLEObject Type="Embed" ProgID="Equation.3" ShapeID="_x0000_i1095" DrawAspect="Content" ObjectID="_1468075795" r:id="rId148">
            <o:LockedField>false</o:LockedField>
          </o:OLEObject>
        </w:object>
      </w:r>
      <w:r>
        <w:rPr>
          <w:color w:val="auto"/>
        </w:rPr>
        <w:t>分别不应小于1.25、1.2、1.15；</w:t>
      </w:r>
    </w:p>
    <w:p w14:paraId="49C0E713">
      <w:pPr>
        <w:ind w:left="2136" w:leftChars="307" w:hanging="1399" w:hangingChars="583"/>
        <w:rPr>
          <w:color w:val="auto"/>
        </w:rPr>
      </w:pPr>
      <w:r>
        <w:rPr>
          <w:color w:val="auto"/>
          <w:position w:val="-14"/>
        </w:rPr>
        <w:object>
          <v:shape id="_x0000_i1096" o:spt="75" type="#_x0000_t75" style="height:19.5pt;width:47pt;" o:ole="t" filled="f" o:preferrelative="t" stroked="f" coordsize="21600,21600">
            <v:path/>
            <v:fill on="f" focussize="0,0"/>
            <v:stroke on="f" joinstyle="miter"/>
            <v:imagedata r:id="rId150" o:title=""/>
            <o:lock v:ext="edit" aspectratio="t"/>
            <w10:wrap type="none"/>
            <w10:anchorlock/>
          </v:shape>
          <o:OLEObject Type="Embed" ProgID="Equation.3" ShapeID="_x0000_i1096" DrawAspect="Content" ObjectID="_1468075796" r:id="rId149">
            <o:LockedField>false</o:LockedField>
          </o:OLEObject>
        </w:object>
      </w:r>
      <w:r>
        <w:rPr>
          <w:color w:val="auto"/>
        </w:rPr>
        <w:t>——分别为明挖段外侧主动土压力、明挖段内侧被动土压力标准值（kN）；</w:t>
      </w:r>
    </w:p>
    <w:p w14:paraId="4B3BAEF5">
      <w:pPr>
        <w:ind w:left="2078" w:leftChars="325" w:hanging="1298" w:hangingChars="541"/>
        <w:rPr>
          <w:color w:val="auto"/>
        </w:rPr>
      </w:pPr>
      <w:r>
        <w:rPr>
          <w:color w:val="auto"/>
          <w:position w:val="-14"/>
        </w:rPr>
        <w:object>
          <v:shape id="_x0000_i1097" o:spt="75" type="#_x0000_t75" style="height:20.5pt;width:39pt;" o:ole="t" filled="f" o:preferrelative="t" stroked="f" coordsize="21600,21600">
            <v:path/>
            <v:fill on="f" focussize="0,0"/>
            <v:stroke on="f" joinstyle="miter"/>
            <v:imagedata r:id="rId152" o:title=""/>
            <o:lock v:ext="edit" aspectratio="t"/>
            <w10:wrap type="none"/>
            <w10:anchorlock/>
          </v:shape>
          <o:OLEObject Type="Embed" ProgID="Equation.DSMT4" ShapeID="_x0000_i1097" DrawAspect="Content" ObjectID="_1468075797" r:id="rId151">
            <o:LockedField>false</o:LockedField>
          </o:OLEObject>
        </w:object>
      </w:r>
      <w:r>
        <w:rPr>
          <w:color w:val="auto"/>
        </w:rPr>
        <w:t>——分别为明挖段外侧主动土压力、明挖段内侧被动土压力合力作用点至挡土构件底端的距离（m）。</w:t>
      </w:r>
    </w:p>
    <w:p w14:paraId="7BF11EA2">
      <w:pPr>
        <w:ind w:firstLine="0"/>
        <w:jc w:val="center"/>
        <w:rPr>
          <w:color w:val="auto"/>
        </w:rPr>
      </w:pPr>
      <w:r>
        <w:rPr>
          <w:color w:val="auto"/>
        </w:rPr>
        <w:object>
          <v:shape id="_x0000_i1098" o:spt="75" type="#_x0000_t75" style="height:148pt;width:204pt;" o:ole="t" filled="f" o:preferrelative="t" stroked="f" coordsize="21600,21600">
            <v:path/>
            <v:fill on="f" focussize="0,0"/>
            <v:stroke on="f" joinstyle="miter"/>
            <v:imagedata r:id="rId154" cropleft="30156f" croptop="13108f" cropright="19101f" cropbottom="17662f" o:title=""/>
            <o:lock v:ext="edit" aspectratio="f"/>
            <w10:wrap type="none"/>
            <w10:anchorlock/>
          </v:shape>
          <o:OLEObject Type="Embed" ProgID="AutoCAD.Drawing.20" ShapeID="_x0000_i1098" DrawAspect="Content" ObjectID="_1468075798" r:id="rId153">
            <o:LockedField>false</o:LockedField>
          </o:OLEObject>
        </w:object>
      </w:r>
    </w:p>
    <w:p w14:paraId="345C2216">
      <w:pPr>
        <w:ind w:firstLine="0"/>
        <w:jc w:val="center"/>
        <w:rPr>
          <w:b/>
          <w:bCs/>
          <w:color w:val="auto"/>
          <w:sz w:val="21"/>
          <w:szCs w:val="21"/>
        </w:rPr>
      </w:pPr>
      <w:r>
        <w:rPr>
          <w:b/>
          <w:bCs/>
          <w:color w:val="auto"/>
          <w:sz w:val="21"/>
          <w:szCs w:val="21"/>
        </w:rPr>
        <w:t>图5.2.13　悬臂式结构嵌固稳定性验算</w:t>
      </w:r>
    </w:p>
    <w:p w14:paraId="3D73057B">
      <w:pPr>
        <w:ind w:firstLine="0"/>
        <w:rPr>
          <w:bCs/>
          <w:color w:val="auto"/>
        </w:rPr>
      </w:pPr>
      <w:r>
        <w:rPr>
          <w:b/>
          <w:bCs/>
          <w:color w:val="auto"/>
        </w:rPr>
        <w:t>5.2.14　</w:t>
      </w:r>
      <w:r>
        <w:rPr>
          <w:bCs/>
          <w:color w:val="auto"/>
        </w:rPr>
        <w:t>单层锚杆和单层支撑的支挡式结构的嵌固深度（</w:t>
      </w:r>
      <w:r>
        <w:rPr>
          <w:bCs/>
          <w:color w:val="auto"/>
        </w:rPr>
        <w:object>
          <v:shape id="_x0000_i1099" o:spt="75" type="#_x0000_t75" style="height:18pt;width:12pt;" o:ole="t" filled="f" o:preferrelative="t" stroked="f" coordsize="21600,21600">
            <v:path/>
            <v:fill on="f" focussize="0,0"/>
            <v:stroke on="f" joinstyle="miter"/>
            <v:imagedata r:id="rId143" o:title=""/>
            <o:lock v:ext="edit" aspectratio="t"/>
            <w10:wrap type="none"/>
            <w10:anchorlock/>
          </v:shape>
          <o:OLEObject Type="Embed" ProgID="Equation.3" ShapeID="_x0000_i1099" DrawAspect="Content" ObjectID="_1468075799" r:id="rId155">
            <o:LockedField>false</o:LockedField>
          </o:OLEObject>
        </w:object>
      </w:r>
      <w:r>
        <w:rPr>
          <w:bCs/>
          <w:color w:val="auto"/>
        </w:rPr>
        <w:t>）应满足下式要求（图5.2.14）：</w:t>
      </w:r>
    </w:p>
    <w:p w14:paraId="02193F5A">
      <w:pPr>
        <w:jc w:val="right"/>
        <w:rPr>
          <w:color w:val="auto"/>
        </w:rPr>
      </w:pPr>
      <w:r>
        <w:rPr>
          <w:color w:val="auto"/>
        </w:rPr>
        <w:t xml:space="preserve"> </w:t>
      </w:r>
      <w:r>
        <w:rPr>
          <w:color w:val="auto"/>
        </w:rPr>
        <w:object>
          <v:shape id="_x0000_i1100" o:spt="75" type="#_x0000_t75" style="height:38pt;width:63.5pt;" o:ole="t" filled="f" o:preferrelative="t" stroked="f" coordsize="21600,21600">
            <v:path/>
            <v:fill on="f" focussize="0,0"/>
            <v:stroke on="f" joinstyle="miter"/>
            <v:imagedata r:id="rId157" o:title=""/>
            <o:lock v:ext="edit" aspectratio="t"/>
            <w10:wrap type="none"/>
            <w10:anchorlock/>
          </v:shape>
          <o:OLEObject Type="Embed" ProgID="Equation.DSMT4" ShapeID="_x0000_i1100" DrawAspect="Content" ObjectID="_1468075800" r:id="rId156">
            <o:LockedField>false</o:LockedField>
          </o:OLEObject>
        </w:object>
      </w:r>
      <w:r>
        <w:rPr>
          <w:color w:val="auto"/>
        </w:rPr>
        <w:t xml:space="preserve">                   （5.2.14）</w:t>
      </w:r>
    </w:p>
    <w:p w14:paraId="298E1073">
      <w:pPr>
        <w:ind w:left="1560" w:hanging="1560" w:hangingChars="650"/>
        <w:rPr>
          <w:color w:val="auto"/>
        </w:rPr>
      </w:pPr>
      <w:r>
        <w:rPr>
          <w:color w:val="auto"/>
        </w:rPr>
        <w:t>式中：</w:t>
      </w:r>
      <w:r>
        <w:rPr>
          <w:color w:val="auto"/>
          <w:position w:val="-12"/>
        </w:rPr>
        <w:object>
          <v:shape id="_x0000_i1101" o:spt="75" type="#_x0000_t75" style="height:18pt;width:17.5pt;" o:ole="t" filled="f" o:preferrelative="t" stroked="f" coordsize="21600,21600">
            <v:path/>
            <v:fill on="f" focussize="0,0"/>
            <v:stroke on="f" joinstyle="miter"/>
            <v:imagedata r:id="rId159" o:title=""/>
            <o:lock v:ext="edit" aspectratio="t"/>
            <w10:wrap type="none"/>
            <w10:anchorlock/>
          </v:shape>
          <o:OLEObject Type="Embed" ProgID="Equation.3" ShapeID="_x0000_i1101" DrawAspect="Content" ObjectID="_1468075801" r:id="rId158">
            <o:LockedField>false</o:LockedField>
          </o:OLEObject>
        </w:object>
      </w:r>
      <w:r>
        <w:rPr>
          <w:color w:val="auto"/>
        </w:rPr>
        <w:t>——嵌固稳定安全系数；安全等级为一级、二级、三级的锚拉式支挡结构和支撑式支挡结构，</w:t>
      </w:r>
      <w:r>
        <w:rPr>
          <w:color w:val="auto"/>
          <w:position w:val="-12"/>
        </w:rPr>
        <w:object>
          <v:shape id="_x0000_i1102" o:spt="75" type="#_x0000_t75" style="height:18pt;width:17.5pt;" o:ole="t" filled="f" o:preferrelative="t" stroked="f" coordsize="21600,21600">
            <v:path/>
            <v:fill on="f" focussize="0,0"/>
            <v:stroke on="f" joinstyle="miter"/>
            <v:imagedata r:id="rId161" o:title=""/>
            <o:lock v:ext="edit" aspectratio="t"/>
            <w10:wrap type="none"/>
            <w10:anchorlock/>
          </v:shape>
          <o:OLEObject Type="Embed" ProgID="Equation.3" ShapeID="_x0000_i1102" DrawAspect="Content" ObjectID="_1468075802" r:id="rId160">
            <o:LockedField>false</o:LockedField>
          </o:OLEObject>
        </w:object>
      </w:r>
      <w:r>
        <w:rPr>
          <w:color w:val="auto"/>
        </w:rPr>
        <w:t>分别不应小于1.25、1.20、1.15；</w:t>
      </w:r>
    </w:p>
    <w:p w14:paraId="5052202D">
      <w:pPr>
        <w:ind w:left="2049" w:leftChars="315" w:hanging="1293" w:hangingChars="539"/>
        <w:rPr>
          <w:color w:val="auto"/>
        </w:rPr>
      </w:pPr>
      <w:r>
        <w:rPr>
          <w:color w:val="auto"/>
          <w:position w:val="-14"/>
        </w:rPr>
        <w:object>
          <v:shape id="_x0000_i1103" o:spt="75" type="#_x0000_t75" style="height:20.5pt;width:40.5pt;" o:ole="t" filled="f" o:preferrelative="t" stroked="f" coordsize="21600,21600">
            <v:path/>
            <v:fill on="f" focussize="0,0"/>
            <v:stroke on="f" joinstyle="miter"/>
            <v:imagedata r:id="rId163" o:title=""/>
            <o:lock v:ext="edit" aspectratio="t"/>
            <w10:wrap type="none"/>
            <w10:anchorlock/>
          </v:shape>
          <o:OLEObject Type="Embed" ProgID="Equation.DSMT4" ShapeID="_x0000_i1103" DrawAspect="Content" ObjectID="_1468075803" r:id="rId162">
            <o:LockedField>false</o:LockedField>
          </o:OLEObject>
        </w:object>
      </w:r>
      <w:r>
        <w:rPr>
          <w:color w:val="auto"/>
        </w:rPr>
        <w:t>——明挖段外侧主动土压力、明挖段内侧被动土压力合力作用点至支点的距离（m）。</w:t>
      </w:r>
    </w:p>
    <w:p w14:paraId="28A5C654">
      <w:pPr>
        <w:ind w:firstLine="0"/>
        <w:jc w:val="center"/>
        <w:rPr>
          <w:color w:val="auto"/>
        </w:rPr>
      </w:pPr>
      <w:r>
        <w:rPr>
          <w:color w:val="auto"/>
        </w:rPr>
        <w:object>
          <v:shape id="_x0000_i1104" o:spt="75" type="#_x0000_t75" style="height:161.5pt;width:218.5pt;" o:ole="t" filled="f" o:preferrelative="t" stroked="f" coordsize="21600,21600">
            <v:path/>
            <v:fill on="f" focussize="0,0"/>
            <v:stroke on="f" joinstyle="miter"/>
            <v:imagedata r:id="rId165" cropleft="26495f" croptop="4552f" cropright="21390f" cropbottom="26967f" o:title=""/>
            <o:lock v:ext="edit" aspectratio="f"/>
            <w10:wrap type="none"/>
            <w10:anchorlock/>
          </v:shape>
          <o:OLEObject Type="Embed" ProgID="AutoCAD.Drawing.20" ShapeID="_x0000_i1104" DrawAspect="Content" ObjectID="_1468075804" r:id="rId164">
            <o:LockedField>false</o:LockedField>
          </o:OLEObject>
        </w:object>
      </w:r>
    </w:p>
    <w:p w14:paraId="45E058C6">
      <w:pPr>
        <w:ind w:firstLine="0"/>
        <w:jc w:val="center"/>
        <w:rPr>
          <w:b/>
          <w:bCs/>
          <w:color w:val="auto"/>
          <w:sz w:val="21"/>
          <w:szCs w:val="21"/>
        </w:rPr>
      </w:pPr>
      <w:r>
        <w:rPr>
          <w:b/>
          <w:bCs/>
          <w:color w:val="auto"/>
          <w:sz w:val="21"/>
          <w:szCs w:val="21"/>
        </w:rPr>
        <w:t>图5.2.14　单支点锚拉式支挡结构和支撑式支挡结构的嵌固稳定性验算</w:t>
      </w:r>
    </w:p>
    <w:p w14:paraId="60A0C506">
      <w:pPr>
        <w:ind w:firstLine="0"/>
        <w:jc w:val="left"/>
        <w:rPr>
          <w:bCs/>
          <w:color w:val="auto"/>
        </w:rPr>
      </w:pPr>
      <w:r>
        <w:rPr>
          <w:b/>
          <w:bCs/>
          <w:color w:val="auto"/>
        </w:rPr>
        <w:t>5.2.15　</w:t>
      </w:r>
      <w:r>
        <w:rPr>
          <w:bCs/>
          <w:color w:val="auto"/>
        </w:rPr>
        <w:t>重力式水泥土墙的滑移稳定性应符合下式规定（图5.2.15）：</w:t>
      </w:r>
    </w:p>
    <w:p w14:paraId="1D7B8233">
      <w:pPr>
        <w:ind w:firstLine="0"/>
        <w:jc w:val="right"/>
        <w:rPr>
          <w:bCs/>
          <w:color w:val="auto"/>
        </w:rPr>
      </w:pPr>
      <w:r>
        <w:rPr>
          <w:position w:val="-22"/>
        </w:rPr>
        <w:object>
          <v:shape id="_x0000_i1105" o:spt="75" type="#_x0000_t75" style="height:30.5pt;width:142pt;" o:ole="t" filled="f" o:preferrelative="t" stroked="f" coordsize="21600,21600">
            <v:path/>
            <v:fill on="f" focussize="0,0"/>
            <v:stroke on="f" joinstyle="miter"/>
            <v:imagedata r:id="rId167" o:title=""/>
            <o:lock v:ext="edit" aspectratio="t"/>
            <w10:wrap type="none"/>
            <w10:anchorlock/>
          </v:shape>
          <o:OLEObject Type="Embed" ProgID="Equation.DSMT4" ShapeID="_x0000_i1105" DrawAspect="Content" ObjectID="_1468075805" r:id="rId166">
            <o:LockedField>false</o:LockedField>
          </o:OLEObject>
        </w:object>
      </w:r>
      <w:r>
        <w:rPr>
          <w:position w:val="-26"/>
        </w:rPr>
        <w:t xml:space="preserve">                     （</w:t>
      </w:r>
      <w:r>
        <w:rPr>
          <w:color w:val="auto"/>
        </w:rPr>
        <w:t>5.2.15</w:t>
      </w:r>
      <w:r>
        <w:rPr>
          <w:bCs/>
          <w:color w:val="auto"/>
        </w:rPr>
        <w:t>）</w:t>
      </w:r>
    </w:p>
    <w:p w14:paraId="40A9A87D">
      <w:pPr>
        <w:ind w:firstLine="0"/>
        <w:jc w:val="left"/>
        <w:rPr>
          <w:bCs/>
          <w:color w:val="auto"/>
        </w:rPr>
      </w:pPr>
      <w:r>
        <w:rPr>
          <w:bCs/>
          <w:color w:val="auto"/>
        </w:rPr>
        <w:t>式中：</w:t>
      </w:r>
      <w:r>
        <w:rPr>
          <w:position w:val="-6"/>
        </w:rPr>
        <w:object>
          <v:shape id="_x0000_i1106" o:spt="75" type="#_x0000_t75" style="height:13pt;width:16pt;" o:ole="t" filled="f" o:preferrelative="t" stroked="f" coordsize="21600,21600">
            <v:path/>
            <v:fill on="f" focussize="0,0"/>
            <v:stroke on="f" joinstyle="miter"/>
            <v:imagedata r:id="rId169" o:title=""/>
            <o:lock v:ext="edit" aspectratio="t"/>
            <w10:wrap type="none"/>
            <w10:anchorlock/>
          </v:shape>
          <o:OLEObject Type="Embed" ProgID="Equation.DSMT4" ShapeID="_x0000_i1106" DrawAspect="Content" ObjectID="_1468075806" r:id="rId168">
            <o:LockedField>false</o:LockedField>
          </o:OLEObject>
        </w:object>
      </w:r>
      <w:r>
        <w:rPr>
          <w:color w:val="auto"/>
        </w:rPr>
        <w:t>——</w:t>
      </w:r>
      <w:r>
        <w:rPr>
          <w:bCs/>
          <w:color w:val="auto"/>
        </w:rPr>
        <w:t>抗滑移安全系数，其值不应小于1.2；</w:t>
      </w:r>
    </w:p>
    <w:p w14:paraId="723F8E40">
      <w:pPr>
        <w:ind w:firstLine="141" w:firstLineChars="59"/>
        <w:rPr>
          <w:bCs/>
          <w:color w:val="auto"/>
        </w:rPr>
      </w:pPr>
      <w:r>
        <w:rPr>
          <w:position w:val="-6"/>
        </w:rPr>
        <w:object>
          <v:shape id="_x0000_i1107" o:spt="75" type="#_x0000_t75" style="height:13pt;width:17pt;" o:ole="t" filled="f" o:preferrelative="t" stroked="f" coordsize="21600,21600">
            <v:path/>
            <v:fill on="f" focussize="0,0"/>
            <v:stroke on="f" joinstyle="miter"/>
            <v:imagedata r:id="rId171" o:title=""/>
            <o:lock v:ext="edit" aspectratio="t"/>
            <w10:wrap type="none"/>
            <w10:anchorlock/>
          </v:shape>
          <o:OLEObject Type="Embed" ProgID="Equation.DSMT4" ShapeID="_x0000_i1107" DrawAspect="Content" ObjectID="_1468075807" r:id="rId170">
            <o:LockedField>false</o:LockedField>
          </o:OLEObject>
        </w:object>
      </w:r>
      <w:r>
        <w:rPr>
          <w:bCs/>
          <w:color w:val="auto"/>
        </w:rPr>
        <w:t>、</w:t>
      </w:r>
      <w:r>
        <w:rPr>
          <w:position w:val="-8"/>
        </w:rPr>
        <w:object>
          <v:shape id="_x0000_i1108" o:spt="75" type="#_x0000_t75" style="height:14pt;width:18pt;" o:ole="t" filled="f" o:preferrelative="t" stroked="f" coordsize="21600,21600">
            <v:path/>
            <v:fill on="f" focussize="0,0"/>
            <v:stroke on="f" joinstyle="miter"/>
            <v:imagedata r:id="rId173" o:title=""/>
            <o:lock v:ext="edit" aspectratio="t"/>
            <w10:wrap type="none"/>
            <w10:anchorlock/>
          </v:shape>
          <o:OLEObject Type="Embed" ProgID="Equation.DSMT4" ShapeID="_x0000_i1108" DrawAspect="Content" ObjectID="_1468075808" r:id="rId172">
            <o:LockedField>false</o:LockedField>
          </o:OLEObject>
        </w:object>
      </w:r>
      <w:r>
        <w:rPr>
          <w:color w:val="auto"/>
        </w:rPr>
        <w:t>——</w:t>
      </w:r>
      <w:r>
        <w:rPr>
          <w:bCs/>
          <w:color w:val="auto"/>
        </w:rPr>
        <w:t>分别为水泥土墙上的主动土压力、被动土压力标准值（kN/m）；</w:t>
      </w:r>
    </w:p>
    <w:p w14:paraId="27B7AE54">
      <w:pPr>
        <w:ind w:firstLine="720" w:firstLineChars="300"/>
        <w:rPr>
          <w:bCs/>
          <w:color w:val="auto"/>
        </w:rPr>
      </w:pPr>
      <w:r>
        <w:rPr>
          <w:position w:val="-6"/>
        </w:rPr>
        <w:object>
          <v:shape id="_x0000_i1109" o:spt="75" type="#_x0000_t75" style="height:13pt;width:12pt;" o:ole="t" filled="f" o:preferrelative="t" stroked="f" coordsize="21600,21600">
            <v:path/>
            <v:fill on="f" focussize="0,0"/>
            <v:stroke on="f" joinstyle="miter"/>
            <v:imagedata r:id="rId175" o:title=""/>
            <o:lock v:ext="edit" aspectratio="t"/>
            <w10:wrap type="none"/>
            <w10:anchorlock/>
          </v:shape>
          <o:OLEObject Type="Embed" ProgID="Equation.DSMT4" ShapeID="_x0000_i1109" DrawAspect="Content" ObjectID="_1468075809" r:id="rId174">
            <o:LockedField>false</o:LockedField>
          </o:OLEObject>
        </w:object>
      </w:r>
      <w:r>
        <w:rPr>
          <w:color w:val="auto"/>
        </w:rPr>
        <w:t>——</w:t>
      </w:r>
      <w:r>
        <w:rPr>
          <w:bCs/>
          <w:color w:val="auto"/>
        </w:rPr>
        <w:t>水泥土墙的自重（kN/m）；</w:t>
      </w:r>
    </w:p>
    <w:p w14:paraId="295EDDFD">
      <w:pPr>
        <w:ind w:left="1462" w:leftChars="309" w:hanging="720" w:hangingChars="300"/>
        <w:jc w:val="left"/>
        <w:rPr>
          <w:bCs/>
          <w:color w:val="auto"/>
        </w:rPr>
      </w:pPr>
      <w:r>
        <w:rPr>
          <w:position w:val="-6"/>
        </w:rPr>
        <w:object>
          <v:shape id="_x0000_i1110" o:spt="75" type="#_x0000_t75" style="height:10pt;width:14pt;" o:ole="t" filled="f" o:preferrelative="t" stroked="f" coordsize="21600,21600">
            <v:path/>
            <v:fill on="f" focussize="0,0"/>
            <v:stroke on="f" joinstyle="miter"/>
            <v:imagedata r:id="rId177" o:title=""/>
            <o:lock v:ext="edit" aspectratio="t"/>
            <w10:wrap type="none"/>
            <w10:anchorlock/>
          </v:shape>
          <o:OLEObject Type="Embed" ProgID="Equation.DSMT4" ShapeID="_x0000_i1110" DrawAspect="Content" ObjectID="_1468075810" r:id="rId176">
            <o:LockedField>false</o:LockedField>
          </o:OLEObject>
        </w:object>
      </w:r>
      <w:r>
        <w:rPr>
          <w:color w:val="auto"/>
        </w:rPr>
        <w:t>——</w:t>
      </w:r>
      <w:r>
        <w:rPr>
          <w:bCs/>
          <w:color w:val="auto"/>
        </w:rPr>
        <w:t>水泥土墙底面上的水压力（kPa）；水泥土墙底位于含水层时，可取</w:t>
      </w:r>
      <w:r>
        <w:rPr>
          <w:position w:val="-10"/>
        </w:rPr>
        <w:object>
          <v:shape id="_x0000_i1111" o:spt="75" type="#_x0000_t75" style="height:16pt;width:91pt;" o:ole="t" filled="f" o:preferrelative="t" stroked="f" coordsize="21600,21600">
            <v:path/>
            <v:fill on="f" focussize="0,0"/>
            <v:stroke on="f" joinstyle="miter"/>
            <v:imagedata r:id="rId179" o:title=""/>
            <o:lock v:ext="edit" aspectratio="t"/>
            <w10:wrap type="none"/>
            <w10:anchorlock/>
          </v:shape>
          <o:OLEObject Type="Embed" ProgID="Equation.DSMT4" ShapeID="_x0000_i1111" DrawAspect="Content" ObjectID="_1468075811" r:id="rId178">
            <o:LockedField>false</o:LockedField>
          </o:OLEObject>
        </w:object>
      </w:r>
      <w:r>
        <w:rPr>
          <w:bCs/>
          <w:color w:val="auto"/>
        </w:rPr>
        <w:t>，在地下水位以上时，取</w:t>
      </w:r>
      <w:r>
        <w:rPr>
          <w:position w:val="-6"/>
        </w:rPr>
        <w:object>
          <v:shape id="_x0000_i1112" o:spt="75" type="#_x0000_t75" style="height:10pt;width:14pt;" o:ole="t" filled="f" o:preferrelative="t" stroked="f" coordsize="21600,21600">
            <v:path/>
            <v:fill on="f" focussize="0,0"/>
            <v:stroke on="f" joinstyle="miter"/>
            <v:imagedata r:id="rId177" o:title=""/>
            <o:lock v:ext="edit" aspectratio="t"/>
            <w10:wrap type="none"/>
            <w10:anchorlock/>
          </v:shape>
          <o:OLEObject Type="Embed" ProgID="Equation.DSMT4" ShapeID="_x0000_i1112" DrawAspect="Content" ObjectID="_1468075812" r:id="rId180">
            <o:LockedField>false</o:LockedField>
          </o:OLEObject>
        </w:object>
      </w:r>
      <w:r>
        <w:rPr>
          <w:bCs/>
          <w:color w:val="auto"/>
        </w:rPr>
        <w:t>=0；</w:t>
      </w:r>
    </w:p>
    <w:p w14:paraId="14CAADA0">
      <w:pPr>
        <w:ind w:firstLine="424" w:firstLineChars="177"/>
        <w:jc w:val="left"/>
        <w:rPr>
          <w:bCs/>
          <w:color w:val="auto"/>
        </w:rPr>
      </w:pPr>
      <w:r>
        <w:rPr>
          <w:bCs/>
          <w:color w:val="auto"/>
          <w:position w:val="-10"/>
        </w:rPr>
        <w:object>
          <v:shape id="_x0000_i1113" o:spt="75" type="#_x0000_t75" style="height:13pt;width:29pt;" o:ole="t" filled="f" o:preferrelative="t" stroked="f" coordsize="21600,21600">
            <v:path/>
            <v:fill on="f" focussize="0,0"/>
            <v:stroke on="f" joinstyle="miter"/>
            <v:imagedata r:id="rId182" o:title=""/>
            <o:lock v:ext="edit" aspectratio="t"/>
            <w10:wrap type="none"/>
            <w10:anchorlock/>
          </v:shape>
          <o:OLEObject Type="Embed" ProgID="Equation.3" ShapeID="_x0000_i1113" DrawAspect="Content" ObjectID="_1468075813" r:id="rId181">
            <o:LockedField>false</o:LockedField>
          </o:OLEObject>
        </w:object>
      </w:r>
      <w:r>
        <w:rPr>
          <w:color w:val="auto"/>
        </w:rPr>
        <w:t>——</w:t>
      </w:r>
      <w:r>
        <w:rPr>
          <w:bCs/>
          <w:color w:val="auto"/>
        </w:rPr>
        <w:t>分别为水泥土墙底面下土层的黏聚力（kPa）、内摩擦角（°）；</w:t>
      </w:r>
    </w:p>
    <w:p w14:paraId="5D4BB588">
      <w:pPr>
        <w:ind w:firstLine="720" w:firstLineChars="300"/>
        <w:jc w:val="left"/>
        <w:rPr>
          <w:bCs/>
          <w:color w:val="auto"/>
        </w:rPr>
      </w:pPr>
      <w:r>
        <w:rPr>
          <w:position w:val="-4"/>
        </w:rPr>
        <w:object>
          <v:shape id="_x0000_i1114" o:spt="75" type="#_x0000_t75" style="height:12pt;width:11pt;" o:ole="t" filled="f" o:preferrelative="t" stroked="f" coordsize="21600,21600">
            <v:path/>
            <v:fill on="f" focussize="0,0"/>
            <v:stroke on="f" joinstyle="miter"/>
            <v:imagedata r:id="rId184" o:title=""/>
            <o:lock v:ext="edit" aspectratio="t"/>
            <w10:wrap type="none"/>
            <w10:anchorlock/>
          </v:shape>
          <o:OLEObject Type="Embed" ProgID="Equation.DSMT4" ShapeID="_x0000_i1114" DrawAspect="Content" ObjectID="_1468075814" r:id="rId183">
            <o:LockedField>false</o:LockedField>
          </o:OLEObject>
        </w:object>
      </w:r>
      <w:r>
        <w:rPr>
          <w:color w:val="auto"/>
        </w:rPr>
        <w:t>——</w:t>
      </w:r>
      <w:r>
        <w:rPr>
          <w:bCs/>
          <w:color w:val="auto"/>
        </w:rPr>
        <w:t>水泥土墙的底面宽度（m）；</w:t>
      </w:r>
    </w:p>
    <w:p w14:paraId="337BF7D4">
      <w:pPr>
        <w:ind w:firstLine="566" w:firstLineChars="236"/>
        <w:jc w:val="left"/>
        <w:rPr>
          <w:bCs/>
          <w:color w:val="auto"/>
        </w:rPr>
      </w:pPr>
      <w:r>
        <w:rPr>
          <w:position w:val="-6"/>
        </w:rPr>
        <w:object>
          <v:shape id="_x0000_i1115" o:spt="75" type="#_x0000_t75" style="height:13pt;width:23pt;" o:ole="t" filled="f" o:preferrelative="t" stroked="f" coordsize="21600,21600">
            <v:path/>
            <v:fill on="f" focussize="0,0"/>
            <v:stroke on="f" joinstyle="miter"/>
            <v:imagedata r:id="rId186" o:title=""/>
            <o:lock v:ext="edit" aspectratio="t"/>
            <w10:wrap type="none"/>
            <w10:anchorlock/>
          </v:shape>
          <o:OLEObject Type="Embed" ProgID="Equation.DSMT4" ShapeID="_x0000_i1115" DrawAspect="Content" ObjectID="_1468075815" r:id="rId185">
            <o:LockedField>false</o:LockedField>
          </o:OLEObject>
        </w:object>
      </w:r>
      <w:r>
        <w:rPr>
          <w:color w:val="auto"/>
        </w:rPr>
        <w:t>——</w:t>
      </w:r>
      <w:r>
        <w:rPr>
          <w:bCs/>
          <w:color w:val="auto"/>
        </w:rPr>
        <w:t>基坑外侧水泥土墙底处的压力水头（m）；</w:t>
      </w:r>
    </w:p>
    <w:p w14:paraId="6506FEC5">
      <w:pPr>
        <w:ind w:firstLine="566" w:firstLineChars="236"/>
        <w:jc w:val="left"/>
        <w:rPr>
          <w:bCs/>
          <w:color w:val="auto"/>
        </w:rPr>
      </w:pPr>
      <w:r>
        <w:rPr>
          <w:position w:val="-10"/>
        </w:rPr>
        <w:object>
          <v:shape id="_x0000_i1116" o:spt="75" type="#_x0000_t75" style="height:15pt;width:23pt;" o:ole="t" filled="f" o:preferrelative="t" stroked="f" coordsize="21600,21600">
            <v:path/>
            <v:fill on="f" focussize="0,0"/>
            <v:stroke on="f" joinstyle="miter"/>
            <v:imagedata r:id="rId188" o:title=""/>
            <o:lock v:ext="edit" aspectratio="t"/>
            <w10:wrap type="none"/>
            <w10:anchorlock/>
          </v:shape>
          <o:OLEObject Type="Embed" ProgID="Equation.DSMT4" ShapeID="_x0000_i1116" DrawAspect="Content" ObjectID="_1468075816" r:id="rId187">
            <o:LockedField>false</o:LockedField>
          </o:OLEObject>
        </w:object>
      </w:r>
      <w:r>
        <w:rPr>
          <w:color w:val="auto"/>
        </w:rPr>
        <w:t>——</w:t>
      </w:r>
      <w:r>
        <w:rPr>
          <w:bCs/>
          <w:color w:val="auto"/>
        </w:rPr>
        <w:t>基坑内侧水泥土墙底处的压力水头（m）。</w:t>
      </w:r>
    </w:p>
    <w:p w14:paraId="1DBBA16D">
      <w:pPr>
        <w:ind w:firstLine="0"/>
        <w:jc w:val="left"/>
        <w:rPr>
          <w:bCs/>
          <w:color w:val="auto"/>
        </w:rPr>
      </w:pPr>
    </w:p>
    <w:p w14:paraId="0EA62888">
      <w:pPr>
        <w:ind w:firstLine="0"/>
        <w:jc w:val="center"/>
      </w:pPr>
      <w:r>
        <w:drawing>
          <wp:inline distT="0" distB="0" distL="114300" distR="114300">
            <wp:extent cx="2847340" cy="2543810"/>
            <wp:effectExtent l="0" t="0" r="10160" b="8890"/>
            <wp:docPr id="15"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0"/>
                    <pic:cNvPicPr>
                      <a:picLocks noChangeAspect="1"/>
                    </pic:cNvPicPr>
                  </pic:nvPicPr>
                  <pic:blipFill>
                    <a:blip r:embed="rId189"/>
                    <a:stretch>
                      <a:fillRect/>
                    </a:stretch>
                  </pic:blipFill>
                  <pic:spPr>
                    <a:xfrm>
                      <a:off x="0" y="0"/>
                      <a:ext cx="2847340" cy="2543810"/>
                    </a:xfrm>
                    <a:prstGeom prst="rect">
                      <a:avLst/>
                    </a:prstGeom>
                    <a:noFill/>
                    <a:ln>
                      <a:noFill/>
                    </a:ln>
                  </pic:spPr>
                </pic:pic>
              </a:graphicData>
            </a:graphic>
          </wp:inline>
        </w:drawing>
      </w:r>
    </w:p>
    <w:p w14:paraId="35F62661">
      <w:pPr>
        <w:ind w:firstLine="0"/>
        <w:jc w:val="center"/>
        <w:rPr>
          <w:b/>
          <w:bCs/>
          <w:color w:val="auto"/>
          <w:sz w:val="21"/>
          <w:szCs w:val="21"/>
        </w:rPr>
      </w:pPr>
      <w:r>
        <w:rPr>
          <w:b/>
          <w:bCs/>
          <w:color w:val="auto"/>
          <w:sz w:val="21"/>
          <w:szCs w:val="21"/>
        </w:rPr>
        <w:t>图5.2.15　重力式水泥土墙的滑移稳定性验算</w:t>
      </w:r>
    </w:p>
    <w:p w14:paraId="588C131C">
      <w:pPr>
        <w:ind w:firstLine="0"/>
        <w:jc w:val="left"/>
        <w:rPr>
          <w:bCs/>
          <w:color w:val="auto"/>
        </w:rPr>
      </w:pPr>
      <w:r>
        <w:rPr>
          <w:b/>
          <w:bCs/>
          <w:color w:val="auto"/>
        </w:rPr>
        <w:t>5.2.16　</w:t>
      </w:r>
      <w:r>
        <w:rPr>
          <w:bCs/>
          <w:color w:val="auto"/>
        </w:rPr>
        <w:t>重力式水泥土墙的倾覆稳定性应符合下式规定（图5.2.16）：</w:t>
      </w:r>
    </w:p>
    <w:p w14:paraId="08F924CA">
      <w:pPr>
        <w:ind w:firstLine="1920" w:firstLineChars="800"/>
        <w:jc w:val="right"/>
        <w:rPr>
          <w:bCs/>
          <w:color w:val="auto"/>
        </w:rPr>
      </w:pPr>
      <w:r>
        <w:rPr>
          <w:position w:val="-22"/>
        </w:rPr>
        <w:object>
          <v:shape id="_x0000_i1117" o:spt="75" type="#_x0000_t75" style="height:30.5pt;width:118pt;" o:ole="t" filled="f" o:preferrelative="t" stroked="f" coordsize="21600,21600">
            <v:path/>
            <v:fill on="f" focussize="0,0"/>
            <v:stroke on="f" joinstyle="miter"/>
            <v:imagedata r:id="rId191" o:title=""/>
            <o:lock v:ext="edit" aspectratio="t"/>
            <w10:wrap type="none"/>
            <w10:anchorlock/>
          </v:shape>
          <o:OLEObject Type="Embed" ProgID="Equation.DSMT4" ShapeID="_x0000_i1117" DrawAspect="Content" ObjectID="_1468075817" r:id="rId190">
            <o:LockedField>false</o:LockedField>
          </o:OLEObject>
        </w:object>
      </w:r>
      <w:r>
        <w:rPr>
          <w:position w:val="-26"/>
        </w:rPr>
        <w:t xml:space="preserve">                       （</w:t>
      </w:r>
      <w:r>
        <w:rPr>
          <w:color w:val="auto"/>
        </w:rPr>
        <w:t>5.2.16</w:t>
      </w:r>
      <w:r>
        <w:rPr>
          <w:bCs/>
          <w:color w:val="auto"/>
        </w:rPr>
        <w:t>）</w:t>
      </w:r>
    </w:p>
    <w:p w14:paraId="7309E08C">
      <w:pPr>
        <w:ind w:firstLine="0"/>
        <w:jc w:val="left"/>
        <w:rPr>
          <w:bCs/>
          <w:color w:val="auto"/>
        </w:rPr>
      </w:pPr>
      <w:r>
        <w:rPr>
          <w:bCs/>
          <w:color w:val="auto"/>
        </w:rPr>
        <w:t>式中：</w:t>
      </w:r>
      <w:r>
        <w:rPr>
          <w:position w:val="-6"/>
        </w:rPr>
        <w:object>
          <v:shape id="_x0000_i1118" o:spt="75" type="#_x0000_t75" style="height:13pt;width:18pt;" o:ole="t" filled="f" o:preferrelative="t" stroked="f" coordsize="21600,21600">
            <v:path/>
            <v:fill on="f" focussize="0,0"/>
            <v:stroke on="f" joinstyle="miter"/>
            <v:imagedata r:id="rId193" o:title=""/>
            <o:lock v:ext="edit" aspectratio="t"/>
            <w10:wrap type="none"/>
            <w10:anchorlock/>
          </v:shape>
          <o:OLEObject Type="Embed" ProgID="Equation.DSMT4" ShapeID="_x0000_i1118" DrawAspect="Content" ObjectID="_1468075818" r:id="rId192">
            <o:LockedField>false</o:LockedField>
          </o:OLEObject>
        </w:object>
      </w:r>
      <w:r>
        <w:rPr>
          <w:color w:val="auto"/>
        </w:rPr>
        <w:t>——</w:t>
      </w:r>
      <w:r>
        <w:rPr>
          <w:bCs/>
          <w:color w:val="auto"/>
        </w:rPr>
        <w:t>抗倾覆安全系数，不应小于1.3；</w:t>
      </w:r>
    </w:p>
    <w:p w14:paraId="398660AD">
      <w:pPr>
        <w:ind w:left="638" w:leftChars="266" w:firstLine="0"/>
        <w:jc w:val="left"/>
        <w:rPr>
          <w:bCs/>
          <w:color w:val="auto"/>
        </w:rPr>
      </w:pPr>
      <w:r>
        <w:rPr>
          <w:position w:val="-6"/>
        </w:rPr>
        <w:object>
          <v:shape id="_x0000_i1119" o:spt="75" type="#_x0000_t75" style="height:13pt;width:13pt;" o:ole="t" filled="f" o:preferrelative="t" stroked="f" coordsize="21600,21600">
            <v:path/>
            <v:fill on="f" focussize="0,0"/>
            <v:stroke on="f" joinstyle="miter"/>
            <v:imagedata r:id="rId195" o:title=""/>
            <o:lock v:ext="edit" aspectratio="t"/>
            <w10:wrap type="none"/>
            <w10:anchorlock/>
          </v:shape>
          <o:OLEObject Type="Embed" ProgID="Equation.DSMT4" ShapeID="_x0000_i1119" DrawAspect="Content" ObjectID="_1468075819" r:id="rId194">
            <o:LockedField>false</o:LockedField>
          </o:OLEObject>
        </w:object>
      </w:r>
      <w:r>
        <w:rPr>
          <w:color w:val="auto"/>
        </w:rPr>
        <w:t>——</w:t>
      </w:r>
      <w:r>
        <w:rPr>
          <w:bCs/>
          <w:color w:val="auto"/>
        </w:rPr>
        <w:t>水泥土墙外侧主动土压力合力作用点至墙趾的竖向距离（m）；</w:t>
      </w:r>
    </w:p>
    <w:p w14:paraId="26DE54FB">
      <w:pPr>
        <w:ind w:firstLine="720" w:firstLineChars="300"/>
        <w:jc w:val="left"/>
        <w:rPr>
          <w:bCs/>
          <w:color w:val="auto"/>
        </w:rPr>
      </w:pPr>
      <w:r>
        <w:rPr>
          <w:position w:val="-8"/>
        </w:rPr>
        <w:object>
          <v:shape id="_x0000_i1120" o:spt="75" type="#_x0000_t75" style="height:14pt;width:13pt;" o:ole="t" filled="f" o:preferrelative="t" stroked="f" coordsize="21600,21600">
            <v:path/>
            <v:fill on="f" focussize="0,0"/>
            <v:stroke on="f" joinstyle="miter"/>
            <v:imagedata r:id="rId197" o:title=""/>
            <o:lock v:ext="edit" aspectratio="t"/>
            <w10:wrap type="none"/>
            <w10:anchorlock/>
          </v:shape>
          <o:OLEObject Type="Embed" ProgID="Equation.DSMT4" ShapeID="_x0000_i1120" DrawAspect="Content" ObjectID="_1468075820" r:id="rId196">
            <o:LockedField>false</o:LockedField>
          </o:OLEObject>
        </w:object>
      </w:r>
      <w:r>
        <w:rPr>
          <w:color w:val="auto"/>
        </w:rPr>
        <w:t>——</w:t>
      </w:r>
      <w:r>
        <w:rPr>
          <w:bCs/>
          <w:color w:val="auto"/>
        </w:rPr>
        <w:t>水泥土墙内侧被动土压力合力作用点至墙趾的竖向距离（m）；</w:t>
      </w:r>
    </w:p>
    <w:p w14:paraId="405FDE20">
      <w:pPr>
        <w:ind w:firstLine="720" w:firstLineChars="300"/>
        <w:jc w:val="left"/>
        <w:rPr>
          <w:bCs/>
          <w:color w:val="auto"/>
        </w:rPr>
      </w:pPr>
      <w:r>
        <w:rPr>
          <w:position w:val="-6"/>
        </w:rPr>
        <w:object>
          <v:shape id="_x0000_i1121" o:spt="75" type="#_x0000_t75" style="height:13pt;width:13pt;" o:ole="t" filled="f" o:preferrelative="t" stroked="f" coordsize="21600,21600">
            <v:path/>
            <v:fill on="f" focussize="0,0"/>
            <v:stroke on="f" joinstyle="miter"/>
            <v:imagedata r:id="rId199" o:title=""/>
            <o:lock v:ext="edit" aspectratio="t"/>
            <w10:wrap type="none"/>
            <w10:anchorlock/>
          </v:shape>
          <o:OLEObject Type="Embed" ProgID="Equation.DSMT4" ShapeID="_x0000_i1121" DrawAspect="Content" ObjectID="_1468075821" r:id="rId198">
            <o:LockedField>false</o:LockedField>
          </o:OLEObject>
        </w:object>
      </w:r>
      <w:r>
        <w:rPr>
          <w:color w:val="auto"/>
        </w:rPr>
        <w:t>——</w:t>
      </w:r>
      <w:r>
        <w:rPr>
          <w:bCs/>
          <w:color w:val="auto"/>
        </w:rPr>
        <w:t>水泥土墙自重与墙底水压力合力作用点至墙趾的水平距离（m）。</w:t>
      </w:r>
    </w:p>
    <w:p w14:paraId="2D3F2C69">
      <w:pPr>
        <w:ind w:firstLine="0"/>
        <w:jc w:val="center"/>
      </w:pPr>
      <w:r>
        <w:drawing>
          <wp:inline distT="0" distB="0" distL="114300" distR="114300">
            <wp:extent cx="3690620" cy="2766060"/>
            <wp:effectExtent l="0" t="0" r="5080" b="2540"/>
            <wp:docPr id="19"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8"/>
                    <pic:cNvPicPr>
                      <a:picLocks noChangeAspect="1"/>
                    </pic:cNvPicPr>
                  </pic:nvPicPr>
                  <pic:blipFill>
                    <a:blip r:embed="rId200"/>
                    <a:stretch>
                      <a:fillRect/>
                    </a:stretch>
                  </pic:blipFill>
                  <pic:spPr>
                    <a:xfrm>
                      <a:off x="0" y="0"/>
                      <a:ext cx="3690620" cy="2766060"/>
                    </a:xfrm>
                    <a:prstGeom prst="rect">
                      <a:avLst/>
                    </a:prstGeom>
                    <a:noFill/>
                    <a:ln>
                      <a:noFill/>
                    </a:ln>
                  </pic:spPr>
                </pic:pic>
              </a:graphicData>
            </a:graphic>
          </wp:inline>
        </w:drawing>
      </w:r>
    </w:p>
    <w:p w14:paraId="5A3D46EF">
      <w:pPr>
        <w:ind w:firstLine="0"/>
        <w:jc w:val="center"/>
        <w:rPr>
          <w:b/>
          <w:bCs/>
          <w:color w:val="auto"/>
          <w:sz w:val="21"/>
          <w:szCs w:val="21"/>
        </w:rPr>
      </w:pPr>
      <w:r>
        <w:rPr>
          <w:b/>
          <w:bCs/>
          <w:color w:val="auto"/>
          <w:sz w:val="21"/>
          <w:szCs w:val="21"/>
        </w:rPr>
        <w:t>图5.2.16　重力式水泥土墙的倾覆稳定性验算</w:t>
      </w:r>
    </w:p>
    <w:p w14:paraId="782EBAC2">
      <w:pPr>
        <w:ind w:firstLine="0"/>
        <w:rPr>
          <w:bCs/>
          <w:color w:val="auto"/>
        </w:rPr>
      </w:pPr>
      <w:r>
        <w:rPr>
          <w:b/>
          <w:bCs/>
          <w:color w:val="auto"/>
        </w:rPr>
        <w:t>5.2.17　</w:t>
      </w:r>
      <w:r>
        <w:rPr>
          <w:bCs/>
          <w:color w:val="auto"/>
        </w:rPr>
        <w:t>锚拉式、悬臂式支挡结构应按下列规定进行整体滑动稳定性验算：</w:t>
      </w:r>
    </w:p>
    <w:p w14:paraId="22533FE1">
      <w:pPr>
        <w:jc w:val="left"/>
        <w:rPr>
          <w:color w:val="auto"/>
        </w:rPr>
      </w:pPr>
      <w:r>
        <w:rPr>
          <w:b/>
          <w:color w:val="auto"/>
        </w:rPr>
        <w:t>1　</w:t>
      </w:r>
      <w:r>
        <w:rPr>
          <w:color w:val="auto"/>
        </w:rPr>
        <w:t>整体滑动稳定性可采用圆弧滑动条分法进行验算；</w:t>
      </w:r>
    </w:p>
    <w:p w14:paraId="6D2D2E77">
      <w:pPr>
        <w:jc w:val="left"/>
        <w:rPr>
          <w:color w:val="auto"/>
        </w:rPr>
      </w:pPr>
      <w:r>
        <w:rPr>
          <w:b/>
          <w:color w:val="auto"/>
        </w:rPr>
        <w:t>2　</w:t>
      </w:r>
      <w:r>
        <w:rPr>
          <w:color w:val="auto"/>
        </w:rPr>
        <w:t>采用圆弧滑动条分法时，其整体滑动稳定性应符合下列公式规定（图5.2.17）：</w:t>
      </w:r>
    </w:p>
    <w:p w14:paraId="1A1DF579">
      <w:pPr>
        <w:ind w:firstLine="0"/>
        <w:jc w:val="right"/>
        <w:rPr>
          <w:color w:val="auto"/>
        </w:rPr>
      </w:pPr>
      <w:r>
        <w:rPr>
          <w:color w:val="auto"/>
          <w:position w:val="-28"/>
        </w:rPr>
        <w:drawing>
          <wp:inline distT="0" distB="0" distL="114300" distR="114300">
            <wp:extent cx="4295775" cy="409575"/>
            <wp:effectExtent l="0" t="0" r="9525" b="9525"/>
            <wp:docPr id="12"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4"/>
                    <pic:cNvPicPr>
                      <a:picLocks noChangeAspect="1"/>
                    </pic:cNvPicPr>
                  </pic:nvPicPr>
                  <pic:blipFill>
                    <a:blip r:embed="rId201"/>
                    <a:stretch>
                      <a:fillRect/>
                    </a:stretch>
                  </pic:blipFill>
                  <pic:spPr>
                    <a:xfrm>
                      <a:off x="0" y="0"/>
                      <a:ext cx="4295775" cy="409575"/>
                    </a:xfrm>
                    <a:prstGeom prst="rect">
                      <a:avLst/>
                    </a:prstGeom>
                    <a:noFill/>
                    <a:ln>
                      <a:noFill/>
                    </a:ln>
                  </pic:spPr>
                </pic:pic>
              </a:graphicData>
            </a:graphic>
          </wp:inline>
        </w:drawing>
      </w:r>
      <w:r>
        <w:rPr>
          <w:color w:val="auto"/>
        </w:rPr>
        <w:t xml:space="preserve">  （5.2.17-1）</w:t>
      </w:r>
    </w:p>
    <w:p w14:paraId="19AC0A99">
      <w:pPr>
        <w:ind w:firstLine="0"/>
        <w:jc w:val="right"/>
        <w:rPr>
          <w:color w:val="auto"/>
        </w:rPr>
      </w:pPr>
      <w:r>
        <w:rPr>
          <w:color w:val="auto"/>
          <w:position w:val="-12"/>
        </w:rPr>
        <w:object>
          <v:shape id="_x0000_i1122" o:spt="75" type="#_x0000_t75" style="height:17pt;width:126.5pt;" o:ole="t" filled="f" o:preferrelative="t" stroked="f" coordsize="21600,21600">
            <v:path/>
            <v:fill on="f" focussize="0,0"/>
            <v:stroke on="f" joinstyle="miter"/>
            <v:imagedata r:id="rId203" o:title=""/>
            <o:lock v:ext="edit" aspectratio="t"/>
            <w10:wrap type="none"/>
            <w10:anchorlock/>
          </v:shape>
          <o:OLEObject Type="Embed" ProgID="Equation.3" ShapeID="_x0000_i1122" DrawAspect="Content" ObjectID="_1468075822" r:id="rId202">
            <o:LockedField>false</o:LockedField>
          </o:OLEObject>
        </w:object>
      </w:r>
      <w:r>
        <w:rPr>
          <w:color w:val="auto"/>
        </w:rPr>
        <w:t xml:space="preserve">           （5.2.17-2）</w:t>
      </w:r>
    </w:p>
    <w:p w14:paraId="6E11ADC4">
      <w:pPr>
        <w:ind w:left="1536" w:hanging="1536" w:hangingChars="640"/>
        <w:rPr>
          <w:color w:val="auto"/>
        </w:rPr>
      </w:pPr>
      <w:r>
        <w:rPr>
          <w:color w:val="auto"/>
        </w:rPr>
        <w:t>式中：</w:t>
      </w:r>
      <w:r>
        <w:rPr>
          <w:color w:val="auto"/>
          <w:position w:val="-10"/>
        </w:rPr>
        <w:object>
          <v:shape id="_x0000_i1123" o:spt="75" type="#_x0000_t75" style="height:15pt;width:15pt;" o:ole="t" filled="f" o:preferrelative="t" stroked="f" coordsize="21600,21600">
            <v:path/>
            <v:fill on="f" focussize="0,0"/>
            <v:stroke on="f" joinstyle="miter"/>
            <v:imagedata r:id="rId205" o:title=""/>
            <o:lock v:ext="edit" aspectratio="t"/>
            <w10:wrap type="none"/>
            <w10:anchorlock/>
          </v:shape>
          <o:OLEObject Type="Embed" ProgID="Equation.3" ShapeID="_x0000_i1123" DrawAspect="Content" ObjectID="_1468075823" r:id="rId204">
            <o:LockedField>false</o:LockedField>
          </o:OLEObject>
        </w:object>
      </w:r>
      <w:r>
        <w:rPr>
          <w:color w:val="auto"/>
        </w:rPr>
        <w:t>——圆弧滑动稳定安全系数；安全等级为一级、二级、三级的支挡结构，</w:t>
      </w:r>
      <w:r>
        <w:rPr>
          <w:color w:val="auto"/>
          <w:position w:val="-10"/>
        </w:rPr>
        <w:object>
          <v:shape id="_x0000_i1124" o:spt="75" type="#_x0000_t75" style="height:15pt;width:15pt;" o:ole="t" filled="f" o:preferrelative="t" stroked="f" coordsize="21600,21600">
            <v:path/>
            <v:fill on="f" focussize="0,0"/>
            <v:stroke on="f" joinstyle="miter"/>
            <v:imagedata r:id="rId207" o:title=""/>
            <o:lock v:ext="edit" aspectratio="t"/>
            <w10:wrap type="none"/>
            <w10:anchorlock/>
          </v:shape>
          <o:OLEObject Type="Embed" ProgID="Equation.3" ShapeID="_x0000_i1124" DrawAspect="Content" ObjectID="_1468075824" r:id="rId206">
            <o:LockedField>false</o:LockedField>
          </o:OLEObject>
        </w:object>
      </w:r>
      <w:r>
        <w:rPr>
          <w:color w:val="auto"/>
        </w:rPr>
        <w:t>分别不应小于1.35、1.30、1.25；</w:t>
      </w:r>
    </w:p>
    <w:p w14:paraId="223CE890">
      <w:pPr>
        <w:ind w:left="1576" w:leftChars="310" w:hanging="832" w:hangingChars="347"/>
        <w:rPr>
          <w:color w:val="auto"/>
        </w:rPr>
      </w:pPr>
      <w:r>
        <w:rPr>
          <w:color w:val="auto"/>
          <w:position w:val="-12"/>
        </w:rPr>
        <w:object>
          <v:shape id="_x0000_i1125" o:spt="75" type="#_x0000_t75" style="height:17pt;width:18.5pt;" o:ole="t" filled="f" o:preferrelative="t" stroked="f" coordsize="21600,21600">
            <v:path/>
            <v:fill on="f" focussize="0,0"/>
            <v:stroke on="f" joinstyle="miter"/>
            <v:imagedata r:id="rId209" o:title=""/>
            <o:lock v:ext="edit" aspectratio="t"/>
            <w10:wrap type="none"/>
            <w10:anchorlock/>
          </v:shape>
          <o:OLEObject Type="Embed" ProgID="Equation.3" ShapeID="_x0000_i1125" DrawAspect="Content" ObjectID="_1468075825" r:id="rId208">
            <o:LockedField>false</o:LockedField>
          </o:OLEObject>
        </w:object>
      </w:r>
      <w:r>
        <w:rPr>
          <w:color w:val="auto"/>
        </w:rPr>
        <w:t>——第i个圆弧滑动体的抗滑力矩与滑动力矩的比值；抗滑力矩与滑动力矩的最小值宜通过搜索不同圆心及半径的所有潜在滑动圆弧确定；</w:t>
      </w:r>
    </w:p>
    <w:p w14:paraId="0BE11623">
      <w:pPr>
        <w:ind w:left="1973" w:leftChars="307" w:hanging="1236" w:hangingChars="515"/>
        <w:rPr>
          <w:color w:val="auto"/>
        </w:rPr>
      </w:pPr>
      <w:r>
        <w:rPr>
          <w:color w:val="auto"/>
          <w:position w:val="-12"/>
        </w:rPr>
        <w:object>
          <v:shape id="_x0000_i1126" o:spt="75" type="#_x0000_t75" style="height:17pt;width:11.5pt;" o:ole="t" filled="f" o:preferrelative="t" stroked="f" coordsize="21600,21600">
            <v:path/>
            <v:fill on="f" focussize="0,0"/>
            <v:stroke on="f" joinstyle="miter"/>
            <v:imagedata r:id="rId211" o:title=""/>
            <o:lock v:ext="edit" aspectratio="t"/>
            <w10:wrap type="none"/>
            <w10:anchorlock/>
          </v:shape>
          <o:OLEObject Type="Embed" ProgID="Equation.3" ShapeID="_x0000_i1126" DrawAspect="Content" ObjectID="_1468075826" r:id="rId210">
            <o:LockedField>false</o:LockedField>
          </o:OLEObject>
        </w:object>
      </w:r>
      <w:r>
        <w:rPr>
          <w:color w:val="auto"/>
        </w:rPr>
        <w:t>、</w:t>
      </w:r>
      <w:r>
        <w:rPr>
          <w:color w:val="auto"/>
          <w:position w:val="-12"/>
        </w:rPr>
        <w:object>
          <v:shape id="_x0000_i1127" o:spt="75" type="#_x0000_t75" style="height:17pt;width:12.5pt;" o:ole="t" filled="f" o:preferrelative="t" stroked="f" coordsize="21600,21600">
            <v:path/>
            <v:fill on="f" focussize="0,0"/>
            <v:stroke on="f" joinstyle="miter"/>
            <v:imagedata r:id="rId213" o:title=""/>
            <o:lock v:ext="edit" aspectratio="t"/>
            <w10:wrap type="none"/>
            <w10:anchorlock/>
          </v:shape>
          <o:OLEObject Type="Embed" ProgID="Equation.3" ShapeID="_x0000_i1127" DrawAspect="Content" ObjectID="_1468075827" r:id="rId212">
            <o:LockedField>false</o:LockedField>
          </o:OLEObject>
        </w:object>
      </w:r>
      <w:r>
        <w:rPr>
          <w:color w:val="auto"/>
        </w:rPr>
        <w:t>——分别为第j土条滑弧面处土的黏聚力（kPa）、内摩擦角（°），按本规程第5.2.3条的规定取值；</w:t>
      </w:r>
    </w:p>
    <w:p w14:paraId="64BCF291">
      <w:pPr>
        <w:ind w:firstLine="720" w:firstLineChars="300"/>
        <w:rPr>
          <w:color w:val="auto"/>
        </w:rPr>
      </w:pPr>
      <w:r>
        <w:rPr>
          <w:color w:val="auto"/>
          <w:position w:val="-12"/>
        </w:rPr>
        <w:object>
          <v:shape id="_x0000_i1128" o:spt="75" type="#_x0000_t75" style="height:17pt;width:12.5pt;" o:ole="t" filled="f" o:preferrelative="t" stroked="f" coordsize="21600,21600">
            <v:path/>
            <v:fill on="f" focussize="0,0"/>
            <v:stroke on="f" joinstyle="miter"/>
            <v:imagedata r:id="rId215" o:title=""/>
            <o:lock v:ext="edit" aspectratio="t"/>
            <w10:wrap type="none"/>
            <w10:anchorlock/>
          </v:shape>
          <o:OLEObject Type="Embed" ProgID="Equation.3" ShapeID="_x0000_i1128" DrawAspect="Content" ObjectID="_1468075828" r:id="rId214">
            <o:LockedField>false</o:LockedField>
          </o:OLEObject>
        </w:object>
      </w:r>
      <w:r>
        <w:rPr>
          <w:color w:val="auto"/>
        </w:rPr>
        <w:t>——第j土条的宽度（m）；</w:t>
      </w:r>
    </w:p>
    <w:p w14:paraId="7C6ECAD5">
      <w:pPr>
        <w:ind w:firstLine="720" w:firstLineChars="300"/>
        <w:rPr>
          <w:color w:val="auto"/>
        </w:rPr>
      </w:pPr>
      <w:r>
        <w:rPr>
          <w:color w:val="auto"/>
          <w:position w:val="-12"/>
        </w:rPr>
        <w:object>
          <v:shape id="_x0000_i1129" o:spt="75" type="#_x0000_t75" style="height:17pt;width:11.5pt;" o:ole="t" filled="f" o:preferrelative="t" stroked="f" coordsize="21600,21600">
            <v:path/>
            <v:fill on="f" focussize="0,0"/>
            <v:stroke on="f" joinstyle="miter"/>
            <v:imagedata r:id="rId217" o:title=""/>
            <o:lock v:ext="edit" aspectratio="t"/>
            <w10:wrap type="none"/>
            <w10:anchorlock/>
          </v:shape>
          <o:OLEObject Type="Embed" ProgID="Equation.3" ShapeID="_x0000_i1129" DrawAspect="Content" ObjectID="_1468075829" r:id="rId216">
            <o:LockedField>false</o:LockedField>
          </o:OLEObject>
        </w:object>
      </w:r>
      <w:r>
        <w:rPr>
          <w:color w:val="auto"/>
        </w:rPr>
        <w:t>——第j土条滑弧面中点处的法线与垂直面的夹角（°）；</w:t>
      </w:r>
    </w:p>
    <w:p w14:paraId="0E99F6CB">
      <w:pPr>
        <w:ind w:firstLine="720" w:firstLineChars="300"/>
        <w:rPr>
          <w:color w:val="auto"/>
        </w:rPr>
      </w:pPr>
      <w:r>
        <w:rPr>
          <w:color w:val="auto"/>
          <w:position w:val="-12"/>
        </w:rPr>
        <w:object>
          <v:shape id="_x0000_i1130" o:spt="75" type="#_x0000_t75" style="height:17pt;width:11pt;" o:ole="t" filled="f" o:preferrelative="t" stroked="f" coordsize="21600,21600">
            <v:path/>
            <v:fill on="f" focussize="0,0"/>
            <v:stroke on="f" joinstyle="miter"/>
            <v:imagedata r:id="rId219" o:title=""/>
            <o:lock v:ext="edit" aspectratio="t"/>
            <w10:wrap type="none"/>
            <w10:anchorlock/>
          </v:shape>
          <o:OLEObject Type="Embed" ProgID="Equation.3" ShapeID="_x0000_i1130" DrawAspect="Content" ObjectID="_1468075830" r:id="rId218">
            <o:LockedField>false</o:LockedField>
          </o:OLEObject>
        </w:object>
      </w:r>
      <w:r>
        <w:rPr>
          <w:color w:val="auto"/>
        </w:rPr>
        <w:t>——第j土条的滑弧长度（m），取</w:t>
      </w:r>
      <w:r>
        <w:rPr>
          <w:color w:val="auto"/>
          <w:position w:val="-12"/>
        </w:rPr>
        <w:object>
          <v:shape id="_x0000_i1131" o:spt="75" type="#_x0000_t75" style="height:17pt;width:60pt;" o:ole="t" filled="f" o:preferrelative="t" stroked="f" coordsize="21600,21600">
            <v:path/>
            <v:fill on="f" focussize="0,0"/>
            <v:stroke on="f" joinstyle="miter"/>
            <v:imagedata r:id="rId221" o:title=""/>
            <o:lock v:ext="edit" aspectratio="t"/>
            <w10:wrap type="none"/>
            <w10:anchorlock/>
          </v:shape>
          <o:OLEObject Type="Embed" ProgID="Equation.3" ShapeID="_x0000_i1131" DrawAspect="Content" ObjectID="_1468075831" r:id="rId220">
            <o:LockedField>false</o:LockedField>
          </o:OLEObject>
        </w:object>
      </w:r>
      <w:r>
        <w:rPr>
          <w:color w:val="auto"/>
        </w:rPr>
        <w:t>；</w:t>
      </w:r>
    </w:p>
    <w:p w14:paraId="0F2DD676">
      <w:pPr>
        <w:ind w:firstLine="720" w:firstLineChars="300"/>
        <w:rPr>
          <w:color w:val="auto"/>
        </w:rPr>
      </w:pPr>
      <w:r>
        <w:rPr>
          <w:color w:val="auto"/>
          <w:position w:val="-12"/>
        </w:rPr>
        <w:object>
          <v:shape id="_x0000_i1132" o:spt="75" type="#_x0000_t75" style="height:17pt;width:11.5pt;" o:ole="t" filled="f" o:preferrelative="t" stroked="f" coordsize="21600,21600">
            <v:path/>
            <v:fill on="f" focussize="0,0"/>
            <v:stroke on="f" joinstyle="miter"/>
            <v:imagedata r:id="rId223" o:title=""/>
            <o:lock v:ext="edit" aspectratio="t"/>
            <w10:wrap type="none"/>
            <w10:anchorlock/>
          </v:shape>
          <o:OLEObject Type="Embed" ProgID="Equation.3" ShapeID="_x0000_i1132" DrawAspect="Content" ObjectID="_1468075832" r:id="rId222">
            <o:LockedField>false</o:LockedField>
          </o:OLEObject>
        </w:object>
      </w:r>
      <w:r>
        <w:rPr>
          <w:color w:val="auto"/>
        </w:rPr>
        <w:t>——第j土条上的附加分布荷载标准值（kPa）；</w:t>
      </w:r>
    </w:p>
    <w:p w14:paraId="771EC79A">
      <w:pPr>
        <w:ind w:firstLine="720" w:firstLineChars="300"/>
        <w:rPr>
          <w:color w:val="auto"/>
        </w:rPr>
      </w:pPr>
      <w:r>
        <w:rPr>
          <w:color w:val="auto"/>
          <w:position w:val="-12"/>
        </w:rPr>
        <w:object>
          <v:shape id="_x0000_i1133" o:spt="75" type="#_x0000_t75" style="height:17pt;width:21pt;" o:ole="t" filled="f" o:preferrelative="t" stroked="f" coordsize="21600,21600">
            <v:path/>
            <v:fill on="f" focussize="0,0"/>
            <v:stroke on="f" joinstyle="miter"/>
            <v:imagedata r:id="rId225" o:title=""/>
            <o:lock v:ext="edit" aspectratio="t"/>
            <w10:wrap type="none"/>
            <w10:anchorlock/>
          </v:shape>
          <o:OLEObject Type="Embed" ProgID="Equation.3" ShapeID="_x0000_i1133" DrawAspect="Content" ObjectID="_1468075833" r:id="rId224">
            <o:LockedField>false</o:LockedField>
          </o:OLEObject>
        </w:object>
      </w:r>
      <w:r>
        <w:rPr>
          <w:color w:val="auto"/>
        </w:rPr>
        <w:t>——第j土条的自重（kN），按天然重度计算；</w:t>
      </w:r>
    </w:p>
    <w:p w14:paraId="55E0D3B6">
      <w:pPr>
        <w:ind w:left="1596" w:leftChars="315" w:hanging="840" w:hangingChars="350"/>
        <w:rPr>
          <w:color w:val="auto"/>
        </w:rPr>
      </w:pPr>
      <w:r>
        <w:rPr>
          <w:color w:val="auto"/>
          <w:position w:val="-14"/>
        </w:rPr>
        <w:object>
          <v:shape id="_x0000_i1134" o:spt="75" type="#_x0000_t75" style="height:21pt;width:15pt;" o:ole="t" filled="f" o:preferrelative="t" stroked="f" coordsize="21600,21600">
            <v:path/>
            <v:fill on="f" focussize="0,0"/>
            <v:stroke on="f" joinstyle="miter"/>
            <v:imagedata r:id="rId227" o:title=""/>
            <o:lock v:ext="edit" aspectratio="t"/>
            <w10:wrap type="none"/>
            <w10:anchorlock/>
          </v:shape>
          <o:OLEObject Type="Embed" ProgID="Equation.3" ShapeID="_x0000_i1134" DrawAspect="Content" ObjectID="_1468075834" r:id="rId226">
            <o:LockedField>false</o:LockedField>
          </o:OLEObject>
        </w:object>
      </w:r>
      <w:r>
        <w:rPr>
          <w:color w:val="auto"/>
        </w:rPr>
        <w:t>——第j土条滑弧面上的水压力（kPa）；采用落底式截水帷幕时，对地下水位以下的砂土、碎石土、砂质粉土，在明挖段外侧，可取</w:t>
      </w:r>
      <w:r>
        <w:rPr>
          <w:color w:val="auto"/>
          <w:position w:val="-12"/>
        </w:rPr>
        <w:object>
          <v:shape id="_x0000_i1135" o:spt="75" type="#_x0000_t75" style="height:17pt;width:54.5pt;" o:ole="t" filled="f" o:preferrelative="t" stroked="f" coordsize="21600,21600">
            <v:path/>
            <v:fill on="f" focussize="0,0"/>
            <v:stroke on="f" joinstyle="miter"/>
            <v:imagedata r:id="rId229" o:title=""/>
            <o:lock v:ext="edit" aspectratio="t"/>
            <w10:wrap type="none"/>
            <w10:anchorlock/>
          </v:shape>
          <o:OLEObject Type="Embed" ProgID="Equation.3" ShapeID="_x0000_i1135" DrawAspect="Content" ObjectID="_1468075835" r:id="rId228">
            <o:LockedField>false</o:LockedField>
          </o:OLEObject>
        </w:object>
      </w:r>
      <w:r>
        <w:rPr>
          <w:color w:val="auto"/>
        </w:rPr>
        <w:t>，在明挖段内侧，可取</w:t>
      </w:r>
      <w:r>
        <w:rPr>
          <w:color w:val="auto"/>
          <w:position w:val="-12"/>
        </w:rPr>
        <w:object>
          <v:shape id="_x0000_i1136" o:spt="75" type="#_x0000_t75" style="height:17.5pt;width:54.5pt;" o:ole="t" filled="f" o:preferrelative="t" stroked="f" coordsize="21600,21600">
            <v:path/>
            <v:fill on="f" focussize="0,0"/>
            <v:stroke on="f" joinstyle="miter"/>
            <v:imagedata r:id="rId231" o:title=""/>
            <o:lock v:ext="edit" aspectratio="t"/>
            <w10:wrap type="none"/>
            <w10:anchorlock/>
          </v:shape>
          <o:OLEObject Type="Embed" ProgID="Equation.3" ShapeID="_x0000_i1136" DrawAspect="Content" ObjectID="_1468075836" r:id="rId230">
            <o:LockedField>false</o:LockedField>
          </o:OLEObject>
        </w:object>
      </w:r>
      <w:r>
        <w:rPr>
          <w:color w:val="auto"/>
        </w:rPr>
        <w:t>；滑弧面在地下水位以上或对地下水位以下的黏性土，取</w:t>
      </w:r>
      <w:r>
        <w:rPr>
          <w:color w:val="auto"/>
          <w:position w:val="-12"/>
        </w:rPr>
        <w:object>
          <v:shape id="_x0000_i1137" o:spt="75" type="#_x0000_t75" style="height:17.5pt;width:30pt;" o:ole="t" filled="f" o:preferrelative="t" stroked="f" coordsize="21600,21600">
            <v:path/>
            <v:fill on="f" focussize="0,0"/>
            <v:stroke on="f" joinstyle="miter"/>
            <v:imagedata r:id="rId233" o:title=""/>
            <o:lock v:ext="edit" aspectratio="t"/>
            <w10:wrap type="none"/>
            <w10:anchorlock/>
          </v:shape>
          <o:OLEObject Type="Embed" ProgID="Equation.3" ShapeID="_x0000_i1137" DrawAspect="Content" ObjectID="_1468075837" r:id="rId232">
            <o:LockedField>false</o:LockedField>
          </o:OLEObject>
        </w:object>
      </w:r>
      <w:r>
        <w:rPr>
          <w:color w:val="auto"/>
        </w:rPr>
        <w:t>；</w:t>
      </w:r>
    </w:p>
    <w:p w14:paraId="6DE2B193">
      <w:pPr>
        <w:ind w:firstLine="720" w:firstLineChars="300"/>
        <w:rPr>
          <w:color w:val="auto"/>
        </w:rPr>
      </w:pPr>
      <w:r>
        <w:rPr>
          <w:color w:val="auto"/>
        </w:rPr>
        <w:object>
          <v:shape id="_x0000_i1138" o:spt="75" type="#_x0000_t75" style="height:18pt;width:14pt;" o:ole="t" filled="f" o:preferrelative="t" stroked="f" coordsize="21600,21600">
            <v:path/>
            <v:fill on="f" focussize="0,0"/>
            <v:stroke on="f" joinstyle="miter"/>
            <v:imagedata r:id="rId235" o:title=""/>
            <o:lock v:ext="edit" aspectratio="t"/>
            <w10:wrap type="none"/>
            <w10:anchorlock/>
          </v:shape>
          <o:OLEObject Type="Embed" ProgID="Equation.3" ShapeID="_x0000_i1138" DrawAspect="Content" ObjectID="_1468075838" r:id="rId234">
            <o:LockedField>false</o:LockedField>
          </o:OLEObject>
        </w:object>
      </w:r>
      <w:r>
        <w:rPr>
          <w:color w:val="auto"/>
        </w:rPr>
        <w:t>——地下水重度（kN/m³）；</w:t>
      </w:r>
    </w:p>
    <w:p w14:paraId="41096253">
      <w:pPr>
        <w:ind w:firstLine="739" w:firstLineChars="308"/>
        <w:rPr>
          <w:color w:val="auto"/>
        </w:rPr>
      </w:pPr>
      <w:r>
        <w:rPr>
          <w:color w:val="auto"/>
        </w:rPr>
        <w:object>
          <v:shape id="_x0000_i1139" o:spt="75" type="#_x0000_t75" style="height:19.5pt;width:25pt;" o:ole="t" filled="f" o:preferrelative="t" stroked="f" coordsize="21600,21600">
            <v:path/>
            <v:fill on="f" focussize="0,0"/>
            <v:stroke on="f" joinstyle="miter"/>
            <v:imagedata r:id="rId237" o:title=""/>
            <o:lock v:ext="edit" aspectratio="t"/>
            <w10:wrap type="none"/>
            <w10:anchorlock/>
          </v:shape>
          <o:OLEObject Type="Embed" ProgID="Equation.3" ShapeID="_x0000_i1139" DrawAspect="Content" ObjectID="_1468075839" r:id="rId236">
            <o:LockedField>false</o:LockedField>
          </o:OLEObject>
        </w:object>
      </w:r>
      <w:r>
        <w:rPr>
          <w:color w:val="auto"/>
        </w:rPr>
        <w:t>——明挖段外侧第j土条滑弧面中点的压力水头（m）；</w:t>
      </w:r>
    </w:p>
    <w:p w14:paraId="58CF14DB">
      <w:pPr>
        <w:ind w:firstLine="739" w:firstLineChars="308"/>
        <w:rPr>
          <w:color w:val="auto"/>
        </w:rPr>
      </w:pPr>
      <w:r>
        <w:rPr>
          <w:color w:val="auto"/>
        </w:rPr>
        <w:object>
          <v:shape id="_x0000_i1140" o:spt="75" type="#_x0000_t75" style="height:19.5pt;width:25pt;" o:ole="t" filled="f" o:preferrelative="t" stroked="f" coordsize="21600,21600">
            <v:path/>
            <v:fill on="f" focussize="0,0"/>
            <v:stroke on="f" joinstyle="miter"/>
            <v:imagedata r:id="rId239" o:title=""/>
            <o:lock v:ext="edit" aspectratio="t"/>
            <w10:wrap type="none"/>
            <w10:anchorlock/>
          </v:shape>
          <o:OLEObject Type="Embed" ProgID="Equation.3" ShapeID="_x0000_i1140" DrawAspect="Content" ObjectID="_1468075840" r:id="rId238">
            <o:LockedField>false</o:LockedField>
          </o:OLEObject>
        </w:object>
      </w:r>
      <w:r>
        <w:rPr>
          <w:color w:val="auto"/>
        </w:rPr>
        <w:t>——明挖段内侧第j土条滑弧面中点的压力水头（m）；</w:t>
      </w:r>
    </w:p>
    <w:p w14:paraId="35C07297">
      <w:pPr>
        <w:ind w:left="1716" w:leftChars="315" w:hanging="960" w:hangingChars="400"/>
        <w:rPr>
          <w:color w:val="auto"/>
        </w:rPr>
      </w:pPr>
      <w:r>
        <w:rPr>
          <w:color w:val="auto"/>
        </w:rPr>
        <w:object>
          <v:shape id="_x0000_i1141" o:spt="75" type="#_x0000_t75" style="height:19.5pt;width:23.5pt;" o:ole="t" filled="f" o:preferrelative="t" stroked="f" coordsize="21600,21600">
            <v:path/>
            <v:fill on="f" focussize="0,0"/>
            <v:stroke on="f" joinstyle="miter"/>
            <v:imagedata r:id="rId241" o:title=""/>
            <o:lock v:ext="edit" aspectratio="t"/>
            <w10:wrap type="none"/>
            <w10:anchorlock/>
          </v:shape>
          <o:OLEObject Type="Embed" ProgID="Equation.3" ShapeID="_x0000_i1141" DrawAspect="Content" ObjectID="_1468075841" r:id="rId240">
            <o:LockedField>false</o:LockedField>
          </o:OLEObject>
        </w:object>
      </w:r>
      <w:r>
        <w:rPr>
          <w:color w:val="auto"/>
        </w:rPr>
        <w:t>——第k层锚杆在滑动面以外的锚固段的极限抗拔承载力标准值与锚杆杆体受拉承载力标准值（</w:t>
      </w:r>
      <w:r>
        <w:rPr>
          <w:color w:val="auto"/>
          <w:position w:val="-12"/>
        </w:rPr>
        <w:object>
          <v:shape id="_x0000_i1142" o:spt="75" type="#_x0000_t75" style="height:17.5pt;width:27pt;" o:ole="t" filled="f" o:preferrelative="t" stroked="f" coordsize="21600,21600">
            <v:path/>
            <v:fill on="f" focussize="0,0"/>
            <v:stroke on="f" joinstyle="miter"/>
            <v:imagedata r:id="rId243" o:title=""/>
            <o:lock v:ext="edit" aspectratio="t"/>
            <w10:wrap type="none"/>
            <w10:anchorlock/>
          </v:shape>
          <o:OLEObject Type="Embed" ProgID="Equation.3" ShapeID="_x0000_i1142" DrawAspect="Content" ObjectID="_1468075842" r:id="rId242">
            <o:LockedField>false</o:LockedField>
          </o:OLEObject>
        </w:object>
      </w:r>
      <w:r>
        <w:rPr>
          <w:color w:val="auto"/>
        </w:rPr>
        <w:t>）的较小值（kN）；锚固段的极限抗拔承载力应按行业标准《建筑基坑支护技术规程》JGJ 120-2012第4.7.4条的有关规定取值，但锚固段应取滑动面以外的长度；对悬臂式、双排桩支挡结构，不考虑</w:t>
      </w:r>
      <w:r>
        <w:rPr>
          <w:color w:val="auto"/>
        </w:rPr>
        <w:object>
          <v:shape id="_x0000_i1143" o:spt="75" type="#_x0000_t75" style="height:25pt;width:176pt;" o:ole="t" filled="f" o:preferrelative="t" stroked="f" coordsize="21600,21600">
            <v:path/>
            <v:fill on="f" focussize="0,0"/>
            <v:stroke on="f" joinstyle="miter"/>
            <v:imagedata r:id="rId245" o:title=""/>
            <o:lock v:ext="edit" aspectratio="t"/>
            <w10:wrap type="none"/>
            <w10:anchorlock/>
          </v:shape>
          <o:OLEObject Type="Embed" ProgID="Equation.DSMT4" ShapeID="_x0000_i1143" DrawAspect="Content" ObjectID="_1468075843" r:id="rId244">
            <o:LockedField>false</o:LockedField>
          </o:OLEObject>
        </w:object>
      </w:r>
      <w:r>
        <w:rPr>
          <w:color w:val="auto"/>
        </w:rPr>
        <w:t>项；</w:t>
      </w:r>
    </w:p>
    <w:p w14:paraId="16A747F1">
      <w:pPr>
        <w:ind w:firstLine="720" w:firstLineChars="300"/>
        <w:rPr>
          <w:color w:val="auto"/>
        </w:rPr>
      </w:pPr>
      <w:r>
        <w:rPr>
          <w:color w:val="auto"/>
        </w:rPr>
        <w:object>
          <v:shape id="_x0000_i1144" o:spt="75" type="#_x0000_t75" style="height:18pt;width:15.5pt;" o:ole="t" filled="f" o:preferrelative="t" stroked="f" coordsize="21600,21600">
            <v:path/>
            <v:fill on="f" focussize="0,0"/>
            <v:stroke on="f" joinstyle="miter"/>
            <v:imagedata r:id="rId247" o:title=""/>
            <o:lock v:ext="edit" aspectratio="t"/>
            <w10:wrap type="none"/>
            <w10:anchorlock/>
          </v:shape>
          <o:OLEObject Type="Embed" ProgID="Equation.3" ShapeID="_x0000_i1144" DrawAspect="Content" ObjectID="_1468075844" r:id="rId246">
            <o:LockedField>false</o:LockedField>
          </o:OLEObject>
        </w:object>
      </w:r>
      <w:r>
        <w:rPr>
          <w:color w:val="auto"/>
        </w:rPr>
        <w:t>——第k层锚杆处的法线与垂直面的夹角（°）；</w:t>
      </w:r>
    </w:p>
    <w:p w14:paraId="74275A93">
      <w:pPr>
        <w:ind w:firstLine="720" w:firstLineChars="300"/>
        <w:rPr>
          <w:color w:val="auto"/>
        </w:rPr>
      </w:pPr>
      <w:r>
        <w:rPr>
          <w:color w:val="auto"/>
        </w:rPr>
        <w:object>
          <v:shape id="_x0000_i1145" o:spt="75" type="#_x0000_t75" style="height:19.5pt;width:13pt;" o:ole="t" filled="f" o:preferrelative="t" stroked="f" coordsize="21600,21600">
            <v:path/>
            <v:fill on="f" focussize="0,0"/>
            <v:stroke on="f" joinstyle="miter"/>
            <v:imagedata r:id="rId249" o:title=""/>
            <o:lock v:ext="edit" aspectratio="t"/>
            <w10:wrap type="none"/>
            <w10:anchorlock/>
          </v:shape>
          <o:OLEObject Type="Embed" ProgID="Equation.DSMT4" ShapeID="_x0000_i1145" DrawAspect="Content" ObjectID="_1468075845" r:id="rId248">
            <o:LockedField>false</o:LockedField>
          </o:OLEObject>
        </w:object>
      </w:r>
      <w:r>
        <w:rPr>
          <w:color w:val="auto"/>
        </w:rPr>
        <w:t>——滑弧面在第k层锚杆处的法线与垂直面的夹角（°）；</w:t>
      </w:r>
    </w:p>
    <w:p w14:paraId="15DF3852">
      <w:pPr>
        <w:ind w:firstLine="720" w:firstLineChars="300"/>
        <w:rPr>
          <w:color w:val="auto"/>
        </w:rPr>
      </w:pPr>
      <w:r>
        <w:rPr>
          <w:color w:val="auto"/>
        </w:rPr>
        <w:object>
          <v:shape id="_x0000_i1146" o:spt="75" type="#_x0000_t75" style="height:19.5pt;width:18.5pt;" o:ole="t" filled="f" o:preferrelative="t" stroked="f" coordsize="21600,21600">
            <v:path/>
            <v:fill on="f" focussize="0,0"/>
            <v:stroke on="f" joinstyle="miter"/>
            <v:imagedata r:id="rId251" o:title=""/>
            <o:lock v:ext="edit" aspectratio="t"/>
            <w10:wrap type="none"/>
            <w10:anchorlock/>
          </v:shape>
          <o:OLEObject Type="Embed" ProgID="Equation.3" ShapeID="_x0000_i1146" DrawAspect="Content" ObjectID="_1468075846" r:id="rId250">
            <o:LockedField>false</o:LockedField>
          </o:OLEObject>
        </w:object>
      </w:r>
      <w:r>
        <w:rPr>
          <w:color w:val="auto"/>
        </w:rPr>
        <w:t>——第k层锚杆的水平间距（m）；</w:t>
      </w:r>
    </w:p>
    <w:p w14:paraId="0196E175">
      <w:pPr>
        <w:ind w:firstLine="720" w:firstLineChars="300"/>
        <w:rPr>
          <w:color w:val="auto"/>
        </w:rPr>
      </w:pPr>
      <w:r>
        <w:rPr>
          <w:color w:val="auto"/>
        </w:rPr>
        <w:object>
          <v:shape id="_x0000_i1147" o:spt="75" type="#_x0000_t75" style="height:18pt;width:15pt;" o:ole="t" filled="f" o:preferrelative="t" stroked="f" coordsize="21600,21600">
            <v:path/>
            <v:fill on="f" focussize="0,0"/>
            <v:stroke on="f" joinstyle="miter"/>
            <v:imagedata r:id="rId253" o:title=""/>
            <o:lock v:ext="edit" aspectratio="t"/>
            <w10:wrap type="none"/>
            <w10:anchorlock/>
          </v:shape>
          <o:OLEObject Type="Embed" ProgID="Equation.3" ShapeID="_x0000_i1147" DrawAspect="Content" ObjectID="_1468075847" r:id="rId252">
            <o:LockedField>false</o:LockedField>
          </o:OLEObject>
        </w:object>
      </w:r>
      <w:r>
        <w:rPr>
          <w:color w:val="auto"/>
        </w:rPr>
        <w:t>——计算系数；可按</w:t>
      </w:r>
      <w:r>
        <w:rPr>
          <w:color w:val="auto"/>
          <w:position w:val="-10"/>
        </w:rPr>
        <w:object>
          <v:shape id="_x0000_i1148" o:spt="75" type="#_x0000_t75" style="height:15pt;width:107.5pt;" o:ole="t" filled="f" o:preferrelative="t" stroked="f" coordsize="21600,21600">
            <v:path/>
            <v:fill on="f" focussize="0,0"/>
            <v:stroke on="f" joinstyle="miter"/>
            <v:imagedata r:id="rId255" o:title=""/>
            <o:lock v:ext="edit" aspectratio="t"/>
            <w10:wrap type="none"/>
            <w10:anchorlock/>
          </v:shape>
          <o:OLEObject Type="Embed" ProgID="Equation.3" ShapeID="_x0000_i1148" DrawAspect="Content" ObjectID="_1468075848" r:id="rId254">
            <o:LockedField>false</o:LockedField>
          </o:OLEObject>
        </w:object>
      </w:r>
      <w:r>
        <w:rPr>
          <w:color w:val="auto"/>
        </w:rPr>
        <w:t>取值；</w:t>
      </w:r>
    </w:p>
    <w:p w14:paraId="69652656">
      <w:pPr>
        <w:ind w:firstLine="720" w:firstLineChars="300"/>
        <w:rPr>
          <w:color w:val="auto"/>
        </w:rPr>
      </w:pPr>
      <w:r>
        <w:rPr>
          <w:color w:val="auto"/>
        </w:rPr>
        <w:object>
          <v:shape id="_x0000_i1149" o:spt="75" type="#_x0000_t75" style="height:14pt;width:11.5pt;" o:ole="t" filled="f" o:preferrelative="t" stroked="f" coordsize="21600,21600">
            <v:path/>
            <v:fill on="f" focussize="0,0"/>
            <v:stroke on="f" joinstyle="miter"/>
            <v:imagedata r:id="rId257" o:title=""/>
            <o:lock v:ext="edit" aspectratio="t"/>
            <w10:wrap type="none"/>
            <w10:anchorlock/>
          </v:shape>
          <o:OLEObject Type="Embed" ProgID="Equation.3" ShapeID="_x0000_i1149" DrawAspect="Content" ObjectID="_1468075849" r:id="rId256">
            <o:LockedField>false</o:LockedField>
          </o:OLEObject>
        </w:object>
      </w:r>
      <w:r>
        <w:rPr>
          <w:color w:val="auto"/>
        </w:rPr>
        <w:t>——第k层锚杆与滑弧交点处土的内摩擦角（°）。</w:t>
      </w:r>
    </w:p>
    <w:p w14:paraId="3E760053">
      <w:pPr>
        <w:ind w:firstLine="482" w:firstLineChars="200"/>
        <w:jc w:val="left"/>
        <w:rPr>
          <w:bCs/>
          <w:color w:val="auto"/>
        </w:rPr>
      </w:pPr>
      <w:r>
        <w:rPr>
          <w:b/>
          <w:bCs/>
          <w:color w:val="auto"/>
        </w:rPr>
        <w:t>3　</w:t>
      </w:r>
      <w:r>
        <w:rPr>
          <w:bCs/>
          <w:color w:val="auto"/>
        </w:rPr>
        <w:t>当挡土构件底端以下存在软弱下卧土层时，整体稳定性验算滑动面中应包括由圆弧与软弱土层层面组成的复合滑动面。</w:t>
      </w:r>
    </w:p>
    <w:p w14:paraId="46CB91F3">
      <w:pPr>
        <w:ind w:firstLine="0"/>
        <w:jc w:val="center"/>
        <w:rPr>
          <w:color w:val="auto"/>
        </w:rPr>
      </w:pPr>
      <w:r>
        <w:rPr>
          <w:color w:val="auto"/>
        </w:rPr>
        <w:object>
          <v:shape id="_x0000_i1150" o:spt="75" type="#_x0000_t75" style="height:167.5pt;width:388pt;" o:ole="t" filled="f" o:preferrelative="t" stroked="f" coordsize="21600,21600">
            <v:path/>
            <v:fill on="f" focussize="0,0"/>
            <v:stroke on="f" joinstyle="miter"/>
            <v:imagedata r:id="rId259" cropleft="24128f" croptop="11003f" cropright="17248f" cropbottom="21571f" o:title=""/>
            <o:lock v:ext="edit" aspectratio="f"/>
            <w10:wrap type="none"/>
            <w10:anchorlock/>
          </v:shape>
          <o:OLEObject Type="Embed" ProgID="AutoCAD.Drawing.20" ShapeID="_x0000_i1150" DrawAspect="Content" ObjectID="_1468075850" r:id="rId258">
            <o:LockedField>false</o:LockedField>
          </o:OLEObject>
        </w:object>
      </w:r>
    </w:p>
    <w:p w14:paraId="2A8C21C3">
      <w:pPr>
        <w:ind w:firstLine="0"/>
        <w:jc w:val="center"/>
        <w:rPr>
          <w:color w:val="auto"/>
          <w:sz w:val="18"/>
          <w:szCs w:val="18"/>
        </w:rPr>
      </w:pPr>
      <w:r>
        <w:rPr>
          <w:color w:val="auto"/>
          <w:sz w:val="18"/>
          <w:szCs w:val="18"/>
        </w:rPr>
        <w:t>1—任意圆弧滑动面；2—锚杆</w:t>
      </w:r>
    </w:p>
    <w:p w14:paraId="4B7BFFC8">
      <w:pPr>
        <w:ind w:firstLine="0"/>
        <w:jc w:val="center"/>
        <w:rPr>
          <w:b/>
          <w:bCs/>
          <w:color w:val="auto"/>
          <w:sz w:val="21"/>
          <w:szCs w:val="21"/>
        </w:rPr>
      </w:pPr>
      <w:r>
        <w:rPr>
          <w:b/>
          <w:bCs/>
          <w:color w:val="auto"/>
          <w:sz w:val="21"/>
          <w:szCs w:val="21"/>
        </w:rPr>
        <w:t>图5.2.17　圆弧滑动条分法整体稳定性验算</w:t>
      </w:r>
    </w:p>
    <w:p w14:paraId="2D371494">
      <w:pPr>
        <w:ind w:firstLine="0"/>
        <w:rPr>
          <w:bCs/>
          <w:color w:val="auto"/>
        </w:rPr>
      </w:pPr>
      <w:r>
        <w:rPr>
          <w:b/>
          <w:bCs/>
          <w:color w:val="auto"/>
        </w:rPr>
        <w:t>5.2.18　</w:t>
      </w:r>
      <w:r>
        <w:rPr>
          <w:bCs/>
          <w:color w:val="auto"/>
        </w:rPr>
        <w:t>支挡式结构的嵌固深度应符合下列综合管廊明挖段坑底隆起稳定性要求：</w:t>
      </w:r>
    </w:p>
    <w:p w14:paraId="64385926">
      <w:pPr>
        <w:ind w:firstLine="482" w:firstLineChars="200"/>
        <w:rPr>
          <w:bCs/>
          <w:color w:val="auto"/>
        </w:rPr>
      </w:pPr>
      <w:r>
        <w:rPr>
          <w:b/>
          <w:bCs/>
          <w:color w:val="auto"/>
        </w:rPr>
        <w:t>1　</w:t>
      </w:r>
      <w:r>
        <w:rPr>
          <w:bCs/>
          <w:color w:val="auto"/>
        </w:rPr>
        <w:t>锚拉式支挡结构和支撑式支挡结构的嵌固深度应符合下列公式规定（图5.2.18-1）：</w:t>
      </w:r>
    </w:p>
    <w:p w14:paraId="1BFCDA07">
      <w:pPr>
        <w:ind w:firstLine="490"/>
        <w:jc w:val="right"/>
        <w:rPr>
          <w:color w:val="auto"/>
        </w:rPr>
      </w:pPr>
      <w:r>
        <w:rPr>
          <w:color w:val="auto"/>
          <w:position w:val="-12"/>
        </w:rPr>
        <w:drawing>
          <wp:inline distT="0" distB="0" distL="114300" distR="114300">
            <wp:extent cx="1470660" cy="457200"/>
            <wp:effectExtent l="0" t="0" r="0" b="0"/>
            <wp:docPr id="13"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8"/>
                    <pic:cNvPicPr>
                      <a:picLocks noChangeAspect="1"/>
                    </pic:cNvPicPr>
                  </pic:nvPicPr>
                  <pic:blipFill>
                    <a:blip r:embed="rId260"/>
                    <a:stretch>
                      <a:fillRect/>
                    </a:stretch>
                  </pic:blipFill>
                  <pic:spPr>
                    <a:xfrm>
                      <a:off x="0" y="0"/>
                      <a:ext cx="1470660" cy="457200"/>
                    </a:xfrm>
                    <a:prstGeom prst="rect">
                      <a:avLst/>
                    </a:prstGeom>
                    <a:noFill/>
                    <a:ln>
                      <a:noFill/>
                    </a:ln>
                  </pic:spPr>
                </pic:pic>
              </a:graphicData>
            </a:graphic>
          </wp:inline>
        </w:drawing>
      </w:r>
      <w:r>
        <w:rPr>
          <w:color w:val="auto"/>
        </w:rPr>
        <w:t xml:space="preserve">                  （5.2.18-1）</w:t>
      </w:r>
    </w:p>
    <w:p w14:paraId="6FE182A8">
      <w:pPr>
        <w:ind w:firstLine="490"/>
        <w:jc w:val="right"/>
        <w:rPr>
          <w:color w:val="auto"/>
        </w:rPr>
      </w:pPr>
      <w:r>
        <w:rPr>
          <w:color w:val="auto"/>
        </w:rPr>
        <w:drawing>
          <wp:inline distT="0" distB="0" distL="114300" distR="114300">
            <wp:extent cx="1790700" cy="457200"/>
            <wp:effectExtent l="0" t="0" r="0" b="0"/>
            <wp:docPr id="14"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6"/>
                    <pic:cNvPicPr>
                      <a:picLocks noChangeAspect="1"/>
                    </pic:cNvPicPr>
                  </pic:nvPicPr>
                  <pic:blipFill>
                    <a:blip r:embed="rId261"/>
                    <a:stretch>
                      <a:fillRect/>
                    </a:stretch>
                  </pic:blipFill>
                  <pic:spPr>
                    <a:xfrm>
                      <a:off x="0" y="0"/>
                      <a:ext cx="1790700" cy="457200"/>
                    </a:xfrm>
                    <a:prstGeom prst="rect">
                      <a:avLst/>
                    </a:prstGeom>
                    <a:noFill/>
                    <a:ln>
                      <a:noFill/>
                    </a:ln>
                  </pic:spPr>
                </pic:pic>
              </a:graphicData>
            </a:graphic>
          </wp:inline>
        </w:drawing>
      </w:r>
      <w:r>
        <w:rPr>
          <w:color w:val="auto"/>
        </w:rPr>
        <w:t xml:space="preserve">              （5.2.18-2）</w:t>
      </w:r>
    </w:p>
    <w:p w14:paraId="4ECAFDE9">
      <w:pPr>
        <w:jc w:val="right"/>
        <w:rPr>
          <w:color w:val="auto"/>
        </w:rPr>
      </w:pPr>
      <w:r>
        <w:rPr>
          <w:color w:val="auto"/>
          <w:position w:val="-12"/>
        </w:rPr>
        <w:drawing>
          <wp:inline distT="0" distB="0" distL="114300" distR="114300">
            <wp:extent cx="1447800" cy="247650"/>
            <wp:effectExtent l="0" t="0" r="0" b="6350"/>
            <wp:docPr id="1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7"/>
                    <pic:cNvPicPr>
                      <a:picLocks noChangeAspect="1"/>
                    </pic:cNvPicPr>
                  </pic:nvPicPr>
                  <pic:blipFill>
                    <a:blip r:embed="rId262"/>
                    <a:stretch>
                      <a:fillRect/>
                    </a:stretch>
                  </pic:blipFill>
                  <pic:spPr>
                    <a:xfrm>
                      <a:off x="0" y="0"/>
                      <a:ext cx="1447800" cy="247650"/>
                    </a:xfrm>
                    <a:prstGeom prst="rect">
                      <a:avLst/>
                    </a:prstGeom>
                    <a:noFill/>
                    <a:ln>
                      <a:noFill/>
                    </a:ln>
                  </pic:spPr>
                </pic:pic>
              </a:graphicData>
            </a:graphic>
          </wp:inline>
        </w:drawing>
      </w:r>
      <w:r>
        <w:rPr>
          <w:color w:val="auto"/>
        </w:rPr>
        <w:t xml:space="preserve">                  （5.2.18-3）</w:t>
      </w:r>
    </w:p>
    <w:p w14:paraId="61D8E9B9">
      <w:pPr>
        <w:ind w:left="1478" w:hanging="1478" w:hangingChars="616"/>
        <w:rPr>
          <w:color w:val="auto"/>
        </w:rPr>
      </w:pPr>
      <w:r>
        <w:rPr>
          <w:color w:val="auto"/>
        </w:rPr>
        <w:t>式中：</w:t>
      </w:r>
      <w:r>
        <w:rPr>
          <w:color w:val="auto"/>
          <w:position w:val="-10"/>
        </w:rPr>
        <w:object>
          <v:shape id="_x0000_i1151" o:spt="75" type="#_x0000_t75" style="height:15pt;width:15pt;" o:ole="t" filled="f" o:preferrelative="t" stroked="f" coordsize="21600,21600">
            <v:path/>
            <v:fill on="f" focussize="0,0"/>
            <v:stroke on="f" joinstyle="miter"/>
            <v:imagedata r:id="rId264" o:title=""/>
            <o:lock v:ext="edit" aspectratio="t"/>
            <w10:wrap type="none"/>
            <w10:anchorlock/>
          </v:shape>
          <o:OLEObject Type="Embed" ProgID="Equation.3" ShapeID="_x0000_i1151" DrawAspect="Content" ObjectID="_1468075851" r:id="rId263">
            <o:LockedField>false</o:LockedField>
          </o:OLEObject>
        </w:object>
      </w:r>
      <w:r>
        <w:rPr>
          <w:color w:val="auto"/>
        </w:rPr>
        <w:t>——抗隆起安全系数；安全等级为一级、二级、三级的支护结构，</w:t>
      </w:r>
      <w:r>
        <w:rPr>
          <w:color w:val="auto"/>
          <w:position w:val="-10"/>
        </w:rPr>
        <w:object>
          <v:shape id="_x0000_i1152" o:spt="75" type="#_x0000_t75" style="height:15pt;width:15pt;" o:ole="t" filled="f" o:preferrelative="t" stroked="f" coordsize="21600,21600">
            <v:path/>
            <v:fill on="f" focussize="0,0"/>
            <v:stroke on="f" joinstyle="miter"/>
            <v:imagedata r:id="rId264" o:title=""/>
            <o:lock v:ext="edit" aspectratio="t"/>
            <w10:wrap type="none"/>
            <w10:anchorlock/>
          </v:shape>
          <o:OLEObject Type="Embed" ProgID="Equation.3" ShapeID="_x0000_i1152" DrawAspect="Content" ObjectID="_1468075852" r:id="rId265">
            <o:LockedField>false</o:LockedField>
          </o:OLEObject>
        </w:object>
      </w:r>
      <w:r>
        <w:rPr>
          <w:color w:val="auto"/>
        </w:rPr>
        <w:t>分别不应小于1.80、1.60、1.40；</w:t>
      </w:r>
    </w:p>
    <w:p w14:paraId="1DA00547">
      <w:pPr>
        <w:ind w:left="1466" w:leftChars="308" w:hanging="727" w:hangingChars="303"/>
        <w:jc w:val="left"/>
        <w:rPr>
          <w:color w:val="auto"/>
        </w:rPr>
      </w:pPr>
      <w:r>
        <w:rPr>
          <w:color w:val="auto"/>
          <w:position w:val="-10"/>
        </w:rPr>
        <w:object>
          <v:shape id="_x0000_i1153" o:spt="75" type="#_x0000_t75" style="height:15pt;width:17pt;" o:ole="t" filled="f" o:preferrelative="t" stroked="f" coordsize="21600,21600">
            <v:path/>
            <v:fill on="f" focussize="0,0"/>
            <v:stroke on="f" joinstyle="miter"/>
            <v:imagedata r:id="rId267" o:title=""/>
            <o:lock v:ext="edit" aspectratio="t"/>
            <w10:wrap type="none"/>
            <w10:anchorlock/>
          </v:shape>
          <o:OLEObject Type="Embed" ProgID="Equation.3" ShapeID="_x0000_i1153" DrawAspect="Content" ObjectID="_1468075853" r:id="rId266">
            <o:LockedField>false</o:LockedField>
          </o:OLEObject>
        </w:object>
      </w:r>
      <w:r>
        <w:rPr>
          <w:color w:val="auto"/>
        </w:rPr>
        <w:t>、</w:t>
      </w:r>
      <w:r>
        <w:rPr>
          <w:color w:val="auto"/>
          <w:position w:val="-10"/>
        </w:rPr>
        <w:object>
          <v:shape id="_x0000_i1154" o:spt="75" type="#_x0000_t75" style="height:15pt;width:17.5pt;" o:ole="t" filled="f" o:preferrelative="t" stroked="f" coordsize="21600,21600">
            <v:path/>
            <v:fill on="f" focussize="0,0"/>
            <v:stroke on="f" joinstyle="miter"/>
            <v:imagedata r:id="rId269" o:title=""/>
            <o:lock v:ext="edit" aspectratio="t"/>
            <w10:wrap type="none"/>
            <w10:anchorlock/>
          </v:shape>
          <o:OLEObject Type="Embed" ProgID="Equation.3" ShapeID="_x0000_i1154" DrawAspect="Content" ObjectID="_1468075854" r:id="rId268">
            <o:LockedField>false</o:LockedField>
          </o:OLEObject>
        </w:object>
      </w:r>
      <w:r>
        <w:rPr>
          <w:color w:val="auto"/>
        </w:rPr>
        <w:t>——分别为明挖段外侧、内侧挡土构件底面以上土的天然重度（KN/m³）；对多层土取各层土按厚度加权的平均重度；</w:t>
      </w:r>
    </w:p>
    <w:p w14:paraId="0043F650">
      <w:pPr>
        <w:ind w:firstLine="739" w:firstLineChars="308"/>
        <w:rPr>
          <w:color w:val="auto"/>
        </w:rPr>
      </w:pPr>
      <w:r>
        <w:rPr>
          <w:color w:val="auto"/>
          <w:position w:val="-10"/>
        </w:rPr>
        <w:object>
          <v:shape id="_x0000_i1155" o:spt="75" type="#_x0000_t75" style="height:15pt;width:12pt;" o:ole="t" filled="f" o:preferrelative="t" stroked="f" coordsize="21600,21600">
            <v:path/>
            <v:fill on="f" focussize="0,0"/>
            <v:stroke on="f" joinstyle="miter"/>
            <v:imagedata r:id="rId271" o:title=""/>
            <o:lock v:ext="edit" aspectratio="t"/>
            <w10:wrap type="none"/>
            <w10:anchorlock/>
          </v:shape>
          <o:OLEObject Type="Embed" ProgID="Equation.3" ShapeID="_x0000_i1155" DrawAspect="Content" ObjectID="_1468075855" r:id="rId270">
            <o:LockedField>false</o:LockedField>
          </o:OLEObject>
        </w:object>
      </w:r>
      <w:r>
        <w:rPr>
          <w:color w:val="auto"/>
        </w:rPr>
        <w:t>——挡土构件的嵌固深度（m）；</w:t>
      </w:r>
    </w:p>
    <w:p w14:paraId="5639E139">
      <w:pPr>
        <w:ind w:firstLine="720" w:firstLineChars="300"/>
        <w:rPr>
          <w:color w:val="auto"/>
        </w:rPr>
      </w:pPr>
      <w:r>
        <w:rPr>
          <w:color w:val="auto"/>
        </w:rPr>
        <w:t>h——明挖段深度（m）；</w:t>
      </w:r>
    </w:p>
    <w:p w14:paraId="2C7526C4">
      <w:pPr>
        <w:ind w:firstLine="600" w:firstLineChars="250"/>
        <w:rPr>
          <w:color w:val="auto"/>
        </w:rPr>
      </w:pPr>
      <w:r>
        <w:rPr>
          <w:color w:val="auto"/>
        </w:rPr>
        <w:object>
          <v:shape id="_x0000_i1156" o:spt="75" type="#_x0000_t75" style="height:15pt;width:12.5pt;" o:ole="t" filled="f" o:preferrelative="t" stroked="f" coordsize="21600,21600">
            <v:path/>
            <v:fill on="f" focussize="0,0"/>
            <v:stroke on="f" joinstyle="miter"/>
            <v:imagedata r:id="rId273" o:title=""/>
            <o:lock v:ext="edit" aspectratio="t"/>
            <w10:wrap type="none"/>
            <w10:anchorlock/>
          </v:shape>
          <o:OLEObject Type="Embed" ProgID="Equation.3" ShapeID="_x0000_i1156" DrawAspect="Content" ObjectID="_1468075856" r:id="rId272">
            <o:LockedField>false</o:LockedField>
          </o:OLEObject>
        </w:object>
      </w:r>
      <w:r>
        <w:rPr>
          <w:color w:val="auto"/>
        </w:rPr>
        <w:t>——地面均布荷载（kPa）；</w:t>
      </w:r>
    </w:p>
    <w:p w14:paraId="10F9FFDB">
      <w:pPr>
        <w:ind w:firstLine="619" w:firstLineChars="258"/>
        <w:rPr>
          <w:color w:val="auto"/>
        </w:rPr>
      </w:pPr>
      <w:r>
        <w:rPr>
          <w:color w:val="auto"/>
          <w:position w:val="-10"/>
        </w:rPr>
        <w:object>
          <v:shape id="_x0000_i1157" o:spt="75" type="#_x0000_t75" style="height:15pt;width:15pt;" o:ole="t" filled="f" o:preferrelative="t" stroked="f" coordsize="21600,21600">
            <v:path/>
            <v:fill on="f" focussize="0,0"/>
            <v:stroke on="f" joinstyle="miter"/>
            <v:imagedata r:id="rId275" o:title=""/>
            <o:lock v:ext="edit" aspectratio="t"/>
            <w10:wrap type="none"/>
            <w10:anchorlock/>
          </v:shape>
          <o:OLEObject Type="Embed" ProgID="Equation.3" ShapeID="_x0000_i1157" DrawAspect="Content" ObjectID="_1468075857" r:id="rId274">
            <o:LockedField>false</o:LockedField>
          </o:OLEObject>
        </w:object>
      </w:r>
      <w:r>
        <w:rPr>
          <w:color w:val="auto"/>
        </w:rPr>
        <w:t>、</w:t>
      </w:r>
      <w:r>
        <w:rPr>
          <w:color w:val="auto"/>
          <w:position w:val="-12"/>
        </w:rPr>
        <w:object>
          <v:shape id="_x0000_i1158" o:spt="75" type="#_x0000_t75" style="height:17.5pt;width:15pt;" o:ole="t" filled="f" o:preferrelative="t" stroked="f" coordsize="21600,21600">
            <v:path/>
            <v:fill on="f" focussize="0,0"/>
            <v:stroke on="f" joinstyle="miter"/>
            <v:imagedata r:id="rId277" o:title=""/>
            <o:lock v:ext="edit" aspectratio="t"/>
            <w10:wrap type="none"/>
            <w10:anchorlock/>
          </v:shape>
          <o:OLEObject Type="Embed" ProgID="Equation.3" ShapeID="_x0000_i1158" DrawAspect="Content" ObjectID="_1468075858" r:id="rId276">
            <o:LockedField>false</o:LockedField>
          </o:OLEObject>
        </w:object>
      </w:r>
      <w:r>
        <w:rPr>
          <w:color w:val="auto"/>
        </w:rPr>
        <w:t>——承载力系数；</w:t>
      </w:r>
    </w:p>
    <w:p w14:paraId="34BFB911">
      <w:pPr>
        <w:ind w:left="1608" w:leftChars="265" w:hanging="972" w:hangingChars="405"/>
        <w:rPr>
          <w:color w:val="auto"/>
        </w:rPr>
      </w:pPr>
      <w:r>
        <w:rPr>
          <w:color w:val="auto"/>
          <w:position w:val="-10"/>
        </w:rPr>
        <w:object>
          <v:shape id="_x0000_i1159" o:spt="75" type="#_x0000_t75" style="height:12.5pt;width:25pt;" o:ole="t" filled="f" o:preferrelative="t" stroked="f" coordsize="21600,21600">
            <v:path/>
            <v:fill on="f" focussize="0,0"/>
            <v:stroke on="f" joinstyle="miter"/>
            <v:imagedata r:id="rId279" o:title=""/>
            <o:lock v:ext="edit" aspectratio="t"/>
            <w10:wrap type="none"/>
            <w10:anchorlock/>
          </v:shape>
          <o:OLEObject Type="Embed" ProgID="Equation.3" ShapeID="_x0000_i1159" DrawAspect="Content" ObjectID="_1468075859" r:id="rId278">
            <o:LockedField>false</o:LockedField>
          </o:OLEObject>
        </w:object>
      </w:r>
      <w:r>
        <w:rPr>
          <w:color w:val="auto"/>
        </w:rPr>
        <w:t>——分别为挡土构件底面以下土的黏聚力（kPa）、内摩擦角（°），按本规程第5.2.3条的规定取值。</w:t>
      </w:r>
    </w:p>
    <w:p w14:paraId="0134EEE2">
      <w:pPr>
        <w:ind w:firstLine="0"/>
        <w:jc w:val="center"/>
        <w:rPr>
          <w:color w:val="auto"/>
        </w:rPr>
      </w:pPr>
      <w:r>
        <w:rPr>
          <w:color w:val="auto"/>
        </w:rPr>
        <w:object>
          <v:shape id="_x0000_i1160" o:spt="75" type="#_x0000_t75" style="height:156pt;width:317.5pt;" o:ole="t" filled="f" o:preferrelative="t" stroked="f" coordsize="21600,21600">
            <v:path/>
            <v:fill on="f" focussize="0,0"/>
            <v:stroke on="f" joinstyle="miter"/>
            <v:imagedata r:id="rId281" cropleft="31382f" croptop="25199f" cropright="23336f" cropbottom="17437f" o:title=""/>
            <o:lock v:ext="edit" aspectratio="f"/>
            <w10:wrap type="none"/>
            <w10:anchorlock/>
          </v:shape>
          <o:OLEObject Type="Embed" ProgID="AutoCAD.Drawing.20" ShapeID="_x0000_i1160" DrawAspect="Content" ObjectID="_1468075860" r:id="rId280">
            <o:LockedField>false</o:LockedField>
          </o:OLEObject>
        </w:object>
      </w:r>
    </w:p>
    <w:p w14:paraId="23DC5DB3">
      <w:pPr>
        <w:ind w:firstLine="0"/>
        <w:jc w:val="center"/>
        <w:rPr>
          <w:b/>
          <w:bCs/>
          <w:color w:val="auto"/>
          <w:sz w:val="21"/>
          <w:szCs w:val="21"/>
        </w:rPr>
      </w:pPr>
      <w:r>
        <w:rPr>
          <w:b/>
          <w:bCs/>
          <w:color w:val="auto"/>
          <w:sz w:val="21"/>
          <w:szCs w:val="21"/>
        </w:rPr>
        <w:t>图5.2.18-1　挡土构件底端平面下土的抗隆起稳定性验算</w:t>
      </w:r>
    </w:p>
    <w:p w14:paraId="019F2B7B">
      <w:pPr>
        <w:ind w:left="851" w:leftChars="201" w:hanging="369" w:hangingChars="153"/>
        <w:rPr>
          <w:bCs/>
          <w:color w:val="auto"/>
        </w:rPr>
      </w:pPr>
      <w:r>
        <w:rPr>
          <w:b/>
          <w:bCs/>
          <w:color w:val="auto"/>
        </w:rPr>
        <w:t>2　</w:t>
      </w:r>
      <w:r>
        <w:rPr>
          <w:bCs/>
          <w:color w:val="auto"/>
        </w:rPr>
        <w:t>当挡土构件底面以下有软弱下卧层时，综合管廊明挖段坑底抗隆起稳定性的验算部位尚应包括软弱下卧层。软弱下卧层的隆起稳定性可按公式（5.2.18-1）验算，但式中的</w:t>
      </w:r>
      <w:r>
        <w:rPr>
          <w:bCs/>
          <w:color w:val="auto"/>
          <w:position w:val="-10"/>
        </w:rPr>
        <w:object>
          <v:shape id="_x0000_i1161" o:spt="75" type="#_x0000_t75" style="height:15pt;width:17pt;" o:ole="t" filled="f" o:preferrelative="t" stroked="f" coordsize="21600,21600">
            <v:path/>
            <v:fill on="f" focussize="0,0"/>
            <v:stroke on="f" joinstyle="miter"/>
            <v:imagedata r:id="rId283" o:title=""/>
            <o:lock v:ext="edit" aspectratio="t"/>
            <w10:wrap type="none"/>
            <w10:anchorlock/>
          </v:shape>
          <o:OLEObject Type="Embed" ProgID="Equation.3" ShapeID="_x0000_i1161" DrawAspect="Content" ObjectID="_1468075861" r:id="rId282">
            <o:LockedField>false</o:LockedField>
          </o:OLEObject>
        </w:object>
      </w:r>
      <w:r>
        <w:rPr>
          <w:bCs/>
          <w:color w:val="auto"/>
        </w:rPr>
        <w:t>、</w:t>
      </w:r>
      <w:r>
        <w:rPr>
          <w:bCs/>
          <w:color w:val="auto"/>
          <w:position w:val="-10"/>
        </w:rPr>
        <w:object>
          <v:shape id="_x0000_i1162" o:spt="75" type="#_x0000_t75" style="height:15pt;width:17.5pt;" o:ole="t" filled="f" o:preferrelative="t" stroked="f" coordsize="21600,21600">
            <v:path/>
            <v:fill on="f" focussize="0,0"/>
            <v:stroke on="f" joinstyle="miter"/>
            <v:imagedata r:id="rId285" o:title=""/>
            <o:lock v:ext="edit" aspectratio="t"/>
            <w10:wrap type="none"/>
            <w10:anchorlock/>
          </v:shape>
          <o:OLEObject Type="Embed" ProgID="Equation.3" ShapeID="_x0000_i1162" DrawAspect="Content" ObjectID="_1468075862" r:id="rId284">
            <o:LockedField>false</o:LockedField>
          </o:OLEObject>
        </w:object>
      </w:r>
      <w:r>
        <w:rPr>
          <w:bCs/>
          <w:color w:val="auto"/>
        </w:rPr>
        <w:t>应取软弱下卧层顶面以上土的重度（图5.2.18-2），</w:t>
      </w:r>
      <w:r>
        <w:rPr>
          <w:bCs/>
          <w:color w:val="auto"/>
          <w:position w:val="-10"/>
        </w:rPr>
        <w:object>
          <v:shape id="_x0000_i1163" o:spt="75" type="#_x0000_t75" style="height:15pt;width:12pt;" o:ole="t" filled="f" o:preferrelative="t" stroked="f" coordsize="21600,21600">
            <v:path/>
            <v:fill on="f" focussize="0,0"/>
            <v:stroke on="f" joinstyle="miter"/>
            <v:imagedata r:id="rId287" o:title=""/>
            <o:lock v:ext="edit" aspectratio="t"/>
            <w10:wrap type="none"/>
            <w10:anchorlock/>
          </v:shape>
          <o:OLEObject Type="Embed" ProgID="Equation.3" ShapeID="_x0000_i1163" DrawAspect="Content" ObjectID="_1468075863" r:id="rId286">
            <o:LockedField>false</o:LockedField>
          </o:OLEObject>
        </w:object>
      </w:r>
      <w:r>
        <w:rPr>
          <w:bCs/>
          <w:color w:val="auto"/>
        </w:rPr>
        <w:t>应以D代替。</w:t>
      </w:r>
    </w:p>
    <w:p w14:paraId="6337ED57">
      <w:pPr>
        <w:ind w:firstLine="360" w:firstLineChars="200"/>
        <w:jc w:val="left"/>
        <w:rPr>
          <w:color w:val="auto"/>
          <w:sz w:val="18"/>
          <w:szCs w:val="18"/>
        </w:rPr>
      </w:pPr>
      <w:r>
        <w:rPr>
          <w:color w:val="auto"/>
          <w:sz w:val="18"/>
          <w:szCs w:val="18"/>
        </w:rPr>
        <w:t>注：D为明挖段基坑底面至软弱下卧层顶面的土层厚度（m）。</w:t>
      </w:r>
    </w:p>
    <w:p w14:paraId="537CBB87">
      <w:pPr>
        <w:ind w:firstLine="482" w:firstLineChars="200"/>
        <w:rPr>
          <w:bCs/>
          <w:color w:val="auto"/>
        </w:rPr>
      </w:pPr>
      <w:r>
        <w:rPr>
          <w:b/>
          <w:bCs/>
          <w:color w:val="auto"/>
        </w:rPr>
        <w:t>3　</w:t>
      </w:r>
      <w:r>
        <w:rPr>
          <w:bCs/>
          <w:color w:val="auto"/>
        </w:rPr>
        <w:t>横列板式支护的</w:t>
      </w:r>
      <w:r>
        <w:t>综合管廊明挖段沟槽支护</w:t>
      </w:r>
      <w:r>
        <w:rPr>
          <w:bCs/>
          <w:color w:val="auto"/>
        </w:rPr>
        <w:t>工程，应按下式验算坑底抗隆起稳定性：</w:t>
      </w:r>
    </w:p>
    <w:p w14:paraId="1BC893C7">
      <w:pPr>
        <w:ind w:firstLine="480" w:firstLineChars="200"/>
        <w:jc w:val="right"/>
        <w:rPr>
          <w:color w:val="auto"/>
        </w:rPr>
      </w:pPr>
      <w:r>
        <w:rPr>
          <w:bCs/>
          <w:color w:val="auto"/>
          <w:position w:val="-30"/>
        </w:rPr>
        <w:object>
          <v:shape id="_x0000_i1164" o:spt="75" type="#_x0000_t75" style="height:34pt;width:109.95pt;" o:ole="t" filled="f" o:preferrelative="t" stroked="f" coordsize="21600,21600">
            <v:path/>
            <v:fill on="f" focussize="0,0"/>
            <v:stroke on="f" joinstyle="miter"/>
            <v:imagedata r:id="rId289" o:title=""/>
            <o:lock v:ext="edit" aspectratio="t"/>
            <w10:wrap type="none"/>
            <w10:anchorlock/>
          </v:shape>
          <o:OLEObject Type="Embed" ProgID="Equation.3" ShapeID="_x0000_i1164" DrawAspect="Content" ObjectID="_1468075864" r:id="rId288">
            <o:LockedField>false</o:LockedField>
          </o:OLEObject>
        </w:object>
      </w:r>
      <w:r>
        <w:t xml:space="preserve">               （</w:t>
      </w:r>
      <w:r>
        <w:rPr>
          <w:color w:val="auto"/>
        </w:rPr>
        <w:t>5.2.18-4）</w:t>
      </w:r>
    </w:p>
    <w:p w14:paraId="3AABCDBA">
      <w:pPr>
        <w:ind w:left="1478" w:hanging="1478" w:hangingChars="616"/>
        <w:jc w:val="left"/>
        <w:rPr>
          <w:color w:val="auto"/>
        </w:rPr>
      </w:pPr>
      <w:r>
        <w:rPr>
          <w:color w:val="auto"/>
        </w:rPr>
        <w:t>式中：</w:t>
      </w:r>
      <w:r>
        <w:rPr>
          <w:bCs/>
          <w:color w:val="auto"/>
          <w:position w:val="-12"/>
        </w:rPr>
        <w:object>
          <v:shape id="_x0000_i1165" o:spt="75" type="#_x0000_t75" style="height:18pt;width:14pt;" o:ole="t" filled="f" o:preferrelative="t" stroked="f" coordsize="21600,21600">
            <v:path/>
            <v:fill on="f" focussize="0,0"/>
            <v:stroke on="f" joinstyle="miter"/>
            <v:imagedata r:id="rId291" o:title=""/>
            <o:lock v:ext="edit" aspectratio="t"/>
            <w10:wrap type="none"/>
            <w10:anchorlock/>
          </v:shape>
          <o:OLEObject Type="Embed" ProgID="Equation.3" ShapeID="_x0000_i1165" DrawAspect="Content" ObjectID="_1468075865" r:id="rId290">
            <o:LockedField>false</o:LockedField>
          </o:OLEObject>
        </w:object>
      </w:r>
      <w:r>
        <w:rPr>
          <w:color w:val="auto"/>
        </w:rPr>
        <w:t>——作用分项系数，取1.0；</w:t>
      </w:r>
    </w:p>
    <w:p w14:paraId="095B0FDA">
      <w:pPr>
        <w:ind w:left="1478" w:leftChars="300" w:hanging="758" w:hangingChars="316"/>
        <w:jc w:val="left"/>
        <w:rPr>
          <w:color w:val="auto"/>
        </w:rPr>
      </w:pPr>
      <w:r>
        <w:rPr>
          <w:bCs/>
          <w:color w:val="auto"/>
          <w:position w:val="-12"/>
        </w:rPr>
        <w:object>
          <v:shape id="_x0000_i1166" o:spt="75" type="#_x0000_t75" style="height:18pt;width:14pt;" o:ole="t" filled="f" o:preferrelative="t" stroked="f" coordsize="21600,21600">
            <v:path/>
            <v:fill on="f" focussize="0,0"/>
            <v:stroke on="f" joinstyle="miter"/>
            <v:imagedata r:id="rId293" o:title=""/>
            <o:lock v:ext="edit" aspectratio="t"/>
            <w10:wrap type="none"/>
            <w10:anchorlock/>
          </v:shape>
          <o:OLEObject Type="Embed" ProgID="Equation.3" ShapeID="_x0000_i1166" DrawAspect="Content" ObjectID="_1468075866" r:id="rId292">
            <o:LockedField>false</o:LockedField>
          </o:OLEObject>
        </w:object>
      </w:r>
      <w:r>
        <w:rPr>
          <w:color w:val="auto"/>
        </w:rPr>
        <w:t>——坑底以上土体的天然重度加权平均值（kN/m³）；</w:t>
      </w:r>
    </w:p>
    <w:p w14:paraId="2D5B1545">
      <w:pPr>
        <w:ind w:firstLine="614" w:firstLineChars="256"/>
        <w:jc w:val="left"/>
        <w:rPr>
          <w:color w:val="auto"/>
        </w:rPr>
      </w:pPr>
      <w:r>
        <w:rPr>
          <w:bCs/>
          <w:color w:val="auto"/>
          <w:position w:val="-10"/>
        </w:rPr>
        <w:object>
          <v:shape id="_x0000_i1167" o:spt="75" type="#_x0000_t75" style="height:17pt;width:20.5pt;" o:ole="t" filled="f" o:preferrelative="t" stroked="f" coordsize="21600,21600">
            <v:path/>
            <v:fill on="f" focussize="0,0"/>
            <v:stroke on="f" joinstyle="miter"/>
            <v:imagedata r:id="rId295" o:title=""/>
            <o:lock v:ext="edit" aspectratio="t"/>
            <w10:wrap type="none"/>
            <w10:anchorlock/>
          </v:shape>
          <o:OLEObject Type="Embed" ProgID="Equation.3" ShapeID="_x0000_i1167" DrawAspect="Content" ObjectID="_1468075867" r:id="rId294">
            <o:LockedField>false</o:LockedField>
          </o:OLEObject>
        </w:object>
      </w:r>
      <w:r>
        <w:rPr>
          <w:color w:val="auto"/>
        </w:rPr>
        <w:t>——抗隆起分项系数，取1.2；</w:t>
      </w:r>
    </w:p>
    <w:p w14:paraId="47AB739B">
      <w:pPr>
        <w:ind w:firstLine="720" w:firstLineChars="300"/>
        <w:jc w:val="left"/>
        <w:rPr>
          <w:color w:val="auto"/>
        </w:rPr>
      </w:pPr>
      <w:r>
        <w:rPr>
          <w:bCs/>
          <w:color w:val="auto"/>
          <w:position w:val="-12"/>
        </w:rPr>
        <w:object>
          <v:shape id="_x0000_i1168" o:spt="75" type="#_x0000_t75" style="height:18pt;width:14pt;" o:ole="t" filled="f" o:preferrelative="t" stroked="f" coordsize="21600,21600">
            <v:path/>
            <v:fill on="f" focussize="0,0"/>
            <v:stroke on="f" joinstyle="miter"/>
            <v:imagedata r:id="rId297" o:title=""/>
            <o:lock v:ext="edit" aspectratio="t"/>
            <w10:wrap type="none"/>
            <w10:anchorlock/>
          </v:shape>
          <o:OLEObject Type="Embed" ProgID="Equation.3" ShapeID="_x0000_i1168" DrawAspect="Content" ObjectID="_1468075868" r:id="rId296">
            <o:LockedField>false</o:LockedField>
          </o:OLEObject>
        </w:object>
      </w:r>
      <w:r>
        <w:rPr>
          <w:color w:val="auto"/>
        </w:rPr>
        <w:t>——地面均布荷载（kPa）；</w:t>
      </w:r>
    </w:p>
    <w:p w14:paraId="09DF5359">
      <w:pPr>
        <w:ind w:left="1274" w:leftChars="200" w:hanging="794" w:hangingChars="331"/>
        <w:jc w:val="left"/>
        <w:rPr>
          <w:color w:val="auto"/>
        </w:rPr>
      </w:pPr>
      <w:r>
        <w:rPr>
          <w:position w:val="-6"/>
        </w:rPr>
        <w:object>
          <v:shape id="_x0000_i1169" o:spt="75" type="#_x0000_t75" style="height:10pt;width:15pt;" o:ole="t" filled="f" o:preferrelative="t" stroked="f" coordsize="21600,21600">
            <v:path/>
            <v:fill on="f" focussize="0,0"/>
            <v:stroke on="f" joinstyle="miter"/>
            <v:imagedata r:id="rId299" o:title=""/>
            <o:lock v:ext="edit" aspectratio="t"/>
            <w10:wrap type="none"/>
            <w10:anchorlock/>
          </v:shape>
          <o:OLEObject Type="Embed" ProgID="Equation.DSMT4" ShapeID="_x0000_i1169" DrawAspect="Content" ObjectID="_1468075869" r:id="rId298">
            <o:LockedField>false</o:LockedField>
          </o:OLEObject>
        </w:object>
      </w:r>
      <w:r>
        <w:rPr>
          <w:color w:val="auto"/>
        </w:rPr>
        <w:t>——坑底土体不排水抗剪强度标准值（kPa），采用现场十字板剪切或室内三轴不固结不排水剪的强度指标。</w:t>
      </w:r>
    </w:p>
    <w:p w14:paraId="6EECE691">
      <w:pPr>
        <w:ind w:firstLine="482" w:firstLineChars="200"/>
        <w:jc w:val="left"/>
        <w:rPr>
          <w:bCs/>
          <w:color w:val="auto"/>
        </w:rPr>
      </w:pPr>
      <w:r>
        <w:rPr>
          <w:b/>
          <w:bCs/>
          <w:color w:val="auto"/>
        </w:rPr>
        <w:t>4　</w:t>
      </w:r>
      <w:r>
        <w:rPr>
          <w:bCs/>
          <w:color w:val="auto"/>
        </w:rPr>
        <w:t>悬臂式支挡结构可不进行隆起稳定性验算。</w:t>
      </w:r>
    </w:p>
    <w:p w14:paraId="622EA85B">
      <w:pPr>
        <w:ind w:firstLine="0"/>
        <w:jc w:val="center"/>
        <w:rPr>
          <w:color w:val="auto"/>
        </w:rPr>
      </w:pPr>
      <w:r>
        <w:rPr>
          <w:color w:val="auto"/>
        </w:rPr>
        <w:object>
          <v:shape id="_x0000_i1170" o:spt="75" type="#_x0000_t75" style="height:164.5pt;width:266.5pt;" o:ole="t" filled="f" o:preferrelative="t" stroked="f" coordsize="21600,21600">
            <v:path/>
            <v:fill on="f" focussize="0,0"/>
            <v:stroke on="f" joinstyle="miter"/>
            <v:imagedata r:id="rId301" cropleft="43685f" croptop="25920f" cropright="11663f" cropbottom="15804f" o:title=""/>
            <o:lock v:ext="edit" aspectratio="f"/>
            <w10:wrap type="none"/>
            <w10:anchorlock/>
          </v:shape>
          <o:OLEObject Type="Embed" ProgID="AutoCAD.Drawing.20" ShapeID="_x0000_i1170" DrawAspect="Content" ObjectID="_1468075870" r:id="rId300">
            <o:LockedField>false</o:LockedField>
          </o:OLEObject>
        </w:object>
      </w:r>
    </w:p>
    <w:p w14:paraId="00BEC755">
      <w:pPr>
        <w:ind w:firstLine="0"/>
        <w:jc w:val="center"/>
        <w:rPr>
          <w:b/>
          <w:bCs/>
          <w:color w:val="auto"/>
          <w:sz w:val="21"/>
          <w:szCs w:val="21"/>
        </w:rPr>
      </w:pPr>
      <w:r>
        <w:rPr>
          <w:b/>
          <w:bCs/>
          <w:color w:val="auto"/>
          <w:sz w:val="21"/>
          <w:szCs w:val="21"/>
        </w:rPr>
        <w:t>图5.2.18-2　软弱下卧层的隆起稳定性验算</w:t>
      </w:r>
    </w:p>
    <w:p w14:paraId="4D6301B7">
      <w:pPr>
        <w:ind w:firstLine="0"/>
        <w:rPr>
          <w:bCs/>
          <w:color w:val="auto"/>
        </w:rPr>
      </w:pPr>
      <w:r>
        <w:rPr>
          <w:b/>
          <w:bCs/>
          <w:color w:val="auto"/>
        </w:rPr>
        <w:t>5.2.19　</w:t>
      </w:r>
      <w:r>
        <w:rPr>
          <w:bCs/>
          <w:color w:val="auto"/>
        </w:rPr>
        <w:t>锚拉式支挡结构和支撑式支挡结构，当综合管廊明挖段坑底以下为软土时，其嵌固深度应符合下列以最下层支点为轴心的圆弧滑动稳定性要求（图5.2.19）：</w:t>
      </w:r>
    </w:p>
    <w:p w14:paraId="4AA01D25">
      <w:pPr>
        <w:ind w:firstLine="490"/>
        <w:jc w:val="right"/>
        <w:rPr>
          <w:color w:val="auto"/>
        </w:rPr>
      </w:pPr>
      <w:r>
        <w:rPr>
          <w:color w:val="auto"/>
          <w:position w:val="-32"/>
        </w:rPr>
        <w:object>
          <v:shape id="_x0000_i1171" o:spt="75" type="#_x0000_t75" style="height:38.5pt;width:225.5pt;" o:ole="t" filled="f" o:preferrelative="t" stroked="f" coordsize="21600,21600">
            <v:path/>
            <v:fill on="f" focussize="0,0"/>
            <v:stroke on="f" joinstyle="miter"/>
            <v:imagedata r:id="rId303" o:title=""/>
            <o:lock v:ext="edit" aspectratio="t"/>
            <w10:wrap type="none"/>
            <w10:anchorlock/>
          </v:shape>
          <o:OLEObject Type="Embed" ProgID="Equation.3" ShapeID="_x0000_i1171" DrawAspect="Content" ObjectID="_1468075871" r:id="rId302">
            <o:LockedField>false</o:LockedField>
          </o:OLEObject>
        </w:object>
      </w:r>
      <w:r>
        <w:rPr>
          <w:color w:val="auto"/>
        </w:rPr>
        <w:t xml:space="preserve">         （5.2.19）</w:t>
      </w:r>
    </w:p>
    <w:p w14:paraId="00593AF5">
      <w:pPr>
        <w:ind w:firstLine="0"/>
        <w:jc w:val="center"/>
        <w:rPr>
          <w:color w:val="auto"/>
        </w:rPr>
      </w:pPr>
      <w:r>
        <w:rPr>
          <w:color w:val="auto"/>
        </w:rPr>
        <w:object>
          <v:shape id="_x0000_i1172" o:spt="75" type="#_x0000_t75" style="height:159pt;width:210pt;" o:ole="t" filled="f" o:preferrelative="t" stroked="f" coordsize="21600,21600">
            <v:path/>
            <v:fill on="f" focussize="0,0"/>
            <v:stroke on="f" joinstyle="miter"/>
            <v:imagedata r:id="rId305" cropleft="23978f" croptop="9810f" cropright="23963f" cropbottom="16992f" o:title=""/>
            <o:lock v:ext="edit" aspectratio="f"/>
            <w10:wrap type="none"/>
            <w10:anchorlock/>
          </v:shape>
          <o:OLEObject Type="Embed" ProgID="AutoCAD.Drawing.20" ShapeID="_x0000_i1172" DrawAspect="Content" ObjectID="_1468075872" r:id="rId304">
            <o:LockedField>false</o:LockedField>
          </o:OLEObject>
        </w:object>
      </w:r>
    </w:p>
    <w:p w14:paraId="4A319D17">
      <w:pPr>
        <w:ind w:firstLine="0"/>
        <w:jc w:val="center"/>
        <w:rPr>
          <w:color w:val="auto"/>
          <w:sz w:val="18"/>
          <w:szCs w:val="18"/>
        </w:rPr>
      </w:pPr>
      <w:r>
        <w:rPr>
          <w:color w:val="auto"/>
          <w:sz w:val="18"/>
          <w:szCs w:val="18"/>
        </w:rPr>
        <w:t>1—任意圆弧滑动面；2—最下层支点</w:t>
      </w:r>
    </w:p>
    <w:p w14:paraId="791B4D97">
      <w:pPr>
        <w:ind w:firstLine="0"/>
        <w:jc w:val="center"/>
        <w:rPr>
          <w:b/>
          <w:bCs/>
          <w:color w:val="auto"/>
          <w:sz w:val="21"/>
          <w:szCs w:val="21"/>
        </w:rPr>
      </w:pPr>
      <w:r>
        <w:rPr>
          <w:b/>
          <w:bCs/>
          <w:color w:val="auto"/>
          <w:sz w:val="21"/>
          <w:szCs w:val="21"/>
        </w:rPr>
        <w:t>图5.2.19　以最下层支点为轴心的圆弧滑动稳定性验算</w:t>
      </w:r>
    </w:p>
    <w:p w14:paraId="43A8D35E">
      <w:pPr>
        <w:ind w:left="1519" w:hanging="1519" w:hangingChars="633"/>
        <w:rPr>
          <w:color w:val="auto"/>
        </w:rPr>
      </w:pPr>
      <w:r>
        <w:rPr>
          <w:color w:val="auto"/>
        </w:rPr>
        <w:t>式中：</w:t>
      </w:r>
      <w:r>
        <w:rPr>
          <w:color w:val="auto"/>
          <w:position w:val="-10"/>
        </w:rPr>
        <w:object>
          <v:shape id="_x0000_i1173" o:spt="75" type="#_x0000_t75" style="height:15pt;width:14.5pt;" o:ole="t" filled="f" o:preferrelative="t" stroked="f" coordsize="21600,21600">
            <v:path/>
            <v:fill on="f" focussize="0,0"/>
            <v:stroke on="f" joinstyle="miter"/>
            <v:imagedata r:id="rId307" o:title=""/>
            <o:lock v:ext="edit" aspectratio="t"/>
            <w10:wrap type="none"/>
            <w10:anchorlock/>
          </v:shape>
          <o:OLEObject Type="Embed" ProgID="Equation.3" ShapeID="_x0000_i1173" DrawAspect="Content" ObjectID="_1468075873" r:id="rId306">
            <o:LockedField>false</o:LockedField>
          </o:OLEObject>
        </w:object>
      </w:r>
      <w:r>
        <w:rPr>
          <w:color w:val="auto"/>
        </w:rPr>
        <w:t>——以最下层支点为轴心的圆弧滑动稳定安全系数；安全等级为一级、二级、三级的支挡式结构，</w:t>
      </w:r>
      <w:r>
        <w:rPr>
          <w:color w:val="auto"/>
          <w:position w:val="-10"/>
        </w:rPr>
        <w:object>
          <v:shape id="_x0000_i1174" o:spt="75" type="#_x0000_t75" style="height:15pt;width:14.5pt;" o:ole="t" filled="f" o:preferrelative="t" stroked="f" coordsize="21600,21600">
            <v:path/>
            <v:fill on="f" focussize="0,0"/>
            <v:stroke on="f" joinstyle="miter"/>
            <v:imagedata r:id="rId309" o:title=""/>
            <o:lock v:ext="edit" aspectratio="t"/>
            <w10:wrap type="none"/>
            <w10:anchorlock/>
          </v:shape>
          <o:OLEObject Type="Embed" ProgID="Equation.3" ShapeID="_x0000_i1174" DrawAspect="Content" ObjectID="_1468075874" r:id="rId308">
            <o:LockedField>false</o:LockedField>
          </o:OLEObject>
        </w:object>
      </w:r>
      <w:r>
        <w:rPr>
          <w:color w:val="auto"/>
        </w:rPr>
        <w:t>分别不应小于2.20、1.90、1.70；</w:t>
      </w:r>
    </w:p>
    <w:p w14:paraId="5DC85244">
      <w:pPr>
        <w:ind w:left="1560" w:leftChars="145" w:hanging="1212" w:hangingChars="505"/>
        <w:rPr>
          <w:color w:val="auto"/>
        </w:rPr>
      </w:pPr>
      <w:r>
        <w:rPr>
          <w:color w:val="auto"/>
        </w:rPr>
        <w:object>
          <v:shape id="_x0000_i1175" o:spt="75" type="#_x0000_t75" style="height:19.5pt;width:12pt;" o:ole="t" filled="f" o:preferrelative="t" stroked="f" coordsize="21600,21600">
            <v:path/>
            <v:fill on="f" focussize="0,0"/>
            <v:stroke on="f" joinstyle="miter"/>
            <v:imagedata r:id="rId311" o:title=""/>
            <o:lock v:ext="edit" aspectratio="t"/>
            <w10:wrap type="none"/>
            <w10:anchorlock/>
          </v:shape>
          <o:OLEObject Type="Embed" ProgID="Equation.3" ShapeID="_x0000_i1175" DrawAspect="Content" ObjectID="_1468075875" r:id="rId310">
            <o:LockedField>false</o:LockedField>
          </o:OLEObject>
        </w:object>
      </w:r>
      <w:r>
        <w:rPr>
          <w:color w:val="auto"/>
        </w:rPr>
        <w:t>、</w:t>
      </w:r>
      <w:r>
        <w:rPr>
          <w:color w:val="auto"/>
        </w:rPr>
        <w:object>
          <v:shape id="_x0000_i1176" o:spt="75" type="#_x0000_t75" style="height:19.5pt;width:14pt;" o:ole="t" filled="f" o:preferrelative="t" stroked="f" coordsize="21600,21600">
            <v:path/>
            <v:fill on="f" focussize="0,0"/>
            <v:stroke on="f" joinstyle="miter"/>
            <v:imagedata r:id="rId313" o:title=""/>
            <o:lock v:ext="edit" aspectratio="t"/>
            <w10:wrap type="none"/>
            <w10:anchorlock/>
          </v:shape>
          <o:OLEObject Type="Embed" ProgID="Equation.3" ShapeID="_x0000_i1176" DrawAspect="Content" ObjectID="_1468075876" r:id="rId312">
            <o:LockedField>false</o:LockedField>
          </o:OLEObject>
        </w:object>
      </w:r>
      <w:r>
        <w:rPr>
          <w:color w:val="auto"/>
        </w:rPr>
        <w:t>——分别为第j土条在滑弧面处土的黏聚力（kPa）、内摩擦角（°），按本规程第5.2.3条规定取值；</w:t>
      </w:r>
    </w:p>
    <w:p w14:paraId="17E59D84">
      <w:pPr>
        <w:ind w:firstLine="739" w:firstLineChars="308"/>
        <w:rPr>
          <w:color w:val="auto"/>
        </w:rPr>
      </w:pPr>
      <w:r>
        <w:rPr>
          <w:color w:val="auto"/>
          <w:position w:val="-12"/>
        </w:rPr>
        <w:object>
          <v:shape id="_x0000_i1177" o:spt="75" type="#_x0000_t75" style="height:17.5pt;width:9pt;" o:ole="t" filled="f" o:preferrelative="t" stroked="f" coordsize="21600,21600">
            <v:path/>
            <v:fill on="f" focussize="0,0"/>
            <v:stroke on="f" joinstyle="miter"/>
            <v:imagedata r:id="rId315" o:title=""/>
            <o:lock v:ext="edit" aspectratio="t"/>
            <w10:wrap type="none"/>
            <w10:anchorlock/>
          </v:shape>
          <o:OLEObject Type="Embed" ProgID="Equation.3" ShapeID="_x0000_i1177" DrawAspect="Content" ObjectID="_1468075877" r:id="rId314">
            <o:LockedField>false</o:LockedField>
          </o:OLEObject>
        </w:object>
      </w:r>
      <w:r>
        <w:rPr>
          <w:color w:val="auto"/>
        </w:rPr>
        <w:t>——第j土条的滑弧长度（m），取</w:t>
      </w:r>
      <w:r>
        <w:rPr>
          <w:color w:val="auto"/>
          <w:position w:val="-12"/>
        </w:rPr>
        <w:object>
          <v:shape id="_x0000_i1178" o:spt="75" type="#_x0000_t75" style="height:17.5pt;width:59pt;" o:ole="t" filled="f" o:preferrelative="t" stroked="f" coordsize="21600,21600">
            <v:path/>
            <v:fill on="f" focussize="0,0"/>
            <v:stroke on="f" joinstyle="miter"/>
            <v:imagedata r:id="rId317" o:title=""/>
            <o:lock v:ext="edit" aspectratio="t"/>
            <w10:wrap type="none"/>
            <w10:anchorlock/>
          </v:shape>
          <o:OLEObject Type="Embed" ProgID="Equation.3" ShapeID="_x0000_i1178" DrawAspect="Content" ObjectID="_1468075878" r:id="rId316">
            <o:LockedField>false</o:LockedField>
          </o:OLEObject>
        </w:object>
      </w:r>
      <w:r>
        <w:rPr>
          <w:color w:val="auto"/>
        </w:rPr>
        <w:t>；</w:t>
      </w:r>
    </w:p>
    <w:p w14:paraId="5DE09CCC">
      <w:pPr>
        <w:ind w:firstLine="739" w:firstLineChars="308"/>
        <w:rPr>
          <w:color w:val="auto"/>
        </w:rPr>
      </w:pPr>
      <w:r>
        <w:rPr>
          <w:color w:val="auto"/>
          <w:position w:val="-12"/>
        </w:rPr>
        <w:object>
          <v:shape id="_x0000_i1179" o:spt="75" type="#_x0000_t75" style="height:17.5pt;width:12.5pt;" o:ole="t" filled="f" o:preferrelative="t" stroked="f" coordsize="21600,21600">
            <v:path/>
            <v:fill on="f" focussize="0,0"/>
            <v:stroke on="f" joinstyle="miter"/>
            <v:imagedata r:id="rId319" o:title=""/>
            <o:lock v:ext="edit" aspectratio="t"/>
            <w10:wrap type="none"/>
            <w10:anchorlock/>
          </v:shape>
          <o:OLEObject Type="Embed" ProgID="Equation.3" ShapeID="_x0000_i1179" DrawAspect="Content" ObjectID="_1468075879" r:id="rId318">
            <o:LockedField>false</o:LockedField>
          </o:OLEObject>
        </w:object>
      </w:r>
      <w:r>
        <w:rPr>
          <w:color w:val="auto"/>
        </w:rPr>
        <w:t>——第j土条顶面上的竖向压力标准值（kPa）；</w:t>
      </w:r>
    </w:p>
    <w:p w14:paraId="346CB26F">
      <w:pPr>
        <w:ind w:firstLine="739" w:firstLineChars="308"/>
        <w:rPr>
          <w:color w:val="auto"/>
        </w:rPr>
      </w:pPr>
      <w:r>
        <w:rPr>
          <w:color w:val="auto"/>
          <w:position w:val="-12"/>
        </w:rPr>
        <w:object>
          <v:shape id="_x0000_i1180" o:spt="75" type="#_x0000_t75" style="height:17.5pt;width:12.5pt;" o:ole="t" filled="f" o:preferrelative="t" stroked="f" coordsize="21600,21600">
            <v:path/>
            <v:fill on="f" focussize="0,0"/>
            <v:stroke on="f" joinstyle="miter"/>
            <v:imagedata r:id="rId321" o:title=""/>
            <o:lock v:ext="edit" aspectratio="t"/>
            <w10:wrap type="none"/>
            <w10:anchorlock/>
          </v:shape>
          <o:OLEObject Type="Embed" ProgID="Equation.3" ShapeID="_x0000_i1180" DrawAspect="Content" ObjectID="_1468075880" r:id="rId320">
            <o:LockedField>false</o:LockedField>
          </o:OLEObject>
        </w:object>
      </w:r>
      <w:r>
        <w:rPr>
          <w:color w:val="auto"/>
        </w:rPr>
        <w:t>——第j土条的宽度（m）；</w:t>
      </w:r>
    </w:p>
    <w:p w14:paraId="2B7CB50A">
      <w:pPr>
        <w:ind w:firstLine="739" w:firstLineChars="308"/>
        <w:rPr>
          <w:color w:val="auto"/>
        </w:rPr>
      </w:pPr>
      <w:r>
        <w:rPr>
          <w:color w:val="auto"/>
          <w:position w:val="-12"/>
        </w:rPr>
        <w:object>
          <v:shape id="_x0000_i1181" o:spt="75" type="#_x0000_t75" style="height:17.5pt;width:11.5pt;" o:ole="t" filled="f" o:preferrelative="t" stroked="f" coordsize="21600,21600">
            <v:path/>
            <v:fill on="f" focussize="0,0"/>
            <v:stroke on="f" joinstyle="miter"/>
            <v:imagedata r:id="rId323" o:title=""/>
            <o:lock v:ext="edit" aspectratio="t"/>
            <w10:wrap type="none"/>
            <w10:anchorlock/>
          </v:shape>
          <o:OLEObject Type="Embed" ProgID="Equation.3" ShapeID="_x0000_i1181" DrawAspect="Content" ObjectID="_1468075881" r:id="rId322">
            <o:LockedField>false</o:LockedField>
          </o:OLEObject>
        </w:object>
      </w:r>
      <w:r>
        <w:rPr>
          <w:color w:val="auto"/>
        </w:rPr>
        <w:t>——第j土条滑弧面中点处的法线与垂直面的夹角（°）；</w:t>
      </w:r>
    </w:p>
    <w:p w14:paraId="3C52E957">
      <w:pPr>
        <w:ind w:firstLine="739" w:firstLineChars="308"/>
        <w:rPr>
          <w:color w:val="auto"/>
        </w:rPr>
      </w:pPr>
      <w:r>
        <w:rPr>
          <w:color w:val="auto"/>
          <w:position w:val="-12"/>
        </w:rPr>
        <w:object>
          <v:shape id="_x0000_i1182" o:spt="75" type="#_x0000_t75" style="height:17.5pt;width:21pt;" o:ole="t" filled="f" o:preferrelative="t" stroked="f" coordsize="21600,21600">
            <v:path/>
            <v:fill on="f" focussize="0,0"/>
            <v:stroke on="f" joinstyle="miter"/>
            <v:imagedata r:id="rId325" o:title=""/>
            <o:lock v:ext="edit" aspectratio="t"/>
            <w10:wrap type="none"/>
            <w10:anchorlock/>
          </v:shape>
          <o:OLEObject Type="Embed" ProgID="Equation.3" ShapeID="_x0000_i1182" DrawAspect="Content" ObjectID="_1468075882" r:id="rId324">
            <o:LockedField>false</o:LockedField>
          </o:OLEObject>
        </w:object>
      </w:r>
      <w:r>
        <w:rPr>
          <w:color w:val="auto"/>
        </w:rPr>
        <w:t>——第j土条的自重（kN），按天然重度计算。</w:t>
      </w:r>
    </w:p>
    <w:p w14:paraId="11710A15">
      <w:pPr>
        <w:ind w:firstLine="0"/>
        <w:rPr>
          <w:bCs/>
          <w:color w:val="auto"/>
        </w:rPr>
      </w:pPr>
      <w:r>
        <w:rPr>
          <w:b/>
          <w:bCs/>
          <w:color w:val="auto"/>
        </w:rPr>
        <w:t>5.2.20　</w:t>
      </w:r>
      <w:r>
        <w:rPr>
          <w:bCs/>
          <w:color w:val="auto"/>
        </w:rPr>
        <w:t>采用悬挂式截水帷幕或综合管廊明挖段坑底以下存在水头高于明挖段坑底的承压水含水层时，应按本规程附录B的规定进行地下水渗透稳定性验算。</w:t>
      </w:r>
    </w:p>
    <w:p w14:paraId="3B44D5CD">
      <w:pPr>
        <w:ind w:firstLine="0"/>
        <w:rPr>
          <w:bCs/>
          <w:color w:val="auto"/>
        </w:rPr>
      </w:pPr>
      <w:r>
        <w:rPr>
          <w:b/>
          <w:bCs/>
          <w:color w:val="auto"/>
        </w:rPr>
        <w:t>5.2.21　</w:t>
      </w:r>
      <w:r>
        <w:rPr>
          <w:bCs/>
          <w:color w:val="auto"/>
        </w:rPr>
        <w:t>挡土构件的嵌固深度除应满足本规程第5.2.13条～第5.2.20条的规定外，对悬臂式结构，尚不宜小于0.8h；对单支点支挡结构，尚不宜小于0.3h；对多支点支挡式结构，尚不宜小于0.2h。</w:t>
      </w:r>
    </w:p>
    <w:p w14:paraId="66B3AB52">
      <w:pPr>
        <w:ind w:firstLine="360" w:firstLineChars="200"/>
        <w:rPr>
          <w:bCs/>
          <w:color w:val="auto"/>
          <w:sz w:val="18"/>
          <w:szCs w:val="18"/>
        </w:rPr>
      </w:pPr>
      <w:r>
        <w:rPr>
          <w:bCs/>
          <w:color w:val="auto"/>
          <w:sz w:val="18"/>
          <w:szCs w:val="18"/>
        </w:rPr>
        <w:t>注：h为明挖段深度。</w:t>
      </w:r>
    </w:p>
    <w:p w14:paraId="6720F9D1">
      <w:pPr>
        <w:spacing w:before="164" w:beforeLines="50" w:after="164" w:afterLines="50"/>
        <w:ind w:firstLine="0"/>
        <w:jc w:val="center"/>
        <w:outlineLvl w:val="2"/>
        <w:rPr>
          <w:rFonts w:eastAsia="仿宋"/>
          <w:b/>
          <w:bCs/>
          <w:color w:val="auto"/>
          <w:sz w:val="28"/>
          <w:szCs w:val="28"/>
        </w:rPr>
      </w:pPr>
      <w:bookmarkStart w:id="245" w:name="_Toc28241"/>
      <w:bookmarkStart w:id="246" w:name="_Toc10795"/>
      <w:bookmarkStart w:id="247" w:name="_Toc29935"/>
      <w:bookmarkStart w:id="248" w:name="_Toc22271"/>
      <w:bookmarkStart w:id="249" w:name="_Toc31050"/>
      <w:r>
        <w:rPr>
          <w:rFonts w:eastAsia="仿宋"/>
          <w:b/>
          <w:bCs/>
          <w:color w:val="auto"/>
          <w:sz w:val="28"/>
          <w:szCs w:val="28"/>
        </w:rPr>
        <w:t>Ⅱ  坡率法</w:t>
      </w:r>
      <w:bookmarkEnd w:id="245"/>
      <w:bookmarkEnd w:id="246"/>
      <w:bookmarkEnd w:id="247"/>
      <w:bookmarkEnd w:id="248"/>
      <w:bookmarkEnd w:id="249"/>
    </w:p>
    <w:p w14:paraId="05F4159C">
      <w:pPr>
        <w:ind w:firstLine="0"/>
        <w:rPr>
          <w:bCs/>
          <w:color w:val="auto"/>
        </w:rPr>
      </w:pPr>
      <w:r>
        <w:rPr>
          <w:b/>
          <w:bCs/>
          <w:color w:val="auto"/>
        </w:rPr>
        <w:t>5.2.22　</w:t>
      </w:r>
      <w:r>
        <w:rPr>
          <w:bCs/>
          <w:color w:val="auto"/>
        </w:rPr>
        <w:t>坡率法（图5.2.22）设计应符合下列规定：</w:t>
      </w:r>
    </w:p>
    <w:p w14:paraId="38585C6C">
      <w:pPr>
        <w:ind w:firstLine="0"/>
        <w:jc w:val="center"/>
        <w:rPr>
          <w:color w:val="auto"/>
        </w:rPr>
      </w:pPr>
    </w:p>
    <w:p w14:paraId="3DE23980">
      <w:pPr>
        <w:ind w:firstLine="0"/>
        <w:jc w:val="center"/>
        <w:rPr>
          <w:color w:val="auto"/>
        </w:rPr>
      </w:pPr>
      <w:r>
        <w:rPr>
          <w:color w:val="auto"/>
        </w:rPr>
        <w:drawing>
          <wp:inline distT="0" distB="0" distL="114300" distR="114300">
            <wp:extent cx="3528695" cy="2078990"/>
            <wp:effectExtent l="0" t="0" r="1905" b="3810"/>
            <wp:docPr id="18" name="图片 1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1"/>
                    <pic:cNvPicPr>
                      <a:picLocks noChangeAspect="1"/>
                    </pic:cNvPicPr>
                  </pic:nvPicPr>
                  <pic:blipFill>
                    <a:blip r:embed="rId326"/>
                    <a:stretch>
                      <a:fillRect/>
                    </a:stretch>
                  </pic:blipFill>
                  <pic:spPr>
                    <a:xfrm>
                      <a:off x="0" y="0"/>
                      <a:ext cx="3528695" cy="2078990"/>
                    </a:xfrm>
                    <a:prstGeom prst="rect">
                      <a:avLst/>
                    </a:prstGeom>
                  </pic:spPr>
                </pic:pic>
              </a:graphicData>
            </a:graphic>
          </wp:inline>
        </w:drawing>
      </w:r>
    </w:p>
    <w:p w14:paraId="01847825">
      <w:pPr>
        <w:ind w:firstLine="0"/>
        <w:jc w:val="center"/>
        <w:rPr>
          <w:color w:val="auto"/>
          <w:sz w:val="18"/>
          <w:szCs w:val="18"/>
        </w:rPr>
      </w:pPr>
      <w:r>
        <w:rPr>
          <w:color w:val="auto"/>
          <w:sz w:val="18"/>
          <w:szCs w:val="18"/>
        </w:rPr>
        <w:t>l</w:t>
      </w:r>
      <w:r>
        <w:rPr>
          <w:color w:val="auto"/>
          <w:sz w:val="18"/>
          <w:szCs w:val="18"/>
        </w:rPr>
        <w:sym w:font="Symbol" w:char="F0BE"/>
      </w:r>
      <w:r>
        <w:rPr>
          <w:color w:val="auto"/>
          <w:sz w:val="18"/>
          <w:szCs w:val="18"/>
        </w:rPr>
        <w:t>综合管廊；2</w:t>
      </w:r>
      <w:r>
        <w:rPr>
          <w:color w:val="auto"/>
          <w:sz w:val="18"/>
          <w:szCs w:val="18"/>
        </w:rPr>
        <w:sym w:font="Symbol" w:char="F0BE"/>
      </w:r>
      <w:r>
        <w:rPr>
          <w:color w:val="auto"/>
          <w:sz w:val="18"/>
          <w:szCs w:val="18"/>
        </w:rPr>
        <w:t>护坡面层；3</w:t>
      </w:r>
      <w:r>
        <w:rPr>
          <w:color w:val="auto"/>
          <w:sz w:val="18"/>
          <w:szCs w:val="18"/>
        </w:rPr>
        <w:sym w:font="Symbol" w:char="F0BE"/>
      </w:r>
      <w:r>
        <w:rPr>
          <w:color w:val="auto"/>
          <w:sz w:val="18"/>
          <w:szCs w:val="18"/>
        </w:rPr>
        <w:t>排水沟</w:t>
      </w:r>
    </w:p>
    <w:p w14:paraId="07C3FF49">
      <w:pPr>
        <w:ind w:firstLine="0"/>
        <w:jc w:val="center"/>
        <w:rPr>
          <w:b/>
          <w:bCs/>
          <w:color w:val="auto"/>
          <w:sz w:val="21"/>
          <w:szCs w:val="21"/>
        </w:rPr>
      </w:pPr>
      <w:r>
        <w:rPr>
          <w:b/>
          <w:bCs/>
          <w:color w:val="auto"/>
          <w:sz w:val="21"/>
          <w:szCs w:val="21"/>
        </w:rPr>
        <w:t>图5.2.22　综合管廊明挖段坡率法开挖示意图</w:t>
      </w:r>
    </w:p>
    <w:p w14:paraId="0CF35C84">
      <w:pPr>
        <w:ind w:firstLine="482" w:firstLineChars="200"/>
        <w:rPr>
          <w:color w:val="auto"/>
        </w:rPr>
      </w:pPr>
      <w:r>
        <w:rPr>
          <w:b/>
          <w:color w:val="auto"/>
        </w:rPr>
        <w:t>1　</w:t>
      </w:r>
      <w:r>
        <w:rPr>
          <w:bCs/>
          <w:color w:val="auto"/>
        </w:rPr>
        <w:t>综合管廊明挖段周围具有放坡空间，且满足对周边环境影响的变形控制要求时，管廊明挖段可采用放坡开挖。放坡坡率与护坡措施应根据地区经验、岩土特性、开挖深度综合确定；</w:t>
      </w:r>
    </w:p>
    <w:p w14:paraId="458B827E">
      <w:pPr>
        <w:ind w:firstLine="482" w:firstLineChars="200"/>
        <w:rPr>
          <w:bCs/>
          <w:color w:val="auto"/>
        </w:rPr>
      </w:pPr>
      <w:r>
        <w:rPr>
          <w:b/>
          <w:color w:val="auto"/>
        </w:rPr>
        <w:t>2　</w:t>
      </w:r>
      <w:r>
        <w:rPr>
          <w:bCs/>
          <w:color w:val="auto"/>
        </w:rPr>
        <w:t>在淤泥或淤泥质土等软土场地不宜采用放坡支护，当采用放坡开挖时需进行土体加固；填土</w:t>
      </w:r>
    </w:p>
    <w:p w14:paraId="44AFC8A2">
      <w:pPr>
        <w:ind w:firstLine="482" w:firstLineChars="200"/>
        <w:rPr>
          <w:bCs/>
          <w:color w:val="auto"/>
        </w:rPr>
      </w:pPr>
      <w:r>
        <w:rPr>
          <w:b/>
          <w:color w:val="auto"/>
        </w:rPr>
        <w:t>3　</w:t>
      </w:r>
      <w:r>
        <w:rPr>
          <w:bCs/>
          <w:color w:val="auto"/>
        </w:rPr>
        <w:t>开挖阶段应设置必要的排水明沟、盲沟、集水井等地表及坑内排水系统；</w:t>
      </w:r>
    </w:p>
    <w:p w14:paraId="4B662DF6">
      <w:pPr>
        <w:ind w:firstLine="482" w:firstLineChars="200"/>
        <w:rPr>
          <w:bCs/>
          <w:color w:val="auto"/>
        </w:rPr>
      </w:pPr>
      <w:r>
        <w:rPr>
          <w:b/>
          <w:color w:val="auto"/>
        </w:rPr>
        <w:t>4　</w:t>
      </w:r>
      <w:r>
        <w:rPr>
          <w:bCs/>
          <w:color w:val="auto"/>
        </w:rPr>
        <w:t>放坡开挖的明挖段支护工程，应根据岩土特性、地下水位、放坡高度等条件，结合当地工程经验采取合适的护坡措施；</w:t>
      </w:r>
    </w:p>
    <w:p w14:paraId="41845CF7">
      <w:pPr>
        <w:ind w:firstLine="482" w:firstLineChars="200"/>
        <w:rPr>
          <w:bCs/>
          <w:color w:val="auto"/>
        </w:rPr>
      </w:pPr>
      <w:r>
        <w:rPr>
          <w:b/>
          <w:color w:val="auto"/>
        </w:rPr>
        <w:t>5　</w:t>
      </w:r>
      <w:r>
        <w:rPr>
          <w:bCs/>
          <w:color w:val="auto"/>
        </w:rPr>
        <w:t>软土地层中采用单级放坡开挖的管廊明挖段深度不宜大于4m，采用多级放坡开挖的管廊明挖段深度不宜大于7m；</w:t>
      </w:r>
    </w:p>
    <w:p w14:paraId="6E5B83E6">
      <w:pPr>
        <w:ind w:firstLine="482" w:firstLineChars="200"/>
        <w:rPr>
          <w:bCs/>
          <w:color w:val="auto"/>
        </w:rPr>
      </w:pPr>
      <w:r>
        <w:rPr>
          <w:b/>
          <w:color w:val="auto"/>
        </w:rPr>
        <w:t>6　</w:t>
      </w:r>
      <w:r>
        <w:rPr>
          <w:bCs/>
          <w:color w:val="auto"/>
        </w:rPr>
        <w:t>采用放坡开挖的管廊明挖段，应验算放坡土体的整体稳定性，多级放坡应同时验算各级放坡和多级放坡的整体稳定性；</w:t>
      </w:r>
    </w:p>
    <w:p w14:paraId="36E55389">
      <w:pPr>
        <w:ind w:firstLine="482" w:firstLineChars="200"/>
        <w:rPr>
          <w:bCs/>
          <w:color w:val="auto"/>
        </w:rPr>
      </w:pPr>
      <w:r>
        <w:rPr>
          <w:b/>
          <w:color w:val="auto"/>
        </w:rPr>
        <w:t>7　</w:t>
      </w:r>
      <w:r>
        <w:rPr>
          <w:bCs/>
          <w:color w:val="auto"/>
        </w:rPr>
        <w:t>管廊明挖段放坡开挖的允许坡率值，应根据当地工程经验确定，当土质良好且均匀、无不良地质作用、地下水不丰富时，可按表5.2.22确定。</w:t>
      </w:r>
    </w:p>
    <w:p w14:paraId="1C9A6258">
      <w:pPr>
        <w:jc w:val="center"/>
        <w:rPr>
          <w:b/>
          <w:bCs/>
          <w:color w:val="auto"/>
          <w:sz w:val="21"/>
          <w:szCs w:val="21"/>
        </w:rPr>
      </w:pPr>
      <w:r>
        <w:rPr>
          <w:b/>
          <w:bCs/>
          <w:color w:val="auto"/>
          <w:sz w:val="21"/>
          <w:szCs w:val="21"/>
        </w:rPr>
        <w:t>表5.2.22　允许坡率值参考表</w:t>
      </w:r>
    </w:p>
    <w:tbl>
      <w:tblPr>
        <w:tblStyle w:val="1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2126"/>
        <w:gridCol w:w="2126"/>
        <w:gridCol w:w="2126"/>
      </w:tblGrid>
      <w:tr w14:paraId="0C13F8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310" w:type="dxa"/>
            <w:vMerge w:val="restart"/>
            <w:tcBorders>
              <w:tl2br w:val="nil"/>
              <w:tr2bl w:val="nil"/>
            </w:tcBorders>
            <w:vAlign w:val="center"/>
          </w:tcPr>
          <w:p w14:paraId="423245B0">
            <w:pPr>
              <w:spacing w:before="82" w:beforeLines="25" w:line="300" w:lineRule="auto"/>
              <w:ind w:firstLine="0"/>
              <w:jc w:val="center"/>
              <w:rPr>
                <w:color w:val="auto"/>
                <w:sz w:val="21"/>
                <w:szCs w:val="21"/>
              </w:rPr>
            </w:pPr>
            <w:r>
              <w:rPr>
                <w:color w:val="auto"/>
                <w:sz w:val="21"/>
                <w:szCs w:val="21"/>
              </w:rPr>
              <w:t>土质类别</w:t>
            </w:r>
          </w:p>
        </w:tc>
        <w:tc>
          <w:tcPr>
            <w:tcW w:w="2311" w:type="dxa"/>
            <w:vMerge w:val="restart"/>
            <w:tcBorders>
              <w:tl2br w:val="nil"/>
              <w:tr2bl w:val="nil"/>
            </w:tcBorders>
            <w:vAlign w:val="center"/>
          </w:tcPr>
          <w:p w14:paraId="6D665BDE">
            <w:pPr>
              <w:spacing w:before="82" w:beforeLines="25" w:line="300" w:lineRule="auto"/>
              <w:ind w:firstLine="0"/>
              <w:jc w:val="center"/>
              <w:rPr>
                <w:color w:val="auto"/>
                <w:sz w:val="21"/>
                <w:szCs w:val="21"/>
              </w:rPr>
            </w:pPr>
            <w:r>
              <w:rPr>
                <w:color w:val="auto"/>
                <w:sz w:val="21"/>
                <w:szCs w:val="21"/>
              </w:rPr>
              <w:t>性状</w:t>
            </w:r>
          </w:p>
        </w:tc>
        <w:tc>
          <w:tcPr>
            <w:tcW w:w="4622" w:type="dxa"/>
            <w:gridSpan w:val="2"/>
            <w:tcBorders>
              <w:tl2br w:val="nil"/>
              <w:tr2bl w:val="nil"/>
            </w:tcBorders>
            <w:vAlign w:val="center"/>
          </w:tcPr>
          <w:p w14:paraId="5B27D0B9">
            <w:pPr>
              <w:spacing w:before="82" w:beforeLines="25" w:line="300" w:lineRule="auto"/>
              <w:ind w:firstLine="0"/>
              <w:jc w:val="center"/>
              <w:rPr>
                <w:color w:val="auto"/>
                <w:sz w:val="21"/>
                <w:szCs w:val="21"/>
              </w:rPr>
            </w:pPr>
            <w:r>
              <w:rPr>
                <w:color w:val="auto"/>
                <w:sz w:val="21"/>
                <w:szCs w:val="21"/>
              </w:rPr>
              <w:t>坡率允许值（高：宽）</w:t>
            </w:r>
          </w:p>
        </w:tc>
      </w:tr>
      <w:tr w14:paraId="611B1C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310" w:type="dxa"/>
            <w:vMerge w:val="continue"/>
            <w:tcBorders>
              <w:tl2br w:val="nil"/>
              <w:tr2bl w:val="nil"/>
            </w:tcBorders>
            <w:vAlign w:val="center"/>
          </w:tcPr>
          <w:p w14:paraId="2F6D78F0">
            <w:pPr>
              <w:spacing w:before="82" w:beforeLines="25" w:line="300" w:lineRule="auto"/>
              <w:ind w:firstLine="0"/>
              <w:jc w:val="center"/>
              <w:rPr>
                <w:color w:val="auto"/>
                <w:sz w:val="21"/>
                <w:szCs w:val="21"/>
              </w:rPr>
            </w:pPr>
          </w:p>
        </w:tc>
        <w:tc>
          <w:tcPr>
            <w:tcW w:w="2311" w:type="dxa"/>
            <w:vMerge w:val="continue"/>
            <w:tcBorders>
              <w:tl2br w:val="nil"/>
              <w:tr2bl w:val="nil"/>
            </w:tcBorders>
            <w:vAlign w:val="center"/>
          </w:tcPr>
          <w:p w14:paraId="5C6DC773">
            <w:pPr>
              <w:spacing w:before="82" w:beforeLines="25" w:line="300" w:lineRule="auto"/>
              <w:ind w:firstLine="0"/>
              <w:jc w:val="center"/>
              <w:rPr>
                <w:color w:val="auto"/>
                <w:sz w:val="21"/>
                <w:szCs w:val="21"/>
              </w:rPr>
            </w:pPr>
          </w:p>
        </w:tc>
        <w:tc>
          <w:tcPr>
            <w:tcW w:w="2311" w:type="dxa"/>
            <w:tcBorders>
              <w:tl2br w:val="nil"/>
              <w:tr2bl w:val="nil"/>
            </w:tcBorders>
            <w:vAlign w:val="center"/>
          </w:tcPr>
          <w:p w14:paraId="7F17440F">
            <w:pPr>
              <w:spacing w:before="82" w:beforeLines="25" w:line="300" w:lineRule="auto"/>
              <w:ind w:firstLine="0"/>
              <w:jc w:val="center"/>
              <w:rPr>
                <w:color w:val="auto"/>
                <w:sz w:val="21"/>
                <w:szCs w:val="21"/>
              </w:rPr>
            </w:pPr>
            <w:r>
              <w:rPr>
                <w:color w:val="auto"/>
                <w:sz w:val="21"/>
                <w:szCs w:val="21"/>
              </w:rPr>
              <w:t>坡高5m以内</w:t>
            </w:r>
          </w:p>
        </w:tc>
        <w:tc>
          <w:tcPr>
            <w:tcW w:w="2311" w:type="dxa"/>
            <w:tcBorders>
              <w:tl2br w:val="nil"/>
              <w:tr2bl w:val="nil"/>
            </w:tcBorders>
            <w:vAlign w:val="center"/>
          </w:tcPr>
          <w:p w14:paraId="2937205F">
            <w:pPr>
              <w:spacing w:before="82" w:beforeLines="25" w:line="300" w:lineRule="auto"/>
              <w:ind w:firstLine="0"/>
              <w:jc w:val="center"/>
              <w:rPr>
                <w:color w:val="auto"/>
                <w:sz w:val="21"/>
                <w:szCs w:val="21"/>
              </w:rPr>
            </w:pPr>
            <w:r>
              <w:rPr>
                <w:color w:val="auto"/>
                <w:sz w:val="21"/>
                <w:szCs w:val="21"/>
              </w:rPr>
              <w:t>坡高5m～10m</w:t>
            </w:r>
          </w:p>
        </w:tc>
      </w:tr>
      <w:tr w14:paraId="46A212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2310" w:type="dxa"/>
            <w:tcBorders>
              <w:tl2br w:val="nil"/>
              <w:tr2bl w:val="nil"/>
            </w:tcBorders>
            <w:vAlign w:val="center"/>
          </w:tcPr>
          <w:p w14:paraId="74FC3179">
            <w:pPr>
              <w:spacing w:before="82" w:beforeLines="25" w:line="300" w:lineRule="auto"/>
              <w:ind w:firstLine="0"/>
              <w:jc w:val="center"/>
              <w:rPr>
                <w:color w:val="auto"/>
                <w:sz w:val="21"/>
                <w:szCs w:val="21"/>
              </w:rPr>
            </w:pPr>
            <w:r>
              <w:rPr>
                <w:color w:val="auto"/>
                <w:sz w:val="21"/>
                <w:szCs w:val="21"/>
              </w:rPr>
              <w:t>黏性土</w:t>
            </w:r>
          </w:p>
        </w:tc>
        <w:tc>
          <w:tcPr>
            <w:tcW w:w="2311" w:type="dxa"/>
            <w:tcBorders>
              <w:tl2br w:val="nil"/>
              <w:tr2bl w:val="nil"/>
            </w:tcBorders>
            <w:vAlign w:val="center"/>
          </w:tcPr>
          <w:p w14:paraId="24537357">
            <w:pPr>
              <w:spacing w:before="82" w:beforeLines="25" w:line="300" w:lineRule="auto"/>
              <w:ind w:firstLine="0"/>
              <w:jc w:val="center"/>
              <w:rPr>
                <w:color w:val="auto"/>
                <w:sz w:val="21"/>
                <w:szCs w:val="21"/>
              </w:rPr>
            </w:pPr>
            <w:r>
              <w:rPr>
                <w:color w:val="auto"/>
                <w:sz w:val="21"/>
                <w:szCs w:val="21"/>
              </w:rPr>
              <w:t>坚硬</w:t>
            </w:r>
          </w:p>
          <w:p w14:paraId="3567AC86">
            <w:pPr>
              <w:spacing w:before="82" w:beforeLines="25" w:line="300" w:lineRule="auto"/>
              <w:ind w:firstLine="0"/>
              <w:jc w:val="center"/>
              <w:rPr>
                <w:color w:val="auto"/>
                <w:sz w:val="21"/>
                <w:szCs w:val="21"/>
              </w:rPr>
            </w:pPr>
            <w:r>
              <w:rPr>
                <w:color w:val="auto"/>
                <w:sz w:val="21"/>
                <w:szCs w:val="21"/>
              </w:rPr>
              <w:t>硬塑</w:t>
            </w:r>
          </w:p>
          <w:p w14:paraId="1CA8B45E">
            <w:pPr>
              <w:spacing w:before="82" w:beforeLines="25" w:line="300" w:lineRule="auto"/>
              <w:ind w:firstLine="0"/>
              <w:jc w:val="center"/>
              <w:rPr>
                <w:color w:val="auto"/>
                <w:sz w:val="21"/>
                <w:szCs w:val="21"/>
              </w:rPr>
            </w:pPr>
            <w:r>
              <w:rPr>
                <w:color w:val="auto"/>
                <w:sz w:val="21"/>
                <w:szCs w:val="21"/>
              </w:rPr>
              <w:t>可塑</w:t>
            </w:r>
          </w:p>
        </w:tc>
        <w:tc>
          <w:tcPr>
            <w:tcW w:w="2311" w:type="dxa"/>
            <w:tcBorders>
              <w:tl2br w:val="nil"/>
              <w:tr2bl w:val="nil"/>
            </w:tcBorders>
            <w:vAlign w:val="center"/>
          </w:tcPr>
          <w:p w14:paraId="20B2F63D">
            <w:pPr>
              <w:spacing w:before="82" w:beforeLines="25" w:line="300" w:lineRule="auto"/>
              <w:ind w:firstLine="0"/>
              <w:jc w:val="center"/>
              <w:rPr>
                <w:color w:val="auto"/>
                <w:sz w:val="21"/>
                <w:szCs w:val="21"/>
              </w:rPr>
            </w:pPr>
            <w:r>
              <w:rPr>
                <w:color w:val="auto"/>
                <w:sz w:val="21"/>
                <w:szCs w:val="21"/>
              </w:rPr>
              <w:t>1:0.75～1:1.00</w:t>
            </w:r>
          </w:p>
          <w:p w14:paraId="289F9F81">
            <w:pPr>
              <w:spacing w:before="82" w:beforeLines="25" w:line="300" w:lineRule="auto"/>
              <w:ind w:firstLine="0"/>
              <w:jc w:val="center"/>
              <w:rPr>
                <w:color w:val="auto"/>
                <w:sz w:val="21"/>
                <w:szCs w:val="21"/>
              </w:rPr>
            </w:pPr>
            <w:r>
              <w:rPr>
                <w:color w:val="auto"/>
                <w:sz w:val="21"/>
                <w:szCs w:val="21"/>
              </w:rPr>
              <w:t>1:1.00～1:1.25</w:t>
            </w:r>
          </w:p>
          <w:p w14:paraId="74500570">
            <w:pPr>
              <w:spacing w:before="82" w:beforeLines="25" w:line="300" w:lineRule="auto"/>
              <w:ind w:firstLine="0"/>
              <w:jc w:val="center"/>
              <w:rPr>
                <w:color w:val="auto"/>
                <w:sz w:val="21"/>
                <w:szCs w:val="21"/>
              </w:rPr>
            </w:pPr>
            <w:r>
              <w:rPr>
                <w:color w:val="auto"/>
                <w:sz w:val="21"/>
                <w:szCs w:val="21"/>
              </w:rPr>
              <w:t>1:1.25～1:1.50</w:t>
            </w:r>
          </w:p>
        </w:tc>
        <w:tc>
          <w:tcPr>
            <w:tcW w:w="2311" w:type="dxa"/>
            <w:tcBorders>
              <w:tl2br w:val="nil"/>
              <w:tr2bl w:val="nil"/>
            </w:tcBorders>
            <w:vAlign w:val="center"/>
          </w:tcPr>
          <w:p w14:paraId="246C8092">
            <w:pPr>
              <w:spacing w:before="82" w:beforeLines="25" w:line="300" w:lineRule="auto"/>
              <w:ind w:firstLine="0"/>
              <w:jc w:val="center"/>
              <w:rPr>
                <w:color w:val="auto"/>
                <w:sz w:val="21"/>
                <w:szCs w:val="21"/>
              </w:rPr>
            </w:pPr>
            <w:r>
              <w:rPr>
                <w:color w:val="auto"/>
                <w:sz w:val="21"/>
                <w:szCs w:val="21"/>
              </w:rPr>
              <w:t>1:1.00～1:1.25</w:t>
            </w:r>
          </w:p>
          <w:p w14:paraId="0EE2A813">
            <w:pPr>
              <w:spacing w:before="82" w:beforeLines="25" w:line="300" w:lineRule="auto"/>
              <w:ind w:firstLine="0"/>
              <w:jc w:val="center"/>
              <w:rPr>
                <w:color w:val="auto"/>
                <w:sz w:val="21"/>
                <w:szCs w:val="21"/>
              </w:rPr>
            </w:pPr>
            <w:r>
              <w:rPr>
                <w:color w:val="auto"/>
                <w:sz w:val="21"/>
                <w:szCs w:val="21"/>
              </w:rPr>
              <w:t>1:1.25～1:1.50</w:t>
            </w:r>
          </w:p>
          <w:p w14:paraId="202DEAF6">
            <w:pPr>
              <w:spacing w:before="82" w:beforeLines="25" w:line="300" w:lineRule="auto"/>
              <w:ind w:firstLine="0"/>
              <w:jc w:val="center"/>
              <w:rPr>
                <w:color w:val="auto"/>
                <w:sz w:val="21"/>
                <w:szCs w:val="21"/>
              </w:rPr>
            </w:pPr>
          </w:p>
        </w:tc>
      </w:tr>
      <w:tr w14:paraId="1D7030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2310" w:type="dxa"/>
            <w:tcBorders>
              <w:tl2br w:val="nil"/>
              <w:tr2bl w:val="nil"/>
            </w:tcBorders>
            <w:vAlign w:val="center"/>
          </w:tcPr>
          <w:p w14:paraId="5FA74E93">
            <w:pPr>
              <w:spacing w:before="82" w:beforeLines="25" w:line="300" w:lineRule="auto"/>
              <w:ind w:firstLine="0"/>
              <w:jc w:val="center"/>
              <w:rPr>
                <w:color w:val="auto"/>
                <w:sz w:val="21"/>
                <w:szCs w:val="21"/>
              </w:rPr>
            </w:pPr>
            <w:r>
              <w:rPr>
                <w:color w:val="auto"/>
                <w:sz w:val="21"/>
                <w:szCs w:val="21"/>
              </w:rPr>
              <w:t>粉土</w:t>
            </w:r>
          </w:p>
        </w:tc>
        <w:tc>
          <w:tcPr>
            <w:tcW w:w="2311" w:type="dxa"/>
            <w:tcBorders>
              <w:tl2br w:val="nil"/>
              <w:tr2bl w:val="nil"/>
            </w:tcBorders>
            <w:vAlign w:val="center"/>
          </w:tcPr>
          <w:p w14:paraId="15D0503E">
            <w:pPr>
              <w:spacing w:before="82" w:beforeLines="25" w:line="300" w:lineRule="auto"/>
              <w:ind w:firstLine="0"/>
              <w:jc w:val="center"/>
              <w:rPr>
                <w:color w:val="auto"/>
                <w:sz w:val="21"/>
                <w:szCs w:val="21"/>
              </w:rPr>
            </w:pPr>
            <w:r>
              <w:rPr>
                <w:color w:val="auto"/>
                <w:sz w:val="21"/>
                <w:szCs w:val="21"/>
              </w:rPr>
              <w:t>稍密</w:t>
            </w:r>
          </w:p>
        </w:tc>
        <w:tc>
          <w:tcPr>
            <w:tcW w:w="2311" w:type="dxa"/>
            <w:tcBorders>
              <w:tl2br w:val="nil"/>
              <w:tr2bl w:val="nil"/>
            </w:tcBorders>
            <w:vAlign w:val="center"/>
          </w:tcPr>
          <w:p w14:paraId="4FB2A014">
            <w:pPr>
              <w:spacing w:before="82" w:beforeLines="25" w:line="300" w:lineRule="auto"/>
              <w:ind w:firstLine="0"/>
              <w:jc w:val="center"/>
              <w:rPr>
                <w:color w:val="auto"/>
                <w:sz w:val="21"/>
                <w:szCs w:val="21"/>
              </w:rPr>
            </w:pPr>
            <w:r>
              <w:rPr>
                <w:color w:val="auto"/>
                <w:sz w:val="21"/>
                <w:szCs w:val="21"/>
              </w:rPr>
              <w:t>1:1.00～1:1.25</w:t>
            </w:r>
          </w:p>
        </w:tc>
        <w:tc>
          <w:tcPr>
            <w:tcW w:w="2311" w:type="dxa"/>
            <w:tcBorders>
              <w:tl2br w:val="nil"/>
              <w:tr2bl w:val="nil"/>
            </w:tcBorders>
            <w:vAlign w:val="center"/>
          </w:tcPr>
          <w:p w14:paraId="00598062">
            <w:pPr>
              <w:spacing w:before="82" w:beforeLines="25" w:line="300" w:lineRule="auto"/>
              <w:ind w:firstLine="0"/>
              <w:jc w:val="center"/>
              <w:rPr>
                <w:color w:val="auto"/>
                <w:sz w:val="21"/>
                <w:szCs w:val="21"/>
              </w:rPr>
            </w:pPr>
            <w:r>
              <w:rPr>
                <w:color w:val="auto"/>
                <w:sz w:val="21"/>
                <w:szCs w:val="21"/>
              </w:rPr>
              <w:t>1:1.25～1:1.50</w:t>
            </w:r>
          </w:p>
        </w:tc>
      </w:tr>
      <w:tr w14:paraId="2A6C02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10" w:type="dxa"/>
            <w:tcBorders>
              <w:tl2br w:val="nil"/>
              <w:tr2bl w:val="nil"/>
            </w:tcBorders>
            <w:vAlign w:val="center"/>
          </w:tcPr>
          <w:p w14:paraId="7D8DF84D">
            <w:pPr>
              <w:spacing w:before="82" w:beforeLines="25" w:line="300" w:lineRule="auto"/>
              <w:ind w:firstLine="0"/>
              <w:jc w:val="center"/>
              <w:rPr>
                <w:color w:val="auto"/>
                <w:sz w:val="21"/>
                <w:szCs w:val="21"/>
              </w:rPr>
            </w:pPr>
            <w:r>
              <w:rPr>
                <w:color w:val="auto"/>
                <w:sz w:val="21"/>
                <w:szCs w:val="21"/>
              </w:rPr>
              <w:t>碎石类土</w:t>
            </w:r>
          </w:p>
        </w:tc>
        <w:tc>
          <w:tcPr>
            <w:tcW w:w="2311" w:type="dxa"/>
            <w:tcBorders>
              <w:tl2br w:val="nil"/>
              <w:tr2bl w:val="nil"/>
            </w:tcBorders>
            <w:vAlign w:val="center"/>
          </w:tcPr>
          <w:p w14:paraId="53A31FB7">
            <w:pPr>
              <w:spacing w:before="82" w:beforeLines="25" w:line="300" w:lineRule="auto"/>
              <w:ind w:firstLine="0"/>
              <w:jc w:val="center"/>
              <w:rPr>
                <w:color w:val="auto"/>
                <w:sz w:val="21"/>
                <w:szCs w:val="21"/>
              </w:rPr>
            </w:pPr>
            <w:r>
              <w:rPr>
                <w:color w:val="auto"/>
                <w:sz w:val="21"/>
                <w:szCs w:val="21"/>
              </w:rPr>
              <w:t>密实</w:t>
            </w:r>
          </w:p>
          <w:p w14:paraId="7539D1F6">
            <w:pPr>
              <w:spacing w:before="82" w:beforeLines="25" w:line="300" w:lineRule="auto"/>
              <w:ind w:firstLine="0"/>
              <w:jc w:val="center"/>
              <w:rPr>
                <w:color w:val="auto"/>
                <w:sz w:val="21"/>
                <w:szCs w:val="21"/>
              </w:rPr>
            </w:pPr>
            <w:r>
              <w:rPr>
                <w:color w:val="auto"/>
                <w:sz w:val="21"/>
                <w:szCs w:val="21"/>
              </w:rPr>
              <w:t>中密</w:t>
            </w:r>
          </w:p>
          <w:p w14:paraId="4E83FC94">
            <w:pPr>
              <w:spacing w:before="82" w:beforeLines="25" w:line="300" w:lineRule="auto"/>
              <w:ind w:firstLine="0"/>
              <w:jc w:val="center"/>
              <w:rPr>
                <w:color w:val="auto"/>
                <w:sz w:val="21"/>
                <w:szCs w:val="21"/>
              </w:rPr>
            </w:pPr>
            <w:r>
              <w:rPr>
                <w:color w:val="auto"/>
                <w:sz w:val="21"/>
                <w:szCs w:val="21"/>
              </w:rPr>
              <w:t>稍密</w:t>
            </w:r>
          </w:p>
        </w:tc>
        <w:tc>
          <w:tcPr>
            <w:tcW w:w="2311" w:type="dxa"/>
            <w:tcBorders>
              <w:tl2br w:val="nil"/>
              <w:tr2bl w:val="nil"/>
            </w:tcBorders>
            <w:vAlign w:val="center"/>
          </w:tcPr>
          <w:p w14:paraId="0B38796C">
            <w:pPr>
              <w:spacing w:before="82" w:beforeLines="25" w:line="300" w:lineRule="auto"/>
              <w:ind w:firstLine="0"/>
              <w:jc w:val="center"/>
              <w:rPr>
                <w:color w:val="auto"/>
                <w:sz w:val="21"/>
                <w:szCs w:val="21"/>
              </w:rPr>
            </w:pPr>
            <w:r>
              <w:rPr>
                <w:color w:val="auto"/>
                <w:sz w:val="21"/>
                <w:szCs w:val="21"/>
              </w:rPr>
              <w:t>1:0.35～1:0.50</w:t>
            </w:r>
          </w:p>
          <w:p w14:paraId="159B4282">
            <w:pPr>
              <w:spacing w:before="82" w:beforeLines="25" w:line="300" w:lineRule="auto"/>
              <w:ind w:firstLine="0"/>
              <w:jc w:val="center"/>
              <w:rPr>
                <w:color w:val="auto"/>
                <w:sz w:val="21"/>
                <w:szCs w:val="21"/>
              </w:rPr>
            </w:pPr>
            <w:r>
              <w:rPr>
                <w:color w:val="auto"/>
                <w:sz w:val="21"/>
                <w:szCs w:val="21"/>
              </w:rPr>
              <w:t>1:0.50～1:0.75</w:t>
            </w:r>
          </w:p>
          <w:p w14:paraId="023E05CA">
            <w:pPr>
              <w:spacing w:before="82" w:beforeLines="25" w:line="300" w:lineRule="auto"/>
              <w:ind w:firstLine="0"/>
              <w:jc w:val="center"/>
              <w:rPr>
                <w:color w:val="auto"/>
                <w:sz w:val="21"/>
                <w:szCs w:val="21"/>
              </w:rPr>
            </w:pPr>
            <w:r>
              <w:rPr>
                <w:color w:val="auto"/>
                <w:sz w:val="21"/>
                <w:szCs w:val="21"/>
              </w:rPr>
              <w:t>1:0.75～1:1.00</w:t>
            </w:r>
          </w:p>
        </w:tc>
        <w:tc>
          <w:tcPr>
            <w:tcW w:w="2311" w:type="dxa"/>
            <w:tcBorders>
              <w:tl2br w:val="nil"/>
              <w:tr2bl w:val="nil"/>
            </w:tcBorders>
            <w:vAlign w:val="center"/>
          </w:tcPr>
          <w:p w14:paraId="361062DF">
            <w:pPr>
              <w:spacing w:before="82" w:beforeLines="25" w:line="300" w:lineRule="auto"/>
              <w:ind w:firstLine="0"/>
              <w:jc w:val="center"/>
              <w:rPr>
                <w:color w:val="auto"/>
                <w:sz w:val="21"/>
                <w:szCs w:val="21"/>
              </w:rPr>
            </w:pPr>
            <w:r>
              <w:rPr>
                <w:color w:val="auto"/>
                <w:sz w:val="21"/>
                <w:szCs w:val="21"/>
              </w:rPr>
              <w:t>1:0.50～1:0.75</w:t>
            </w:r>
          </w:p>
          <w:p w14:paraId="1DB2C56B">
            <w:pPr>
              <w:spacing w:before="82" w:beforeLines="25" w:line="300" w:lineRule="auto"/>
              <w:ind w:firstLine="0"/>
              <w:jc w:val="center"/>
              <w:rPr>
                <w:color w:val="auto"/>
                <w:sz w:val="21"/>
                <w:szCs w:val="21"/>
              </w:rPr>
            </w:pPr>
            <w:r>
              <w:rPr>
                <w:color w:val="auto"/>
                <w:sz w:val="21"/>
                <w:szCs w:val="21"/>
              </w:rPr>
              <w:t>1:0.75～1:1.00</w:t>
            </w:r>
          </w:p>
          <w:p w14:paraId="757BFF5F">
            <w:pPr>
              <w:spacing w:before="82" w:beforeLines="25" w:line="300" w:lineRule="auto"/>
              <w:ind w:firstLine="0"/>
              <w:jc w:val="center"/>
              <w:rPr>
                <w:color w:val="auto"/>
                <w:sz w:val="21"/>
                <w:szCs w:val="21"/>
              </w:rPr>
            </w:pPr>
            <w:r>
              <w:rPr>
                <w:color w:val="auto"/>
                <w:sz w:val="21"/>
                <w:szCs w:val="21"/>
              </w:rPr>
              <w:t>1:1.00～1:1.25</w:t>
            </w:r>
          </w:p>
        </w:tc>
      </w:tr>
      <w:tr w14:paraId="099146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10" w:type="dxa"/>
            <w:tcBorders>
              <w:tl2br w:val="nil"/>
              <w:tr2bl w:val="nil"/>
            </w:tcBorders>
            <w:vAlign w:val="center"/>
          </w:tcPr>
          <w:p w14:paraId="30614D90">
            <w:pPr>
              <w:spacing w:before="82" w:beforeLines="25" w:line="300" w:lineRule="auto"/>
              <w:ind w:firstLine="0"/>
              <w:jc w:val="center"/>
              <w:rPr>
                <w:color w:val="auto"/>
                <w:sz w:val="21"/>
                <w:szCs w:val="21"/>
              </w:rPr>
            </w:pPr>
            <w:r>
              <w:rPr>
                <w:color w:val="auto"/>
                <w:sz w:val="21"/>
                <w:szCs w:val="21"/>
              </w:rPr>
              <w:t>残积黏性土</w:t>
            </w:r>
          </w:p>
          <w:p w14:paraId="06605073">
            <w:pPr>
              <w:spacing w:before="82" w:beforeLines="25" w:line="300" w:lineRule="auto"/>
              <w:ind w:firstLine="0"/>
              <w:jc w:val="center"/>
              <w:rPr>
                <w:color w:val="auto"/>
                <w:sz w:val="21"/>
                <w:szCs w:val="21"/>
              </w:rPr>
            </w:pPr>
            <w:r>
              <w:rPr>
                <w:color w:val="auto"/>
                <w:sz w:val="21"/>
                <w:szCs w:val="21"/>
              </w:rPr>
              <w:t>全风化岩</w:t>
            </w:r>
          </w:p>
        </w:tc>
        <w:tc>
          <w:tcPr>
            <w:tcW w:w="2311" w:type="dxa"/>
            <w:tcBorders>
              <w:tl2br w:val="nil"/>
              <w:tr2bl w:val="nil"/>
            </w:tcBorders>
            <w:vAlign w:val="center"/>
          </w:tcPr>
          <w:p w14:paraId="01DDBC15">
            <w:pPr>
              <w:spacing w:before="82" w:beforeLines="25" w:line="300" w:lineRule="auto"/>
              <w:ind w:firstLine="0"/>
              <w:jc w:val="center"/>
              <w:rPr>
                <w:color w:val="auto"/>
                <w:sz w:val="21"/>
                <w:szCs w:val="21"/>
              </w:rPr>
            </w:pPr>
            <w:r>
              <w:rPr>
                <w:color w:val="auto"/>
                <w:sz w:val="21"/>
                <w:szCs w:val="21"/>
              </w:rPr>
              <w:t>硬塑</w:t>
            </w:r>
          </w:p>
          <w:p w14:paraId="329D6068">
            <w:pPr>
              <w:spacing w:before="82" w:beforeLines="25" w:line="300" w:lineRule="auto"/>
              <w:ind w:firstLine="0"/>
              <w:jc w:val="center"/>
              <w:rPr>
                <w:color w:val="auto"/>
                <w:sz w:val="21"/>
                <w:szCs w:val="21"/>
              </w:rPr>
            </w:pPr>
            <w:r>
              <w:rPr>
                <w:color w:val="auto"/>
                <w:sz w:val="21"/>
                <w:szCs w:val="21"/>
              </w:rPr>
              <w:t>可塑</w:t>
            </w:r>
          </w:p>
        </w:tc>
        <w:tc>
          <w:tcPr>
            <w:tcW w:w="2311" w:type="dxa"/>
            <w:tcBorders>
              <w:tl2br w:val="nil"/>
              <w:tr2bl w:val="nil"/>
            </w:tcBorders>
            <w:vAlign w:val="center"/>
          </w:tcPr>
          <w:p w14:paraId="563338D2">
            <w:pPr>
              <w:spacing w:before="82" w:beforeLines="25" w:line="300" w:lineRule="auto"/>
              <w:ind w:firstLine="0"/>
              <w:jc w:val="center"/>
              <w:rPr>
                <w:color w:val="auto"/>
                <w:sz w:val="21"/>
                <w:szCs w:val="21"/>
              </w:rPr>
            </w:pPr>
            <w:r>
              <w:rPr>
                <w:color w:val="auto"/>
                <w:sz w:val="21"/>
                <w:szCs w:val="21"/>
              </w:rPr>
              <w:t>1:0.75～1:1.00</w:t>
            </w:r>
          </w:p>
          <w:p w14:paraId="14A9A8FC">
            <w:pPr>
              <w:spacing w:before="82" w:beforeLines="25" w:line="300" w:lineRule="auto"/>
              <w:ind w:firstLine="0"/>
              <w:jc w:val="center"/>
              <w:rPr>
                <w:color w:val="auto"/>
                <w:sz w:val="21"/>
                <w:szCs w:val="21"/>
              </w:rPr>
            </w:pPr>
            <w:r>
              <w:rPr>
                <w:color w:val="auto"/>
                <w:sz w:val="21"/>
                <w:szCs w:val="21"/>
              </w:rPr>
              <w:t>1:1.00～1:1.25</w:t>
            </w:r>
          </w:p>
        </w:tc>
        <w:tc>
          <w:tcPr>
            <w:tcW w:w="2311" w:type="dxa"/>
            <w:tcBorders>
              <w:tl2br w:val="nil"/>
              <w:tr2bl w:val="nil"/>
            </w:tcBorders>
            <w:vAlign w:val="center"/>
          </w:tcPr>
          <w:p w14:paraId="64F26465">
            <w:pPr>
              <w:spacing w:before="82" w:beforeLines="25" w:line="300" w:lineRule="auto"/>
              <w:ind w:firstLine="0"/>
              <w:jc w:val="center"/>
              <w:rPr>
                <w:color w:val="auto"/>
                <w:sz w:val="21"/>
                <w:szCs w:val="21"/>
              </w:rPr>
            </w:pPr>
          </w:p>
        </w:tc>
      </w:tr>
    </w:tbl>
    <w:p w14:paraId="2257769C">
      <w:pPr>
        <w:ind w:firstLine="360" w:firstLineChars="200"/>
        <w:rPr>
          <w:color w:val="auto"/>
          <w:sz w:val="18"/>
          <w:szCs w:val="18"/>
        </w:rPr>
      </w:pPr>
      <w:r>
        <w:rPr>
          <w:color w:val="auto"/>
          <w:sz w:val="18"/>
          <w:szCs w:val="18"/>
        </w:rPr>
        <w:t>注：1　表中碎石土的充填物若为黏性土，应为坚硬或硬塑黏性土；</w:t>
      </w:r>
    </w:p>
    <w:p w14:paraId="42214379">
      <w:pPr>
        <w:ind w:firstLine="720" w:firstLineChars="400"/>
        <w:rPr>
          <w:color w:val="auto"/>
          <w:sz w:val="18"/>
          <w:szCs w:val="18"/>
        </w:rPr>
      </w:pPr>
      <w:r>
        <w:rPr>
          <w:color w:val="auto"/>
          <w:sz w:val="18"/>
          <w:szCs w:val="18"/>
        </w:rPr>
        <w:t>2　对砂土或充填物为砂土的碎石土，坡率允许值宜按自然休止角确定；</w:t>
      </w:r>
    </w:p>
    <w:p w14:paraId="7E3F0F75">
      <w:pPr>
        <w:ind w:firstLine="720" w:firstLineChars="400"/>
        <w:rPr>
          <w:color w:val="auto"/>
          <w:sz w:val="18"/>
          <w:szCs w:val="18"/>
        </w:rPr>
      </w:pPr>
      <w:r>
        <w:rPr>
          <w:color w:val="auto"/>
          <w:sz w:val="18"/>
          <w:szCs w:val="18"/>
        </w:rPr>
        <w:t>3　软土地区采用放坡开挖时各级放坡坡率不宜大于1:1.5，淤泥质土层中不宜大于1:2.0；软土与松散填土不宜放坡；</w:t>
      </w:r>
    </w:p>
    <w:p w14:paraId="18CE724A">
      <w:pPr>
        <w:ind w:firstLine="720" w:firstLineChars="400"/>
        <w:rPr>
          <w:strike/>
          <w:color w:val="auto"/>
          <w:sz w:val="18"/>
          <w:szCs w:val="18"/>
        </w:rPr>
      </w:pPr>
      <w:r>
        <w:rPr>
          <w:strike/>
          <w:color w:val="auto"/>
          <w:sz w:val="18"/>
          <w:szCs w:val="18"/>
        </w:rPr>
        <w:t>4　本表仅供参考，选用时尚应符合现行国家及当地有关标准的规定。</w:t>
      </w:r>
    </w:p>
    <w:p w14:paraId="6955B0AE">
      <w:pPr>
        <w:ind w:firstLine="482" w:firstLineChars="200"/>
        <w:rPr>
          <w:bCs/>
          <w:color w:val="auto"/>
        </w:rPr>
      </w:pPr>
      <w:r>
        <w:rPr>
          <w:b/>
          <w:color w:val="auto"/>
        </w:rPr>
        <w:t>8　</w:t>
      </w:r>
      <w:r>
        <w:rPr>
          <w:bCs/>
          <w:color w:val="auto"/>
        </w:rPr>
        <w:t>综合管廊明挖段放坡开挖边坡宜采用土工膜覆盖、砂（土）包反压、抹面、挂网（钢丝或铁丝网）喷浆等措施保护坡面。对老黏性土和软质岩石坡面应及时保护，减少暴露时间，防止岩土体浸水软化强度降低。</w:t>
      </w:r>
    </w:p>
    <w:p w14:paraId="00BBD1AE">
      <w:pPr>
        <w:spacing w:before="164" w:beforeLines="50" w:after="164" w:afterLines="50"/>
        <w:ind w:firstLine="0"/>
        <w:jc w:val="center"/>
        <w:outlineLvl w:val="2"/>
        <w:rPr>
          <w:rFonts w:eastAsia="仿宋"/>
          <w:b/>
          <w:bCs/>
          <w:color w:val="auto"/>
          <w:sz w:val="28"/>
          <w:szCs w:val="28"/>
        </w:rPr>
      </w:pPr>
      <w:bookmarkStart w:id="250" w:name="_Toc8275"/>
      <w:bookmarkStart w:id="251" w:name="_Toc522"/>
      <w:bookmarkStart w:id="252" w:name="_Toc23449"/>
      <w:bookmarkStart w:id="253" w:name="_Toc17206"/>
      <w:r>
        <w:rPr>
          <w:rFonts w:eastAsia="仿宋"/>
          <w:b/>
          <w:bCs/>
          <w:color w:val="auto"/>
          <w:sz w:val="28"/>
          <w:szCs w:val="28"/>
        </w:rPr>
        <w:t>Ⅲ  土钉墙与复合土钉墙</w:t>
      </w:r>
      <w:bookmarkEnd w:id="250"/>
      <w:bookmarkEnd w:id="251"/>
      <w:bookmarkEnd w:id="252"/>
      <w:bookmarkEnd w:id="253"/>
    </w:p>
    <w:p w14:paraId="36F7C667">
      <w:pPr>
        <w:ind w:firstLine="0"/>
        <w:jc w:val="left"/>
        <w:rPr>
          <w:color w:val="auto"/>
        </w:rPr>
      </w:pPr>
      <w:r>
        <w:rPr>
          <w:b/>
          <w:bCs/>
          <w:color w:val="auto"/>
        </w:rPr>
        <w:t>5.2.23　</w:t>
      </w:r>
      <w:r>
        <w:rPr>
          <w:bCs/>
          <w:color w:val="auto"/>
        </w:rPr>
        <w:t>土钉墙与复合土钉墙（图5.2.23）设计应符合下列规定：</w:t>
      </w:r>
    </w:p>
    <w:p w14:paraId="09720CAA">
      <w:pPr>
        <w:ind w:firstLine="0"/>
        <w:jc w:val="center"/>
        <w:rPr>
          <w:color w:val="auto"/>
        </w:rPr>
      </w:pPr>
      <w:r>
        <w:rPr>
          <w:color w:val="auto"/>
        </w:rPr>
        <w:drawing>
          <wp:inline distT="0" distB="0" distL="114300" distR="114300">
            <wp:extent cx="4071620" cy="2802890"/>
            <wp:effectExtent l="0" t="0" r="5080" b="3810"/>
            <wp:docPr id="20" name="图片 2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2"/>
                    <pic:cNvPicPr>
                      <a:picLocks noChangeAspect="1"/>
                    </pic:cNvPicPr>
                  </pic:nvPicPr>
                  <pic:blipFill>
                    <a:blip r:embed="rId327"/>
                    <a:stretch>
                      <a:fillRect/>
                    </a:stretch>
                  </pic:blipFill>
                  <pic:spPr>
                    <a:xfrm>
                      <a:off x="0" y="0"/>
                      <a:ext cx="4071620" cy="2802890"/>
                    </a:xfrm>
                    <a:prstGeom prst="rect">
                      <a:avLst/>
                    </a:prstGeom>
                  </pic:spPr>
                </pic:pic>
              </a:graphicData>
            </a:graphic>
          </wp:inline>
        </w:drawing>
      </w:r>
    </w:p>
    <w:p w14:paraId="65603E2B">
      <w:pPr>
        <w:ind w:firstLine="0"/>
        <w:jc w:val="center"/>
        <w:rPr>
          <w:color w:val="auto"/>
          <w:sz w:val="18"/>
          <w:szCs w:val="18"/>
        </w:rPr>
      </w:pPr>
      <w:r>
        <w:rPr>
          <w:color w:val="auto"/>
          <w:sz w:val="18"/>
          <w:szCs w:val="18"/>
        </w:rPr>
        <w:t>l</w:t>
      </w:r>
      <w:r>
        <w:rPr>
          <w:color w:val="auto"/>
          <w:sz w:val="18"/>
          <w:szCs w:val="18"/>
        </w:rPr>
        <w:sym w:font="Symbol" w:char="F0BE"/>
      </w:r>
      <w:r>
        <w:rPr>
          <w:color w:val="auto"/>
          <w:sz w:val="18"/>
          <w:szCs w:val="18"/>
        </w:rPr>
        <w:t>综合管廊   2</w:t>
      </w:r>
      <w:r>
        <w:rPr>
          <w:color w:val="auto"/>
          <w:sz w:val="18"/>
          <w:szCs w:val="18"/>
        </w:rPr>
        <w:sym w:font="Symbol" w:char="F0BE"/>
      </w:r>
      <w:r>
        <w:rPr>
          <w:color w:val="auto"/>
          <w:sz w:val="18"/>
          <w:szCs w:val="18"/>
        </w:rPr>
        <w:t>面层   3</w:t>
      </w:r>
      <w:r>
        <w:rPr>
          <w:color w:val="auto"/>
          <w:sz w:val="18"/>
          <w:szCs w:val="18"/>
        </w:rPr>
        <w:sym w:font="Symbol" w:char="F0BE"/>
      </w:r>
      <w:r>
        <w:rPr>
          <w:color w:val="auto"/>
          <w:sz w:val="18"/>
          <w:szCs w:val="18"/>
        </w:rPr>
        <w:t>土钉   4</w:t>
      </w:r>
      <w:r>
        <w:rPr>
          <w:color w:val="auto"/>
          <w:sz w:val="18"/>
          <w:szCs w:val="18"/>
        </w:rPr>
        <w:sym w:font="Symbol" w:char="F0BE"/>
      </w:r>
      <w:r>
        <w:rPr>
          <w:color w:val="auto"/>
          <w:sz w:val="18"/>
          <w:szCs w:val="18"/>
        </w:rPr>
        <w:t>加强筋</w:t>
      </w:r>
    </w:p>
    <w:p w14:paraId="74192A9F">
      <w:pPr>
        <w:ind w:firstLine="0"/>
        <w:jc w:val="center"/>
        <w:rPr>
          <w:b/>
          <w:bCs/>
          <w:color w:val="auto"/>
          <w:sz w:val="21"/>
          <w:szCs w:val="21"/>
        </w:rPr>
      </w:pPr>
      <w:r>
        <w:rPr>
          <w:b/>
          <w:bCs/>
          <w:color w:val="auto"/>
          <w:sz w:val="21"/>
          <w:szCs w:val="21"/>
        </w:rPr>
        <w:t>图5.2.23　综合管廊明挖段土钉墙支护结构示意图</w:t>
      </w:r>
    </w:p>
    <w:p w14:paraId="64A3F0FD">
      <w:pPr>
        <w:ind w:firstLine="482" w:firstLineChars="200"/>
        <w:rPr>
          <w:color w:val="auto"/>
        </w:rPr>
      </w:pPr>
      <w:r>
        <w:rPr>
          <w:b/>
          <w:bCs/>
          <w:color w:val="auto"/>
        </w:rPr>
        <w:t>1　</w:t>
      </w:r>
      <w:r>
        <w:rPr>
          <w:bCs/>
          <w:color w:val="auto"/>
        </w:rPr>
        <w:t>土钉墙由土钉、喷射混凝土面层、被加固的原位土体及必要的防排水系统组成；</w:t>
      </w:r>
    </w:p>
    <w:p w14:paraId="7036F700">
      <w:pPr>
        <w:ind w:firstLine="482" w:firstLineChars="200"/>
        <w:rPr>
          <w:bCs/>
          <w:color w:val="auto"/>
        </w:rPr>
      </w:pPr>
      <w:r>
        <w:rPr>
          <w:b/>
          <w:bCs/>
          <w:color w:val="auto"/>
        </w:rPr>
        <w:t>2　</w:t>
      </w:r>
      <w:r>
        <w:rPr>
          <w:bCs/>
          <w:color w:val="auto"/>
        </w:rPr>
        <w:t>土钉墙适用于地下水位以上的素填土、黏性土和砂土，周边环境对变形要求不高的综合管廊明挖段支护工程，且开挖深度不大于12m。土钉墙不宜用于饱和的砂土、碎石土、淤泥和淤泥质土以及新近填土，且其适用性应结合地区经验综合确定；</w:t>
      </w:r>
    </w:p>
    <w:p w14:paraId="766C1D1A">
      <w:pPr>
        <w:ind w:firstLine="482" w:firstLineChars="200"/>
        <w:rPr>
          <w:bCs/>
          <w:color w:val="auto"/>
        </w:rPr>
      </w:pPr>
      <w:r>
        <w:rPr>
          <w:b/>
          <w:bCs/>
          <w:color w:val="auto"/>
        </w:rPr>
        <w:t>3　</w:t>
      </w:r>
      <w:r>
        <w:rPr>
          <w:bCs/>
          <w:color w:val="auto"/>
        </w:rPr>
        <w:t>土钉可分为成孔注浆型钢筋土钉和击入式钢管土钉两种，对易塌孔的岩土宜采用击入式钢管土钉；</w:t>
      </w:r>
    </w:p>
    <w:p w14:paraId="543DA8B8">
      <w:pPr>
        <w:ind w:firstLine="482" w:firstLineChars="200"/>
        <w:rPr>
          <w:bCs/>
          <w:color w:val="auto"/>
        </w:rPr>
      </w:pPr>
      <w:r>
        <w:rPr>
          <w:b/>
          <w:bCs/>
          <w:color w:val="auto"/>
        </w:rPr>
        <w:t>4　</w:t>
      </w:r>
      <w:r>
        <w:rPr>
          <w:bCs/>
          <w:color w:val="auto"/>
        </w:rPr>
        <w:t>击入式钢管土钉的注浆应符合下列规定：</w:t>
      </w:r>
    </w:p>
    <w:p w14:paraId="64E27FFA">
      <w:pPr>
        <w:ind w:firstLine="723" w:firstLineChars="300"/>
        <w:rPr>
          <w:color w:val="auto"/>
        </w:rPr>
      </w:pPr>
      <w:r>
        <w:rPr>
          <w:b/>
          <w:bCs/>
          <w:color w:val="auto"/>
        </w:rPr>
        <w:t>1</w:t>
      </w:r>
      <w:r>
        <w:rPr>
          <w:color w:val="auto"/>
        </w:rPr>
        <w:t>）注浆材料应采用水泥浆，水灰比宜取0.50～0.60；</w:t>
      </w:r>
    </w:p>
    <w:p w14:paraId="569A344A">
      <w:pPr>
        <w:ind w:left="1065" w:leftChars="302" w:hanging="340" w:hangingChars="141"/>
        <w:rPr>
          <w:color w:val="auto"/>
        </w:rPr>
      </w:pPr>
      <w:r>
        <w:rPr>
          <w:b/>
          <w:bCs/>
          <w:color w:val="auto"/>
        </w:rPr>
        <w:t>2</w:t>
      </w:r>
      <w:r>
        <w:rPr>
          <w:color w:val="auto"/>
        </w:rPr>
        <w:t>）注浆压力不宜小于0.60MPa，应在注浆至钢管周围出现返浆后停止注浆，当不出现返浆时，可采用间歇注浆的方法。</w:t>
      </w:r>
    </w:p>
    <w:p w14:paraId="403747A2">
      <w:pPr>
        <w:ind w:firstLine="482" w:firstLineChars="200"/>
        <w:jc w:val="left"/>
        <w:rPr>
          <w:bCs/>
          <w:color w:val="auto"/>
        </w:rPr>
      </w:pPr>
      <w:r>
        <w:rPr>
          <w:b/>
          <w:bCs/>
          <w:color w:val="auto"/>
        </w:rPr>
        <w:t>5　</w:t>
      </w:r>
      <w:r>
        <w:rPr>
          <w:bCs/>
          <w:color w:val="auto"/>
        </w:rPr>
        <w:t>土钉墙的土钉排数、间距、长度、直径等应根据岩土特性、综合管廊明挖段开挖的各工况、整体稳定性及土钉承载力计算确定；</w:t>
      </w:r>
    </w:p>
    <w:p w14:paraId="7EF9345E">
      <w:pPr>
        <w:ind w:firstLine="482" w:firstLineChars="200"/>
        <w:jc w:val="left"/>
        <w:rPr>
          <w:bCs/>
          <w:color w:val="auto"/>
        </w:rPr>
      </w:pPr>
      <w:r>
        <w:rPr>
          <w:b/>
          <w:bCs/>
          <w:color w:val="auto"/>
        </w:rPr>
        <w:t>6　</w:t>
      </w:r>
      <w:r>
        <w:rPr>
          <w:bCs/>
          <w:color w:val="auto"/>
        </w:rPr>
        <w:t>土钉墙应按分层开挖、分层施做土钉及混凝土面层的步序进行设计和施工；</w:t>
      </w:r>
    </w:p>
    <w:p w14:paraId="57552B43">
      <w:pPr>
        <w:ind w:firstLine="482" w:firstLineChars="200"/>
        <w:jc w:val="left"/>
        <w:rPr>
          <w:bCs/>
          <w:color w:val="auto"/>
        </w:rPr>
      </w:pPr>
      <w:r>
        <w:rPr>
          <w:b/>
          <w:bCs/>
          <w:color w:val="auto"/>
        </w:rPr>
        <w:t>7　</w:t>
      </w:r>
      <w:r>
        <w:rPr>
          <w:bCs/>
          <w:color w:val="auto"/>
        </w:rPr>
        <w:t>成孔注浆型钢筋土钉的注浆应符合下列规定：</w:t>
      </w:r>
    </w:p>
    <w:p w14:paraId="1BB8AD83">
      <w:pPr>
        <w:ind w:left="1060" w:leftChars="300" w:hanging="340" w:hangingChars="141"/>
        <w:rPr>
          <w:color w:val="auto"/>
        </w:rPr>
      </w:pPr>
      <w:r>
        <w:rPr>
          <w:b/>
          <w:bCs/>
          <w:color w:val="auto"/>
        </w:rPr>
        <w:t>1</w:t>
      </w:r>
      <w:r>
        <w:rPr>
          <w:color w:val="auto"/>
        </w:rPr>
        <w:t>）注浆材料可选用水泥浆或水泥砂浆。水泥浆的水灰比宜取0.50～0.55；水泥砂浆的水灰比宜取0.40～0.45，同时灰砂比宜取0.50-1.00，拌和用砂宜选用中粗砂，按重量计的含泥量不得大于3%；</w:t>
      </w:r>
    </w:p>
    <w:p w14:paraId="172AA652">
      <w:pPr>
        <w:ind w:left="1060" w:leftChars="300" w:hanging="340" w:hangingChars="141"/>
        <w:rPr>
          <w:color w:val="auto"/>
        </w:rPr>
      </w:pPr>
      <w:r>
        <w:rPr>
          <w:b/>
          <w:bCs/>
          <w:color w:val="auto"/>
        </w:rPr>
        <w:t>2</w:t>
      </w:r>
      <w:r>
        <w:rPr>
          <w:color w:val="auto"/>
        </w:rPr>
        <w:t>）注浆前应将注浆管插至孔底、由孔底注浆，注浆管端部至孔底的距离不宜大于200mm；注浆及拔管时，注浆管出浆口应始终埋入注浆液面内，应在新鲜浆液从孔口溢出后停止注浆；注浆后，当浆液液面下降时，应进行补浆。</w:t>
      </w:r>
    </w:p>
    <w:p w14:paraId="76DA8F3A">
      <w:pPr>
        <w:ind w:firstLine="482" w:firstLineChars="200"/>
        <w:rPr>
          <w:bCs/>
          <w:color w:val="auto"/>
        </w:rPr>
      </w:pPr>
      <w:r>
        <w:rPr>
          <w:b/>
          <w:bCs/>
          <w:color w:val="auto"/>
        </w:rPr>
        <w:t>8　</w:t>
      </w:r>
      <w:r>
        <w:rPr>
          <w:bCs/>
          <w:color w:val="auto"/>
        </w:rPr>
        <w:t>复合土钉墙可以由土钉墙和截水帷幕、微型桩、预应力锚杆（索）等不同形式组合，适用于开挖深度在15m以内，需设置截水帷幕和对变形控制有一定要求的工程；</w:t>
      </w:r>
    </w:p>
    <w:p w14:paraId="44BF4945">
      <w:pPr>
        <w:ind w:firstLine="482" w:firstLineChars="200"/>
        <w:rPr>
          <w:color w:val="auto"/>
        </w:rPr>
      </w:pPr>
      <w:r>
        <w:rPr>
          <w:b/>
          <w:bCs/>
          <w:color w:val="auto"/>
        </w:rPr>
        <w:t>9　</w:t>
      </w:r>
      <w:r>
        <w:rPr>
          <w:color w:val="auto"/>
        </w:rPr>
        <w:t>复合土钉墙不适用于开挖深度范围内有淤泥、淤泥质土以及开挖深度范围内有赋存承压水的地层。</w:t>
      </w:r>
    </w:p>
    <w:p w14:paraId="7E712BCB">
      <w:pPr>
        <w:ind w:firstLine="482" w:firstLineChars="200"/>
        <w:jc w:val="left"/>
        <w:rPr>
          <w:b/>
          <w:bCs/>
          <w:color w:val="auto"/>
        </w:rPr>
      </w:pPr>
      <w:r>
        <w:rPr>
          <w:b/>
          <w:color w:val="auto"/>
        </w:rPr>
        <w:t>10</w:t>
      </w:r>
      <w:r>
        <w:rPr>
          <w:color w:val="auto"/>
        </w:rPr>
        <w:t>　综合管廊明挖段坑底存在软土地层，抗隆起稳定性计算应满足现行行业标准《建筑基坑支护技术规程》JGJ 120的有关规定。</w:t>
      </w:r>
    </w:p>
    <w:p w14:paraId="3F944A7D">
      <w:pPr>
        <w:ind w:firstLine="482" w:firstLineChars="200"/>
        <w:jc w:val="left"/>
        <w:rPr>
          <w:bCs/>
          <w:color w:val="auto"/>
        </w:rPr>
      </w:pPr>
      <w:r>
        <w:rPr>
          <w:b/>
          <w:bCs/>
          <w:color w:val="auto"/>
        </w:rPr>
        <w:t>11　</w:t>
      </w:r>
      <w:r>
        <w:rPr>
          <w:bCs/>
          <w:color w:val="auto"/>
        </w:rPr>
        <w:t>土钉墙、复合土钉墙的坡度不宜大于1：0.2，无条件放坡的综合管廊明挖段支护，复合土钉墙垂直开挖深度不超过15m。当综合管廊明挖段较深、土的抗剪强度较低时，宜取较小坡度。对砂土、碎石土、松散填土，确定土钉墙坡度时尚应考虑开挖时坡面的局部自稳能力。微型桩、水泥土桩复合土钉墙，应采用微型桩、水泥土桩与土钉墙面层贴合的垂直墙面。</w:t>
      </w:r>
    </w:p>
    <w:p w14:paraId="06AD5603">
      <w:pPr>
        <w:ind w:firstLine="482" w:firstLineChars="200"/>
        <w:jc w:val="left"/>
        <w:rPr>
          <w:bCs/>
          <w:color w:val="auto"/>
        </w:rPr>
      </w:pPr>
      <w:r>
        <w:rPr>
          <w:b/>
          <w:bCs/>
          <w:color w:val="auto"/>
        </w:rPr>
        <w:t>12　</w:t>
      </w:r>
      <w:r>
        <w:rPr>
          <w:bCs/>
          <w:color w:val="auto"/>
        </w:rPr>
        <w:t>采用水泥土桩复合土钉墙时，水泥土桩应符合下列规定：</w:t>
      </w:r>
    </w:p>
    <w:p w14:paraId="7BA443C2">
      <w:pPr>
        <w:ind w:left="1065" w:leftChars="302" w:hanging="340" w:hangingChars="141"/>
        <w:rPr>
          <w:color w:val="auto"/>
        </w:rPr>
      </w:pPr>
      <w:r>
        <w:rPr>
          <w:b/>
          <w:bCs/>
          <w:color w:val="auto"/>
        </w:rPr>
        <w:t>1</w:t>
      </w:r>
      <w:r>
        <w:rPr>
          <w:color w:val="auto"/>
        </w:rPr>
        <w:t>）应根据水泥土桩施工工艺对土层特性和</w:t>
      </w:r>
      <w:r>
        <w:rPr>
          <w:bCs/>
          <w:color w:val="auto"/>
        </w:rPr>
        <w:t>综合管廊</w:t>
      </w:r>
      <w:r>
        <w:rPr>
          <w:color w:val="auto"/>
        </w:rPr>
        <w:t>明挖段周边环境条件的适用性选用搅拌桩、高压旋喷桩等桩型；</w:t>
      </w:r>
    </w:p>
    <w:p w14:paraId="01005430">
      <w:pPr>
        <w:ind w:left="1065" w:leftChars="302" w:hanging="340" w:hangingChars="141"/>
        <w:rPr>
          <w:color w:val="auto"/>
        </w:rPr>
      </w:pPr>
      <w:r>
        <w:rPr>
          <w:b/>
          <w:bCs/>
          <w:color w:val="auto"/>
        </w:rPr>
        <w:t>2</w:t>
      </w:r>
      <w:r>
        <w:rPr>
          <w:color w:val="auto"/>
        </w:rPr>
        <w:t>） 进入综合</w:t>
      </w:r>
      <w:r>
        <w:rPr>
          <w:bCs/>
          <w:color w:val="auto"/>
        </w:rPr>
        <w:t>管廊</w:t>
      </w:r>
      <w:r>
        <w:rPr>
          <w:color w:val="auto"/>
        </w:rPr>
        <w:t>底面的长度宜大于桩径的2倍，且不应小于1m；</w:t>
      </w:r>
    </w:p>
    <w:p w14:paraId="26DFE5AD">
      <w:pPr>
        <w:ind w:left="1065" w:leftChars="302" w:hanging="340" w:hangingChars="141"/>
        <w:rPr>
          <w:color w:val="auto"/>
        </w:rPr>
      </w:pPr>
      <w:r>
        <w:rPr>
          <w:b/>
          <w:bCs/>
          <w:color w:val="auto"/>
        </w:rPr>
        <w:t>3</w:t>
      </w:r>
      <w:r>
        <w:rPr>
          <w:color w:val="auto"/>
        </w:rPr>
        <w:t>）水泥土桩应与喷射混凝土面层贴合；</w:t>
      </w:r>
    </w:p>
    <w:p w14:paraId="77A8CEBE">
      <w:pPr>
        <w:ind w:left="925" w:leftChars="302" w:hanging="200" w:hangingChars="83"/>
        <w:rPr>
          <w:color w:val="auto"/>
        </w:rPr>
      </w:pPr>
      <w:r>
        <w:rPr>
          <w:b/>
          <w:bCs/>
          <w:color w:val="auto"/>
        </w:rPr>
        <w:t>4</w:t>
      </w:r>
      <w:r>
        <w:rPr>
          <w:color w:val="auto"/>
        </w:rPr>
        <w:t>）水泥土桩桩身28d无侧限抗压强度不宜小于1MPa；</w:t>
      </w:r>
    </w:p>
    <w:p w14:paraId="4E76AC71">
      <w:pPr>
        <w:ind w:left="1065" w:leftChars="302" w:hanging="340" w:hangingChars="141"/>
        <w:rPr>
          <w:color w:val="auto"/>
        </w:rPr>
      </w:pPr>
      <w:r>
        <w:rPr>
          <w:b/>
          <w:bCs/>
          <w:color w:val="auto"/>
        </w:rPr>
        <w:t>5</w:t>
      </w:r>
      <w:r>
        <w:rPr>
          <w:color w:val="auto"/>
        </w:rPr>
        <w:t>）水泥土桩兼作截水帷幕时，尚应符合本规程第5章和第6章地下水控制要求。</w:t>
      </w:r>
    </w:p>
    <w:p w14:paraId="72F4DB96">
      <w:pPr>
        <w:ind w:firstLine="482" w:firstLineChars="200"/>
        <w:jc w:val="left"/>
        <w:rPr>
          <w:bCs/>
          <w:color w:val="auto"/>
        </w:rPr>
      </w:pPr>
      <w:r>
        <w:rPr>
          <w:b/>
          <w:bCs/>
          <w:color w:val="auto"/>
        </w:rPr>
        <w:t>13　</w:t>
      </w:r>
      <w:r>
        <w:rPr>
          <w:bCs/>
          <w:color w:val="auto"/>
        </w:rPr>
        <w:t>微型桩垂直复合土钉墙，微型桩应符合下列规定：</w:t>
      </w:r>
    </w:p>
    <w:p w14:paraId="3FC3F9AE">
      <w:pPr>
        <w:ind w:left="1060" w:leftChars="300" w:hanging="340" w:hangingChars="141"/>
        <w:rPr>
          <w:color w:val="auto"/>
        </w:rPr>
      </w:pPr>
      <w:r>
        <w:rPr>
          <w:b/>
          <w:bCs/>
          <w:color w:val="auto"/>
        </w:rPr>
        <w:t>1</w:t>
      </w:r>
      <w:r>
        <w:rPr>
          <w:color w:val="auto"/>
        </w:rPr>
        <w:t>）应根据微型桩施工工艺对土层特性和</w:t>
      </w:r>
      <w:r>
        <w:rPr>
          <w:bCs/>
          <w:color w:val="auto"/>
        </w:rPr>
        <w:t>综合管廊</w:t>
      </w:r>
      <w:r>
        <w:rPr>
          <w:color w:val="auto"/>
        </w:rPr>
        <w:t>明挖段周边环境条件的适用性选择微型钢管桩、型钢桩或钻孔灌注桩等桩型；</w:t>
      </w:r>
    </w:p>
    <w:p w14:paraId="1D2B4A6E">
      <w:pPr>
        <w:ind w:left="1060" w:leftChars="300" w:hanging="340" w:hangingChars="141"/>
        <w:rPr>
          <w:color w:val="auto"/>
        </w:rPr>
      </w:pPr>
      <w:r>
        <w:rPr>
          <w:b/>
          <w:bCs/>
          <w:color w:val="auto"/>
        </w:rPr>
        <w:t>2</w:t>
      </w:r>
      <w:r>
        <w:rPr>
          <w:color w:val="auto"/>
        </w:rPr>
        <w:t>）微型桩桩顶上宜设置连梁，将桩连接在一起，连梁上可设置预应力锚杆或土钉。</w:t>
      </w:r>
    </w:p>
    <w:p w14:paraId="0D9EF0ED">
      <w:pPr>
        <w:ind w:left="1060" w:leftChars="300" w:hanging="340" w:hangingChars="141"/>
        <w:rPr>
          <w:color w:val="auto"/>
        </w:rPr>
      </w:pPr>
      <w:r>
        <w:rPr>
          <w:b/>
          <w:bCs/>
          <w:color w:val="auto"/>
        </w:rPr>
        <w:t>3</w:t>
      </w:r>
      <w:r>
        <w:rPr>
          <w:color w:val="auto"/>
        </w:rPr>
        <w:t>）微型桩的直径、规格应根据对复合墙面的强度要求确定；采用成孔后插入微型钢管桩、型钢桩的工艺时，成孔直径宜取100mm～400mm，对钢管，其直径宜取48mm～250mm，配置型钢时，宜选用16-22号工字钢或H型钢；孔内应灌注水泥浆或水泥砂浆并充填密实；采用微型混凝土桩时，其直径宜取200mm～300mm；</w:t>
      </w:r>
    </w:p>
    <w:p w14:paraId="130420C6">
      <w:pPr>
        <w:spacing w:line="336" w:lineRule="auto"/>
        <w:ind w:left="1060" w:leftChars="300" w:hanging="340" w:hangingChars="141"/>
        <w:rPr>
          <w:color w:val="auto"/>
        </w:rPr>
      </w:pPr>
      <w:r>
        <w:rPr>
          <w:b/>
          <w:bCs/>
          <w:color w:val="auto"/>
        </w:rPr>
        <w:t>4</w:t>
      </w:r>
      <w:r>
        <w:rPr>
          <w:color w:val="auto"/>
        </w:rPr>
        <w:t>）微型桩进入</w:t>
      </w:r>
      <w:r>
        <w:rPr>
          <w:bCs/>
          <w:color w:val="auto"/>
        </w:rPr>
        <w:t>综合管廊</w:t>
      </w:r>
      <w:r>
        <w:rPr>
          <w:color w:val="auto"/>
        </w:rPr>
        <w:t>明挖段坑底面的长度宜大于桩径的5倍，且不应小于2m。</w:t>
      </w:r>
    </w:p>
    <w:p w14:paraId="6E03C1C3">
      <w:pPr>
        <w:spacing w:before="164" w:beforeLines="50" w:after="164" w:afterLines="50"/>
        <w:ind w:firstLine="0"/>
        <w:jc w:val="center"/>
        <w:outlineLvl w:val="2"/>
        <w:rPr>
          <w:rFonts w:eastAsia="仿宋"/>
          <w:b/>
          <w:bCs/>
          <w:color w:val="auto"/>
          <w:sz w:val="28"/>
          <w:szCs w:val="28"/>
        </w:rPr>
      </w:pPr>
      <w:bookmarkStart w:id="254" w:name="_Toc13773"/>
      <w:bookmarkStart w:id="255" w:name="_Toc30814"/>
      <w:bookmarkStart w:id="256" w:name="_Toc12441"/>
      <w:bookmarkStart w:id="257" w:name="_Toc21542"/>
      <w:bookmarkStart w:id="258" w:name="_Toc6056"/>
      <w:r>
        <w:rPr>
          <w:rFonts w:eastAsia="仿宋"/>
          <w:b/>
          <w:bCs/>
          <w:color w:val="auto"/>
          <w:sz w:val="28"/>
          <w:szCs w:val="28"/>
        </w:rPr>
        <w:t>Ⅳ  组合钢连续墙</w:t>
      </w:r>
      <w:bookmarkEnd w:id="254"/>
      <w:bookmarkEnd w:id="255"/>
      <w:bookmarkEnd w:id="256"/>
      <w:bookmarkEnd w:id="257"/>
      <w:bookmarkEnd w:id="258"/>
    </w:p>
    <w:p w14:paraId="151F3F5E">
      <w:pPr>
        <w:ind w:firstLine="0"/>
        <w:rPr>
          <w:bCs/>
          <w:color w:val="auto"/>
        </w:rPr>
      </w:pPr>
      <w:r>
        <w:rPr>
          <w:b/>
          <w:bCs/>
          <w:color w:val="auto"/>
        </w:rPr>
        <w:t>5.2.24　</w:t>
      </w:r>
      <w:r>
        <w:rPr>
          <w:color w:val="auto"/>
        </w:rPr>
        <w:t>组合钢</w:t>
      </w:r>
      <w:r>
        <w:rPr>
          <w:bCs/>
          <w:color w:val="auto"/>
        </w:rPr>
        <w:t>连续墙（图5.2.24）设计应符合下列规定：</w:t>
      </w:r>
    </w:p>
    <w:p w14:paraId="5555B15F">
      <w:pPr>
        <w:ind w:firstLine="0"/>
        <w:jc w:val="center"/>
        <w:rPr>
          <w:bCs/>
          <w:color w:val="auto"/>
        </w:rPr>
      </w:pPr>
    </w:p>
    <w:p w14:paraId="013BB6BD">
      <w:pPr>
        <w:ind w:firstLine="0"/>
        <w:jc w:val="center"/>
        <w:rPr>
          <w:b/>
          <w:bCs/>
          <w:color w:val="auto"/>
          <w:sz w:val="21"/>
          <w:szCs w:val="21"/>
        </w:rPr>
      </w:pPr>
      <w:r>
        <w:rPr>
          <w:b/>
          <w:bCs/>
          <w:color w:val="auto"/>
          <w:sz w:val="21"/>
          <w:szCs w:val="21"/>
        </w:rPr>
        <w:drawing>
          <wp:inline distT="0" distB="0" distL="114300" distR="114300">
            <wp:extent cx="4371975" cy="2186305"/>
            <wp:effectExtent l="0" t="0" r="9525" b="10795"/>
            <wp:docPr id="21" name="图片 2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3"/>
                    <pic:cNvPicPr>
                      <a:picLocks noChangeAspect="1"/>
                    </pic:cNvPicPr>
                  </pic:nvPicPr>
                  <pic:blipFill>
                    <a:blip r:embed="rId328"/>
                    <a:stretch>
                      <a:fillRect/>
                    </a:stretch>
                  </pic:blipFill>
                  <pic:spPr>
                    <a:xfrm>
                      <a:off x="0" y="0"/>
                      <a:ext cx="4371975" cy="2186305"/>
                    </a:xfrm>
                    <a:prstGeom prst="rect">
                      <a:avLst/>
                    </a:prstGeom>
                  </pic:spPr>
                </pic:pic>
              </a:graphicData>
            </a:graphic>
          </wp:inline>
        </w:drawing>
      </w:r>
    </w:p>
    <w:p w14:paraId="4F933442">
      <w:pPr>
        <w:ind w:firstLine="0"/>
        <w:jc w:val="center"/>
        <w:rPr>
          <w:b/>
          <w:bCs/>
          <w:color w:val="auto"/>
          <w:sz w:val="21"/>
          <w:szCs w:val="21"/>
        </w:rPr>
      </w:pPr>
      <w:r>
        <w:rPr>
          <w:color w:val="auto"/>
          <w:sz w:val="18"/>
          <w:szCs w:val="18"/>
        </w:rPr>
        <w:t>l</w:t>
      </w:r>
      <w:r>
        <w:rPr>
          <w:color w:val="auto"/>
          <w:sz w:val="18"/>
          <w:szCs w:val="18"/>
        </w:rPr>
        <w:sym w:font="Symbol" w:char="F0BE"/>
      </w:r>
      <w:r>
        <w:rPr>
          <w:color w:val="auto"/>
          <w:sz w:val="18"/>
          <w:szCs w:val="18"/>
        </w:rPr>
        <w:t>钢板桩；2</w:t>
      </w:r>
      <w:r>
        <w:rPr>
          <w:color w:val="auto"/>
          <w:sz w:val="18"/>
          <w:szCs w:val="18"/>
        </w:rPr>
        <w:sym w:font="Symbol" w:char="F0BE"/>
      </w:r>
      <w:r>
        <w:rPr>
          <w:color w:val="auto"/>
          <w:sz w:val="18"/>
          <w:szCs w:val="18"/>
        </w:rPr>
        <w:t>钢腰梁；3</w:t>
      </w:r>
      <w:r>
        <w:rPr>
          <w:color w:val="auto"/>
          <w:sz w:val="18"/>
          <w:szCs w:val="18"/>
        </w:rPr>
        <w:sym w:font="Symbol" w:char="F0BE"/>
      </w:r>
      <w:r>
        <w:rPr>
          <w:color w:val="auto"/>
          <w:sz w:val="18"/>
          <w:szCs w:val="18"/>
        </w:rPr>
        <w:t>钢管支撑；4</w:t>
      </w:r>
      <w:r>
        <w:rPr>
          <w:color w:val="auto"/>
          <w:sz w:val="18"/>
          <w:szCs w:val="18"/>
        </w:rPr>
        <w:sym w:font="Symbol" w:char="F0BE"/>
      </w:r>
      <w:r>
        <w:rPr>
          <w:color w:val="auto"/>
          <w:sz w:val="18"/>
          <w:szCs w:val="18"/>
        </w:rPr>
        <w:t>锚拉钢筋</w:t>
      </w:r>
    </w:p>
    <w:p w14:paraId="2D60E0FA">
      <w:pPr>
        <w:ind w:firstLine="0"/>
        <w:jc w:val="center"/>
        <w:rPr>
          <w:b/>
          <w:bCs/>
          <w:color w:val="auto"/>
          <w:sz w:val="21"/>
          <w:szCs w:val="21"/>
        </w:rPr>
      </w:pPr>
      <w:r>
        <w:rPr>
          <w:b/>
          <w:bCs/>
          <w:color w:val="auto"/>
          <w:sz w:val="21"/>
          <w:szCs w:val="21"/>
        </w:rPr>
        <w:t>图5.2.24　钢板桩结合设置内支撑或锚杆等组合</w:t>
      </w:r>
    </w:p>
    <w:p w14:paraId="58104410">
      <w:pPr>
        <w:ind w:firstLine="482" w:firstLineChars="200"/>
        <w:rPr>
          <w:bCs/>
          <w:color w:val="auto"/>
        </w:rPr>
      </w:pPr>
      <w:r>
        <w:rPr>
          <w:b/>
          <w:bCs/>
          <w:color w:val="auto"/>
        </w:rPr>
        <w:t>1　</w:t>
      </w:r>
      <w:r>
        <w:rPr>
          <w:bCs/>
          <w:color w:val="auto"/>
        </w:rPr>
        <w:t>单纯钢板桩支护适用于综合管廊明挖段开挖深度小于10m，且邻近无重要建筑物基础或重要地下管线的管廊明挖段工程。适用的地层为黏性土、粉土、砂土、素填土和薄层的淤泥及淤泥质土。用于杂填土和含有碎石、卵石及漂石、块石，密实的圆砾、角砾、砾砂，以及标准贯入试验锤击数大于25击的土层时，宜通过现场试验确定其适用性；</w:t>
      </w:r>
    </w:p>
    <w:p w14:paraId="691F01D4">
      <w:pPr>
        <w:ind w:firstLine="482" w:firstLineChars="200"/>
        <w:rPr>
          <w:bCs/>
          <w:color w:val="auto"/>
        </w:rPr>
      </w:pPr>
      <w:r>
        <w:rPr>
          <w:b/>
          <w:bCs/>
          <w:color w:val="auto"/>
        </w:rPr>
        <w:t>2　</w:t>
      </w:r>
      <w:r>
        <w:rPr>
          <w:bCs/>
          <w:color w:val="auto"/>
        </w:rPr>
        <w:t>型钢组合桩包括钢管+拉森桩组合桩、帽型钢板桩+H型钢组合桩等，与撑锚结构结合可用于开挖深度大于10m综合管廊明挖段支护；</w:t>
      </w:r>
    </w:p>
    <w:p w14:paraId="38C1A695">
      <w:pPr>
        <w:ind w:firstLine="482" w:firstLineChars="200"/>
        <w:rPr>
          <w:bCs/>
          <w:color w:val="auto"/>
        </w:rPr>
      </w:pPr>
      <w:r>
        <w:rPr>
          <w:b/>
          <w:color w:val="auto"/>
        </w:rPr>
        <w:t>3　</w:t>
      </w:r>
      <w:r>
        <w:rPr>
          <w:bCs/>
          <w:color w:val="auto"/>
        </w:rPr>
        <w:t>型钢组合桩设计时除了需考虑结构受力所需截面模量、惯性矩等力学特性、结构变形协调性、构造连接等方面的要求外，还需结合施工环境考虑组合结构运输、堆放、焊接或连接、沉桩、桩锤改造等因素。侧向荷载较大时，组合桩体系可采用撑锚结构协助控制变形。</w:t>
      </w:r>
    </w:p>
    <w:p w14:paraId="10F9B0F0">
      <w:pPr>
        <w:ind w:firstLine="482" w:firstLineChars="200"/>
        <w:rPr>
          <w:bCs/>
          <w:color w:val="auto"/>
        </w:rPr>
      </w:pPr>
      <w:r>
        <w:rPr>
          <w:b/>
          <w:bCs/>
          <w:color w:val="auto"/>
        </w:rPr>
        <w:t>4　</w:t>
      </w:r>
      <w:r>
        <w:rPr>
          <w:color w:val="auto"/>
        </w:rPr>
        <w:t>对于止水性能要求高的综合管廊工程明挖段，设计时应采用能够保证锁口止水性能的热轧钢板桩，其他情况可选用冷弯钢板桩；</w:t>
      </w:r>
    </w:p>
    <w:p w14:paraId="1E845025">
      <w:pPr>
        <w:ind w:firstLine="482" w:firstLineChars="200"/>
        <w:rPr>
          <w:bCs/>
          <w:color w:val="auto"/>
        </w:rPr>
      </w:pPr>
      <w:r>
        <w:rPr>
          <w:b/>
          <w:bCs/>
          <w:color w:val="auto"/>
        </w:rPr>
        <w:t>5　</w:t>
      </w:r>
      <w:r>
        <w:rPr>
          <w:bCs/>
          <w:color w:val="auto"/>
        </w:rPr>
        <w:t>当钢板桩采用锁口止水时，沉桩前应在锁口内嵌填黄油、沥青或其他密封止水材料，防渗要求高时，应在综合管廊外另行设置截水帷幕；</w:t>
      </w:r>
    </w:p>
    <w:p w14:paraId="41F04AF8">
      <w:pPr>
        <w:ind w:firstLine="482" w:firstLineChars="200"/>
        <w:rPr>
          <w:color w:val="auto"/>
        </w:rPr>
      </w:pPr>
      <w:r>
        <w:rPr>
          <w:b/>
          <w:bCs/>
          <w:color w:val="auto"/>
        </w:rPr>
        <w:t>6　</w:t>
      </w:r>
      <w:r>
        <w:rPr>
          <w:bCs/>
          <w:color w:val="auto"/>
        </w:rPr>
        <w:t>钢板桩结合内支撑或锚杆等组合而成的板式支护体系，适用于开挖较深、场地空间狭小以及周边环境保护要求较高的综合管廊明挖段。临时工程支撑宜采用钢支撑，永久工程可选用锚杆（索）或混凝土支撑；</w:t>
      </w:r>
    </w:p>
    <w:p w14:paraId="732F7CA5">
      <w:pPr>
        <w:ind w:firstLine="482" w:firstLineChars="200"/>
        <w:rPr>
          <w:bCs/>
          <w:color w:val="auto"/>
        </w:rPr>
      </w:pPr>
      <w:r>
        <w:rPr>
          <w:b/>
          <w:bCs/>
          <w:color w:val="auto"/>
        </w:rPr>
        <w:t>7　</w:t>
      </w:r>
      <w:r>
        <w:rPr>
          <w:bCs/>
          <w:color w:val="auto"/>
        </w:rPr>
        <w:t>选用钢板桩时应考虑钢板桩的打入、拔除对周边环境的扰动，应事先调查其对周边环境的影响。钢板桩施工前，应采用适当的工艺和方法减少沉桩时的挤土与振动影响。打桩时应控制桩架和钢板桩的垂直度；沉桩时，应保护好先行沉入的钢板桩；</w:t>
      </w:r>
    </w:p>
    <w:p w14:paraId="6B94767B">
      <w:pPr>
        <w:ind w:firstLine="482" w:firstLineChars="200"/>
        <w:rPr>
          <w:bCs/>
          <w:color w:val="auto"/>
        </w:rPr>
      </w:pPr>
      <w:r>
        <w:rPr>
          <w:b/>
          <w:bCs/>
          <w:color w:val="auto"/>
        </w:rPr>
        <w:t>8　</w:t>
      </w:r>
      <w:r>
        <w:rPr>
          <w:color w:val="auto"/>
        </w:rPr>
        <w:t>组合</w:t>
      </w:r>
      <w:r>
        <w:rPr>
          <w:bCs/>
          <w:color w:val="auto"/>
        </w:rPr>
        <w:t>钢连续墙采用内支撑或锚拉杆时，钢板桩宜设置钢腰梁，腰梁可采用型钢结构，应有足够的刚度。钢腰梁应贴合钢板桩，其间如果存在间隙应灌以细石混凝土填实；</w:t>
      </w:r>
    </w:p>
    <w:p w14:paraId="032A43E4">
      <w:pPr>
        <w:ind w:firstLine="482" w:firstLineChars="200"/>
      </w:pPr>
      <w:r>
        <w:rPr>
          <w:b/>
          <w:bCs/>
          <w:color w:val="auto"/>
        </w:rPr>
        <w:t>9</w:t>
      </w:r>
      <w:r>
        <w:rPr>
          <w:bCs/>
          <w:color w:val="auto"/>
        </w:rPr>
        <w:t>　</w:t>
      </w:r>
      <w:r>
        <w:rPr>
          <w:color w:val="auto"/>
        </w:rPr>
        <w:t>组合</w:t>
      </w:r>
      <w:r>
        <w:rPr>
          <w:bCs/>
          <w:color w:val="auto"/>
        </w:rPr>
        <w:t>钢连续墙</w:t>
      </w:r>
      <w:r>
        <w:t>的组合截面参数按材料力学的方法计算，截面惯性矩应按桩顶部或支撑点的构造乘以下列折减系数：</w:t>
      </w:r>
    </w:p>
    <w:p w14:paraId="711D1DBE">
      <w:pPr>
        <w:ind w:left="480" w:firstLine="240" w:firstLineChars="100"/>
        <w:jc w:val="left"/>
      </w:pPr>
      <w:r>
        <w:t>1）桩顶设置整体冠梁或支撑点设有整体腰梁时，折减系数取0.9；</w:t>
      </w:r>
    </w:p>
    <w:p w14:paraId="2B228BAC">
      <w:pPr>
        <w:ind w:firstLine="720" w:firstLineChars="300"/>
        <w:jc w:val="left"/>
        <w:rPr>
          <w:bCs/>
          <w:color w:val="auto"/>
        </w:rPr>
      </w:pPr>
      <w:r>
        <w:t>2）桩顶不设整体冠梁或腰梁分段设置时，折减系数取07。</w:t>
      </w:r>
    </w:p>
    <w:p w14:paraId="1DEEC77C">
      <w:pPr>
        <w:ind w:firstLine="482" w:firstLineChars="200"/>
        <w:rPr>
          <w:bCs/>
          <w:color w:val="auto"/>
        </w:rPr>
      </w:pPr>
      <w:r>
        <w:rPr>
          <w:b/>
          <w:bCs/>
          <w:color w:val="auto"/>
        </w:rPr>
        <w:t>10　</w:t>
      </w:r>
      <w:r>
        <w:rPr>
          <w:color w:val="auto"/>
        </w:rPr>
        <w:t>组合</w:t>
      </w:r>
      <w:r>
        <w:rPr>
          <w:bCs/>
          <w:color w:val="auto"/>
        </w:rPr>
        <w:t>钢连续墙规格应通过支护结构的内力、变形计算和稳定性验算确定，其外形与锁口尺寸、截面特性等详见</w:t>
      </w:r>
      <w:r>
        <w:rPr>
          <w:bCs/>
        </w:rPr>
        <w:t>现行国家标准</w:t>
      </w:r>
      <w:r>
        <w:rPr>
          <w:bCs/>
          <w:color w:val="auto"/>
        </w:rPr>
        <w:t>《热轧钢板桩》GB/T 20933；</w:t>
      </w:r>
      <w:r>
        <w:rPr>
          <w:color w:val="auto"/>
        </w:rPr>
        <w:t>组合</w:t>
      </w:r>
      <w:r>
        <w:rPr>
          <w:bCs/>
          <w:color w:val="auto"/>
        </w:rPr>
        <w:t>钢连续墙的受弯、受剪承载力应按</w:t>
      </w:r>
      <w:r>
        <w:rPr>
          <w:bCs/>
        </w:rPr>
        <w:t>现行国家标准</w:t>
      </w:r>
      <w:r>
        <w:rPr>
          <w:bCs/>
          <w:color w:val="auto"/>
        </w:rPr>
        <w:t>《钢结构设计规范》GB 50017的有关规定进行计算；</w:t>
      </w:r>
    </w:p>
    <w:p w14:paraId="61EF26D5">
      <w:pPr>
        <w:ind w:firstLine="482" w:firstLineChars="200"/>
        <w:jc w:val="left"/>
        <w:rPr>
          <w:bCs/>
          <w:color w:val="auto"/>
        </w:rPr>
      </w:pPr>
      <w:r>
        <w:rPr>
          <w:b/>
          <w:bCs/>
          <w:color w:val="auto"/>
        </w:rPr>
        <w:t>11　</w:t>
      </w:r>
      <w:r>
        <w:rPr>
          <w:color w:val="auto"/>
        </w:rPr>
        <w:t>组合</w:t>
      </w:r>
      <w:r>
        <w:rPr>
          <w:bCs/>
          <w:color w:val="auto"/>
        </w:rPr>
        <w:t>钢连续墙施工允许偏差应符合表5.2.24规定：</w:t>
      </w:r>
    </w:p>
    <w:p w14:paraId="640DB7B5">
      <w:pPr>
        <w:ind w:firstLine="2319" w:firstLineChars="1100"/>
        <w:jc w:val="left"/>
        <w:rPr>
          <w:b/>
          <w:bCs/>
          <w:color w:val="auto"/>
          <w:sz w:val="21"/>
          <w:szCs w:val="21"/>
        </w:rPr>
      </w:pPr>
      <w:r>
        <w:rPr>
          <w:b/>
          <w:bCs/>
          <w:color w:val="auto"/>
          <w:sz w:val="21"/>
          <w:szCs w:val="21"/>
        </w:rPr>
        <w:t>表5.2.24　组合钢连续墙允许偏差</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2130"/>
        <w:gridCol w:w="2131"/>
        <w:gridCol w:w="2131"/>
      </w:tblGrid>
      <w:tr w14:paraId="4D2B76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1" w:type="dxa"/>
            <w:vMerge w:val="restart"/>
            <w:tcBorders>
              <w:tl2br w:val="nil"/>
              <w:tr2bl w:val="nil"/>
            </w:tcBorders>
            <w:vAlign w:val="center"/>
          </w:tcPr>
          <w:p w14:paraId="69B03E97">
            <w:pPr>
              <w:spacing w:line="240" w:lineRule="auto"/>
              <w:ind w:firstLine="0"/>
              <w:jc w:val="center"/>
              <w:rPr>
                <w:color w:val="auto"/>
                <w:sz w:val="21"/>
                <w:szCs w:val="21"/>
              </w:rPr>
            </w:pPr>
            <w:r>
              <w:rPr>
                <w:color w:val="auto"/>
                <w:sz w:val="21"/>
                <w:szCs w:val="21"/>
              </w:rPr>
              <w:t>序号</w:t>
            </w:r>
          </w:p>
        </w:tc>
        <w:tc>
          <w:tcPr>
            <w:tcW w:w="2130" w:type="dxa"/>
            <w:vMerge w:val="restart"/>
            <w:tcBorders>
              <w:tl2br w:val="nil"/>
              <w:tr2bl w:val="nil"/>
            </w:tcBorders>
            <w:vAlign w:val="center"/>
          </w:tcPr>
          <w:p w14:paraId="45CA0EE8">
            <w:pPr>
              <w:spacing w:line="240" w:lineRule="auto"/>
              <w:ind w:firstLine="0"/>
              <w:jc w:val="center"/>
              <w:rPr>
                <w:color w:val="auto"/>
                <w:sz w:val="21"/>
                <w:szCs w:val="21"/>
              </w:rPr>
            </w:pPr>
            <w:r>
              <w:rPr>
                <w:color w:val="auto"/>
                <w:sz w:val="21"/>
                <w:szCs w:val="21"/>
              </w:rPr>
              <w:t>检查项目</w:t>
            </w:r>
          </w:p>
        </w:tc>
        <w:tc>
          <w:tcPr>
            <w:tcW w:w="4262" w:type="dxa"/>
            <w:gridSpan w:val="2"/>
            <w:tcBorders>
              <w:tl2br w:val="nil"/>
              <w:tr2bl w:val="nil"/>
            </w:tcBorders>
            <w:vAlign w:val="center"/>
          </w:tcPr>
          <w:p w14:paraId="434E1355">
            <w:pPr>
              <w:spacing w:line="240" w:lineRule="auto"/>
              <w:ind w:firstLine="0"/>
              <w:jc w:val="center"/>
              <w:rPr>
                <w:color w:val="auto"/>
                <w:sz w:val="21"/>
                <w:szCs w:val="21"/>
              </w:rPr>
            </w:pPr>
            <w:r>
              <w:rPr>
                <w:color w:val="auto"/>
                <w:sz w:val="21"/>
                <w:szCs w:val="21"/>
              </w:rPr>
              <w:t>允许偏差或允许值</w:t>
            </w:r>
          </w:p>
        </w:tc>
      </w:tr>
      <w:tr w14:paraId="584E9F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1" w:type="dxa"/>
            <w:vMerge w:val="continue"/>
            <w:tcBorders>
              <w:tl2br w:val="nil"/>
              <w:tr2bl w:val="nil"/>
            </w:tcBorders>
            <w:vAlign w:val="center"/>
          </w:tcPr>
          <w:p w14:paraId="2DAE1C89">
            <w:pPr>
              <w:spacing w:line="240" w:lineRule="auto"/>
              <w:ind w:firstLine="0"/>
              <w:jc w:val="center"/>
              <w:rPr>
                <w:color w:val="auto"/>
                <w:sz w:val="21"/>
                <w:szCs w:val="21"/>
              </w:rPr>
            </w:pPr>
          </w:p>
        </w:tc>
        <w:tc>
          <w:tcPr>
            <w:tcW w:w="2130" w:type="dxa"/>
            <w:vMerge w:val="continue"/>
            <w:tcBorders>
              <w:tl2br w:val="nil"/>
              <w:tr2bl w:val="nil"/>
            </w:tcBorders>
            <w:vAlign w:val="center"/>
          </w:tcPr>
          <w:p w14:paraId="34B2AF72">
            <w:pPr>
              <w:spacing w:line="240" w:lineRule="auto"/>
              <w:ind w:firstLine="0"/>
              <w:jc w:val="center"/>
              <w:rPr>
                <w:color w:val="auto"/>
                <w:sz w:val="21"/>
                <w:szCs w:val="21"/>
              </w:rPr>
            </w:pPr>
          </w:p>
        </w:tc>
        <w:tc>
          <w:tcPr>
            <w:tcW w:w="2131" w:type="dxa"/>
            <w:tcBorders>
              <w:tl2br w:val="nil"/>
              <w:tr2bl w:val="nil"/>
            </w:tcBorders>
            <w:vAlign w:val="center"/>
          </w:tcPr>
          <w:p w14:paraId="25FF2F24">
            <w:pPr>
              <w:spacing w:line="240" w:lineRule="auto"/>
              <w:ind w:firstLine="0"/>
              <w:jc w:val="center"/>
              <w:rPr>
                <w:color w:val="auto"/>
                <w:sz w:val="21"/>
                <w:szCs w:val="21"/>
              </w:rPr>
            </w:pPr>
            <w:r>
              <w:rPr>
                <w:color w:val="auto"/>
                <w:sz w:val="21"/>
                <w:szCs w:val="21"/>
              </w:rPr>
              <w:t>单位</w:t>
            </w:r>
          </w:p>
        </w:tc>
        <w:tc>
          <w:tcPr>
            <w:tcW w:w="2131" w:type="dxa"/>
            <w:tcBorders>
              <w:tl2br w:val="nil"/>
              <w:tr2bl w:val="nil"/>
            </w:tcBorders>
            <w:vAlign w:val="center"/>
          </w:tcPr>
          <w:p w14:paraId="7C775626">
            <w:pPr>
              <w:spacing w:line="240" w:lineRule="auto"/>
              <w:ind w:firstLine="0"/>
              <w:jc w:val="center"/>
              <w:rPr>
                <w:color w:val="auto"/>
                <w:sz w:val="21"/>
                <w:szCs w:val="21"/>
              </w:rPr>
            </w:pPr>
            <w:r>
              <w:rPr>
                <w:color w:val="auto"/>
                <w:sz w:val="21"/>
                <w:szCs w:val="21"/>
              </w:rPr>
              <w:t>数值</w:t>
            </w:r>
          </w:p>
        </w:tc>
      </w:tr>
      <w:tr w14:paraId="1DF4E2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1" w:type="dxa"/>
            <w:tcBorders>
              <w:tl2br w:val="nil"/>
              <w:tr2bl w:val="nil"/>
            </w:tcBorders>
            <w:vAlign w:val="center"/>
          </w:tcPr>
          <w:p w14:paraId="32C21F93">
            <w:pPr>
              <w:spacing w:line="240" w:lineRule="auto"/>
              <w:ind w:firstLine="0"/>
              <w:jc w:val="center"/>
              <w:rPr>
                <w:color w:val="auto"/>
                <w:sz w:val="21"/>
                <w:szCs w:val="21"/>
              </w:rPr>
            </w:pPr>
            <w:r>
              <w:rPr>
                <w:color w:val="auto"/>
                <w:sz w:val="21"/>
                <w:szCs w:val="21"/>
              </w:rPr>
              <w:t>1</w:t>
            </w:r>
          </w:p>
        </w:tc>
        <w:tc>
          <w:tcPr>
            <w:tcW w:w="2130" w:type="dxa"/>
            <w:tcBorders>
              <w:tl2br w:val="nil"/>
              <w:tr2bl w:val="nil"/>
            </w:tcBorders>
            <w:vAlign w:val="center"/>
          </w:tcPr>
          <w:p w14:paraId="6BE0D338">
            <w:pPr>
              <w:spacing w:line="240" w:lineRule="auto"/>
              <w:ind w:firstLine="0"/>
              <w:jc w:val="center"/>
              <w:rPr>
                <w:color w:val="auto"/>
                <w:sz w:val="21"/>
                <w:szCs w:val="21"/>
              </w:rPr>
            </w:pPr>
            <w:r>
              <w:rPr>
                <w:color w:val="auto"/>
                <w:sz w:val="21"/>
                <w:szCs w:val="21"/>
              </w:rPr>
              <w:t>成桩垂直度</w:t>
            </w:r>
          </w:p>
        </w:tc>
        <w:tc>
          <w:tcPr>
            <w:tcW w:w="2131" w:type="dxa"/>
            <w:tcBorders>
              <w:tl2br w:val="nil"/>
              <w:tr2bl w:val="nil"/>
            </w:tcBorders>
            <w:vAlign w:val="center"/>
          </w:tcPr>
          <w:p w14:paraId="5B6226DC">
            <w:pPr>
              <w:spacing w:line="240" w:lineRule="auto"/>
              <w:ind w:firstLine="0"/>
              <w:jc w:val="center"/>
              <w:rPr>
                <w:color w:val="auto"/>
                <w:sz w:val="21"/>
                <w:szCs w:val="21"/>
              </w:rPr>
            </w:pPr>
            <w:r>
              <w:rPr>
                <w:color w:val="auto"/>
                <w:sz w:val="21"/>
                <w:szCs w:val="21"/>
              </w:rPr>
              <w:t>-</w:t>
            </w:r>
          </w:p>
        </w:tc>
        <w:tc>
          <w:tcPr>
            <w:tcW w:w="2131" w:type="dxa"/>
            <w:tcBorders>
              <w:tl2br w:val="nil"/>
              <w:tr2bl w:val="nil"/>
            </w:tcBorders>
            <w:vAlign w:val="center"/>
          </w:tcPr>
          <w:p w14:paraId="19ED173D">
            <w:pPr>
              <w:spacing w:line="240" w:lineRule="auto"/>
              <w:ind w:firstLine="0"/>
              <w:jc w:val="center"/>
              <w:rPr>
                <w:color w:val="auto"/>
                <w:sz w:val="21"/>
                <w:szCs w:val="21"/>
              </w:rPr>
            </w:pPr>
            <w:r>
              <w:rPr>
                <w:color w:val="auto"/>
                <w:sz w:val="21"/>
                <w:szCs w:val="21"/>
              </w:rPr>
              <w:t>≤1/100</w:t>
            </w:r>
          </w:p>
        </w:tc>
      </w:tr>
      <w:tr w14:paraId="574B87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1" w:type="dxa"/>
            <w:tcBorders>
              <w:tl2br w:val="nil"/>
              <w:tr2bl w:val="nil"/>
            </w:tcBorders>
            <w:vAlign w:val="center"/>
          </w:tcPr>
          <w:p w14:paraId="38035573">
            <w:pPr>
              <w:spacing w:line="240" w:lineRule="auto"/>
              <w:ind w:firstLine="0"/>
              <w:jc w:val="center"/>
              <w:rPr>
                <w:color w:val="auto"/>
                <w:sz w:val="21"/>
                <w:szCs w:val="21"/>
              </w:rPr>
            </w:pPr>
            <w:r>
              <w:rPr>
                <w:color w:val="auto"/>
                <w:sz w:val="21"/>
                <w:szCs w:val="21"/>
              </w:rPr>
              <w:t>2</w:t>
            </w:r>
          </w:p>
        </w:tc>
        <w:tc>
          <w:tcPr>
            <w:tcW w:w="2130" w:type="dxa"/>
            <w:tcBorders>
              <w:tl2br w:val="nil"/>
              <w:tr2bl w:val="nil"/>
            </w:tcBorders>
            <w:vAlign w:val="center"/>
          </w:tcPr>
          <w:p w14:paraId="064C7BDD">
            <w:pPr>
              <w:spacing w:line="240" w:lineRule="auto"/>
              <w:ind w:firstLine="0"/>
              <w:jc w:val="center"/>
              <w:rPr>
                <w:color w:val="auto"/>
                <w:sz w:val="21"/>
                <w:szCs w:val="21"/>
              </w:rPr>
            </w:pPr>
            <w:r>
              <w:rPr>
                <w:color w:val="auto"/>
                <w:sz w:val="21"/>
                <w:szCs w:val="21"/>
              </w:rPr>
              <w:t>桩身弯曲度</w:t>
            </w:r>
          </w:p>
        </w:tc>
        <w:tc>
          <w:tcPr>
            <w:tcW w:w="2131" w:type="dxa"/>
            <w:tcBorders>
              <w:tl2br w:val="nil"/>
              <w:tr2bl w:val="nil"/>
            </w:tcBorders>
            <w:vAlign w:val="center"/>
          </w:tcPr>
          <w:p w14:paraId="71C71D5C">
            <w:pPr>
              <w:spacing w:line="240" w:lineRule="auto"/>
              <w:ind w:firstLine="0"/>
              <w:jc w:val="center"/>
              <w:rPr>
                <w:color w:val="auto"/>
                <w:sz w:val="21"/>
                <w:szCs w:val="21"/>
              </w:rPr>
            </w:pPr>
            <w:r>
              <w:rPr>
                <w:color w:val="auto"/>
                <w:sz w:val="21"/>
                <w:szCs w:val="21"/>
              </w:rPr>
              <w:t>-</w:t>
            </w:r>
          </w:p>
        </w:tc>
        <w:tc>
          <w:tcPr>
            <w:tcW w:w="2131" w:type="dxa"/>
            <w:tcBorders>
              <w:tl2br w:val="nil"/>
              <w:tr2bl w:val="nil"/>
            </w:tcBorders>
            <w:vAlign w:val="center"/>
          </w:tcPr>
          <w:p w14:paraId="6108DB81">
            <w:pPr>
              <w:spacing w:line="240" w:lineRule="auto"/>
              <w:ind w:firstLine="0"/>
              <w:jc w:val="center"/>
              <w:rPr>
                <w:color w:val="auto"/>
                <w:sz w:val="21"/>
                <w:szCs w:val="21"/>
              </w:rPr>
            </w:pPr>
            <w:r>
              <w:rPr>
                <w:color w:val="auto"/>
                <w:sz w:val="21"/>
                <w:szCs w:val="21"/>
              </w:rPr>
              <w:t>&lt;2%L（L为桩长）</w:t>
            </w:r>
          </w:p>
        </w:tc>
      </w:tr>
      <w:tr w14:paraId="6C2A4B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1" w:type="dxa"/>
            <w:tcBorders>
              <w:tl2br w:val="nil"/>
              <w:tr2bl w:val="nil"/>
            </w:tcBorders>
            <w:vAlign w:val="center"/>
          </w:tcPr>
          <w:p w14:paraId="1F33B8E4">
            <w:pPr>
              <w:spacing w:line="240" w:lineRule="auto"/>
              <w:ind w:firstLine="0"/>
              <w:jc w:val="center"/>
              <w:rPr>
                <w:color w:val="auto"/>
                <w:sz w:val="21"/>
                <w:szCs w:val="21"/>
              </w:rPr>
            </w:pPr>
            <w:r>
              <w:rPr>
                <w:color w:val="auto"/>
                <w:sz w:val="21"/>
                <w:szCs w:val="21"/>
              </w:rPr>
              <w:t>3</w:t>
            </w:r>
          </w:p>
        </w:tc>
        <w:tc>
          <w:tcPr>
            <w:tcW w:w="2130" w:type="dxa"/>
            <w:tcBorders>
              <w:tl2br w:val="nil"/>
              <w:tr2bl w:val="nil"/>
            </w:tcBorders>
            <w:vAlign w:val="center"/>
          </w:tcPr>
          <w:p w14:paraId="2641E9AF">
            <w:pPr>
              <w:spacing w:line="240" w:lineRule="auto"/>
              <w:ind w:firstLine="0"/>
              <w:jc w:val="center"/>
              <w:rPr>
                <w:color w:val="auto"/>
                <w:sz w:val="21"/>
                <w:szCs w:val="21"/>
              </w:rPr>
            </w:pPr>
            <w:r>
              <w:rPr>
                <w:color w:val="auto"/>
                <w:sz w:val="21"/>
                <w:szCs w:val="21"/>
              </w:rPr>
              <w:t>轴线位置</w:t>
            </w:r>
          </w:p>
        </w:tc>
        <w:tc>
          <w:tcPr>
            <w:tcW w:w="2131" w:type="dxa"/>
            <w:tcBorders>
              <w:tl2br w:val="nil"/>
              <w:tr2bl w:val="nil"/>
            </w:tcBorders>
            <w:vAlign w:val="center"/>
          </w:tcPr>
          <w:p w14:paraId="00847999">
            <w:pPr>
              <w:spacing w:line="240" w:lineRule="auto"/>
              <w:ind w:firstLine="0"/>
              <w:jc w:val="center"/>
              <w:rPr>
                <w:color w:val="auto"/>
                <w:sz w:val="21"/>
                <w:szCs w:val="21"/>
              </w:rPr>
            </w:pPr>
            <w:r>
              <w:rPr>
                <w:color w:val="auto"/>
                <w:sz w:val="21"/>
                <w:szCs w:val="21"/>
              </w:rPr>
              <w:t>mm</w:t>
            </w:r>
          </w:p>
        </w:tc>
        <w:tc>
          <w:tcPr>
            <w:tcW w:w="2131" w:type="dxa"/>
            <w:tcBorders>
              <w:tl2br w:val="nil"/>
              <w:tr2bl w:val="nil"/>
            </w:tcBorders>
            <w:vAlign w:val="center"/>
          </w:tcPr>
          <w:p w14:paraId="035119FB">
            <w:pPr>
              <w:spacing w:line="240" w:lineRule="auto"/>
              <w:ind w:firstLine="0"/>
              <w:jc w:val="center"/>
              <w:rPr>
                <w:color w:val="auto"/>
                <w:sz w:val="21"/>
                <w:szCs w:val="21"/>
              </w:rPr>
            </w:pPr>
            <w:r>
              <w:rPr>
                <w:color w:val="auto"/>
                <w:sz w:val="21"/>
                <w:szCs w:val="21"/>
              </w:rPr>
              <w:t>±100</w:t>
            </w:r>
          </w:p>
        </w:tc>
      </w:tr>
      <w:tr w14:paraId="581524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1" w:type="dxa"/>
            <w:tcBorders>
              <w:tl2br w:val="nil"/>
              <w:tr2bl w:val="nil"/>
            </w:tcBorders>
            <w:vAlign w:val="center"/>
          </w:tcPr>
          <w:p w14:paraId="5E755A89">
            <w:pPr>
              <w:spacing w:line="240" w:lineRule="auto"/>
              <w:ind w:firstLine="0"/>
              <w:jc w:val="center"/>
              <w:rPr>
                <w:color w:val="auto"/>
                <w:sz w:val="21"/>
                <w:szCs w:val="21"/>
              </w:rPr>
            </w:pPr>
            <w:r>
              <w:rPr>
                <w:color w:val="auto"/>
                <w:sz w:val="21"/>
                <w:szCs w:val="21"/>
              </w:rPr>
              <w:t>4</w:t>
            </w:r>
          </w:p>
        </w:tc>
        <w:tc>
          <w:tcPr>
            <w:tcW w:w="2130" w:type="dxa"/>
            <w:tcBorders>
              <w:tl2br w:val="nil"/>
              <w:tr2bl w:val="nil"/>
            </w:tcBorders>
            <w:vAlign w:val="center"/>
          </w:tcPr>
          <w:p w14:paraId="44CAFCA0">
            <w:pPr>
              <w:spacing w:line="240" w:lineRule="auto"/>
              <w:ind w:firstLine="0"/>
              <w:jc w:val="center"/>
              <w:rPr>
                <w:color w:val="auto"/>
                <w:sz w:val="21"/>
                <w:szCs w:val="21"/>
              </w:rPr>
            </w:pPr>
            <w:r>
              <w:rPr>
                <w:color w:val="auto"/>
                <w:sz w:val="21"/>
                <w:szCs w:val="21"/>
              </w:rPr>
              <w:t>桩顶标高</w:t>
            </w:r>
          </w:p>
        </w:tc>
        <w:tc>
          <w:tcPr>
            <w:tcW w:w="2131" w:type="dxa"/>
            <w:tcBorders>
              <w:tl2br w:val="nil"/>
              <w:tr2bl w:val="nil"/>
            </w:tcBorders>
            <w:vAlign w:val="center"/>
          </w:tcPr>
          <w:p w14:paraId="7CB80EB0">
            <w:pPr>
              <w:spacing w:line="240" w:lineRule="auto"/>
              <w:ind w:firstLine="0"/>
              <w:jc w:val="center"/>
              <w:rPr>
                <w:color w:val="auto"/>
                <w:sz w:val="21"/>
                <w:szCs w:val="21"/>
              </w:rPr>
            </w:pPr>
            <w:r>
              <w:rPr>
                <w:color w:val="auto"/>
                <w:sz w:val="21"/>
                <w:szCs w:val="21"/>
              </w:rPr>
              <w:t>mm</w:t>
            </w:r>
          </w:p>
        </w:tc>
        <w:tc>
          <w:tcPr>
            <w:tcW w:w="2131" w:type="dxa"/>
            <w:tcBorders>
              <w:tl2br w:val="nil"/>
              <w:tr2bl w:val="nil"/>
            </w:tcBorders>
            <w:vAlign w:val="center"/>
          </w:tcPr>
          <w:p w14:paraId="2E913E88">
            <w:pPr>
              <w:spacing w:line="240" w:lineRule="auto"/>
              <w:ind w:firstLine="0"/>
              <w:jc w:val="center"/>
              <w:rPr>
                <w:color w:val="auto"/>
                <w:sz w:val="21"/>
                <w:szCs w:val="21"/>
              </w:rPr>
            </w:pPr>
            <w:r>
              <w:rPr>
                <w:color w:val="auto"/>
                <w:sz w:val="21"/>
                <w:szCs w:val="21"/>
              </w:rPr>
              <w:t>±100</w:t>
            </w:r>
          </w:p>
        </w:tc>
      </w:tr>
      <w:tr w14:paraId="25FB6E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1" w:type="dxa"/>
            <w:tcBorders>
              <w:tl2br w:val="nil"/>
              <w:tr2bl w:val="nil"/>
            </w:tcBorders>
            <w:vAlign w:val="center"/>
          </w:tcPr>
          <w:p w14:paraId="2D548FAA">
            <w:pPr>
              <w:spacing w:line="240" w:lineRule="auto"/>
              <w:ind w:firstLine="0"/>
              <w:jc w:val="center"/>
              <w:rPr>
                <w:color w:val="auto"/>
                <w:sz w:val="21"/>
                <w:szCs w:val="21"/>
              </w:rPr>
            </w:pPr>
            <w:r>
              <w:rPr>
                <w:color w:val="auto"/>
                <w:sz w:val="21"/>
                <w:szCs w:val="21"/>
              </w:rPr>
              <w:t>5</w:t>
            </w:r>
          </w:p>
        </w:tc>
        <w:tc>
          <w:tcPr>
            <w:tcW w:w="2130" w:type="dxa"/>
            <w:tcBorders>
              <w:tl2br w:val="nil"/>
              <w:tr2bl w:val="nil"/>
            </w:tcBorders>
            <w:vAlign w:val="center"/>
          </w:tcPr>
          <w:p w14:paraId="2C30EFDC">
            <w:pPr>
              <w:spacing w:line="240" w:lineRule="auto"/>
              <w:ind w:firstLine="0"/>
              <w:jc w:val="center"/>
              <w:rPr>
                <w:color w:val="auto"/>
                <w:sz w:val="21"/>
                <w:szCs w:val="21"/>
              </w:rPr>
            </w:pPr>
            <w:r>
              <w:rPr>
                <w:color w:val="auto"/>
                <w:sz w:val="21"/>
                <w:szCs w:val="21"/>
              </w:rPr>
              <w:t>桩长</w:t>
            </w:r>
          </w:p>
        </w:tc>
        <w:tc>
          <w:tcPr>
            <w:tcW w:w="2131" w:type="dxa"/>
            <w:tcBorders>
              <w:tl2br w:val="nil"/>
              <w:tr2bl w:val="nil"/>
            </w:tcBorders>
            <w:vAlign w:val="center"/>
          </w:tcPr>
          <w:p w14:paraId="2AB0786A">
            <w:pPr>
              <w:spacing w:line="240" w:lineRule="auto"/>
              <w:ind w:firstLine="0"/>
              <w:jc w:val="center"/>
              <w:rPr>
                <w:color w:val="auto"/>
                <w:sz w:val="21"/>
                <w:szCs w:val="21"/>
              </w:rPr>
            </w:pPr>
            <w:r>
              <w:rPr>
                <w:color w:val="auto"/>
                <w:sz w:val="21"/>
                <w:szCs w:val="21"/>
              </w:rPr>
              <w:t>mm</w:t>
            </w:r>
          </w:p>
        </w:tc>
        <w:tc>
          <w:tcPr>
            <w:tcW w:w="2131" w:type="dxa"/>
            <w:tcBorders>
              <w:tl2br w:val="nil"/>
              <w:tr2bl w:val="nil"/>
            </w:tcBorders>
            <w:vAlign w:val="center"/>
          </w:tcPr>
          <w:p w14:paraId="7E67655F">
            <w:pPr>
              <w:spacing w:line="240" w:lineRule="auto"/>
              <w:ind w:firstLine="0"/>
              <w:jc w:val="center"/>
              <w:rPr>
                <w:color w:val="auto"/>
                <w:sz w:val="21"/>
                <w:szCs w:val="21"/>
              </w:rPr>
            </w:pPr>
            <w:r>
              <w:rPr>
                <w:color w:val="auto"/>
                <w:sz w:val="21"/>
                <w:szCs w:val="21"/>
              </w:rPr>
              <w:t>±100</w:t>
            </w:r>
          </w:p>
        </w:tc>
      </w:tr>
      <w:tr w14:paraId="313D90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1" w:type="dxa"/>
            <w:tcBorders>
              <w:tl2br w:val="nil"/>
              <w:tr2bl w:val="nil"/>
            </w:tcBorders>
            <w:vAlign w:val="center"/>
          </w:tcPr>
          <w:p w14:paraId="48BF82A2">
            <w:pPr>
              <w:spacing w:line="240" w:lineRule="auto"/>
              <w:ind w:firstLine="0"/>
              <w:jc w:val="center"/>
              <w:rPr>
                <w:color w:val="auto"/>
                <w:sz w:val="21"/>
                <w:szCs w:val="21"/>
              </w:rPr>
            </w:pPr>
            <w:r>
              <w:rPr>
                <w:color w:val="auto"/>
                <w:sz w:val="21"/>
                <w:szCs w:val="21"/>
              </w:rPr>
              <w:t>6</w:t>
            </w:r>
          </w:p>
        </w:tc>
        <w:tc>
          <w:tcPr>
            <w:tcW w:w="2130" w:type="dxa"/>
            <w:tcBorders>
              <w:tl2br w:val="nil"/>
              <w:tr2bl w:val="nil"/>
            </w:tcBorders>
            <w:vAlign w:val="center"/>
          </w:tcPr>
          <w:p w14:paraId="0417B201">
            <w:pPr>
              <w:spacing w:line="240" w:lineRule="auto"/>
              <w:ind w:firstLine="0"/>
              <w:jc w:val="center"/>
              <w:rPr>
                <w:color w:val="auto"/>
                <w:sz w:val="21"/>
                <w:szCs w:val="21"/>
              </w:rPr>
            </w:pPr>
            <w:r>
              <w:rPr>
                <w:color w:val="auto"/>
                <w:sz w:val="21"/>
                <w:szCs w:val="21"/>
              </w:rPr>
              <w:t>齿槽咬合程度</w:t>
            </w:r>
          </w:p>
        </w:tc>
        <w:tc>
          <w:tcPr>
            <w:tcW w:w="2131" w:type="dxa"/>
            <w:tcBorders>
              <w:tl2br w:val="nil"/>
              <w:tr2bl w:val="nil"/>
            </w:tcBorders>
            <w:vAlign w:val="center"/>
          </w:tcPr>
          <w:p w14:paraId="6616F0D4">
            <w:pPr>
              <w:spacing w:line="240" w:lineRule="auto"/>
              <w:ind w:firstLine="0"/>
              <w:jc w:val="center"/>
              <w:rPr>
                <w:color w:val="auto"/>
                <w:sz w:val="21"/>
                <w:szCs w:val="21"/>
              </w:rPr>
            </w:pPr>
            <w:r>
              <w:rPr>
                <w:color w:val="auto"/>
                <w:sz w:val="21"/>
                <w:szCs w:val="21"/>
              </w:rPr>
              <w:t>-</w:t>
            </w:r>
          </w:p>
        </w:tc>
        <w:tc>
          <w:tcPr>
            <w:tcW w:w="2131" w:type="dxa"/>
            <w:tcBorders>
              <w:tl2br w:val="nil"/>
              <w:tr2bl w:val="nil"/>
            </w:tcBorders>
            <w:vAlign w:val="center"/>
          </w:tcPr>
          <w:p w14:paraId="0782992E">
            <w:pPr>
              <w:spacing w:line="240" w:lineRule="auto"/>
              <w:ind w:firstLine="0"/>
              <w:jc w:val="center"/>
              <w:rPr>
                <w:color w:val="auto"/>
                <w:sz w:val="21"/>
                <w:szCs w:val="21"/>
              </w:rPr>
            </w:pPr>
            <w:r>
              <w:rPr>
                <w:color w:val="auto"/>
                <w:sz w:val="21"/>
                <w:szCs w:val="21"/>
              </w:rPr>
              <w:t>紧密</w:t>
            </w:r>
          </w:p>
        </w:tc>
      </w:tr>
    </w:tbl>
    <w:p w14:paraId="04C035E3"/>
    <w:p w14:paraId="38FCAB6F">
      <w:pPr>
        <w:ind w:firstLine="482" w:firstLineChars="200"/>
        <w:rPr>
          <w:bCs/>
          <w:color w:val="auto"/>
        </w:rPr>
      </w:pPr>
      <w:r>
        <w:rPr>
          <w:b/>
          <w:bCs/>
          <w:color w:val="auto"/>
        </w:rPr>
        <w:t>12　</w:t>
      </w:r>
      <w:r>
        <w:rPr>
          <w:color w:val="auto"/>
        </w:rPr>
        <w:t>组合</w:t>
      </w:r>
      <w:r>
        <w:rPr>
          <w:bCs/>
          <w:color w:val="auto"/>
        </w:rPr>
        <w:t>钢连续墙稳定性验算应根据综合管廊明挖段所处工程地质、水文条件和综合管廊结构特点，包括明挖段坑底抗隆起验算、抗渗流破坏稳定性计算和整体稳定性计算。</w:t>
      </w:r>
    </w:p>
    <w:p w14:paraId="1960352E">
      <w:pPr>
        <w:spacing w:before="164" w:beforeLines="50" w:after="164" w:afterLines="50"/>
        <w:ind w:firstLine="0"/>
        <w:jc w:val="center"/>
        <w:outlineLvl w:val="2"/>
        <w:rPr>
          <w:rFonts w:eastAsia="仿宋"/>
          <w:b/>
          <w:bCs/>
          <w:color w:val="auto"/>
          <w:sz w:val="28"/>
          <w:szCs w:val="28"/>
        </w:rPr>
      </w:pPr>
      <w:bookmarkStart w:id="259" w:name="_Toc17656"/>
      <w:bookmarkStart w:id="260" w:name="_Toc16767"/>
      <w:bookmarkStart w:id="261" w:name="_Toc15624"/>
      <w:bookmarkStart w:id="262" w:name="_Toc17280"/>
      <w:bookmarkStart w:id="263" w:name="_Toc14030"/>
      <w:r>
        <w:rPr>
          <w:rFonts w:eastAsia="仿宋"/>
          <w:b/>
          <w:bCs/>
          <w:color w:val="auto"/>
          <w:sz w:val="28"/>
          <w:szCs w:val="28"/>
        </w:rPr>
        <w:t>Ⅴ  劲芯水泥土连续墙</w:t>
      </w:r>
      <w:bookmarkEnd w:id="259"/>
      <w:bookmarkEnd w:id="260"/>
      <w:bookmarkEnd w:id="261"/>
      <w:bookmarkEnd w:id="262"/>
      <w:bookmarkEnd w:id="263"/>
    </w:p>
    <w:p w14:paraId="5AB5288E">
      <w:pPr>
        <w:ind w:firstLine="0"/>
        <w:rPr>
          <w:bCs/>
          <w:color w:val="auto"/>
        </w:rPr>
      </w:pPr>
      <w:r>
        <w:rPr>
          <w:b/>
          <w:bCs/>
          <w:color w:val="auto"/>
        </w:rPr>
        <w:t>5.2.25　</w:t>
      </w:r>
      <w:r>
        <w:rPr>
          <w:bCs/>
          <w:color w:val="auto"/>
        </w:rPr>
        <w:t>劲芯水泥土连续墙如图5.2.25，劲芯水泥土连续墙设计应符合下列规定：</w:t>
      </w:r>
    </w:p>
    <w:p w14:paraId="65D81C20">
      <w:pPr>
        <w:ind w:firstLine="0"/>
        <w:jc w:val="center"/>
        <w:rPr>
          <w:bCs/>
          <w:color w:val="auto"/>
        </w:rPr>
      </w:pPr>
    </w:p>
    <w:p w14:paraId="472504D3">
      <w:pPr>
        <w:ind w:firstLine="0"/>
        <w:jc w:val="center"/>
        <w:rPr>
          <w:b/>
          <w:bCs/>
          <w:color w:val="auto"/>
          <w:sz w:val="21"/>
          <w:szCs w:val="21"/>
        </w:rPr>
      </w:pPr>
      <w:r>
        <w:rPr>
          <w:b/>
          <w:bCs/>
          <w:color w:val="auto"/>
          <w:sz w:val="21"/>
          <w:szCs w:val="21"/>
        </w:rPr>
        <w:drawing>
          <wp:inline distT="0" distB="0" distL="114300" distR="114300">
            <wp:extent cx="3522345" cy="2280920"/>
            <wp:effectExtent l="0" t="0" r="8255" b="5080"/>
            <wp:docPr id="22" name="图片 22"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4"/>
                    <pic:cNvPicPr>
                      <a:picLocks noChangeAspect="1"/>
                    </pic:cNvPicPr>
                  </pic:nvPicPr>
                  <pic:blipFill>
                    <a:blip r:embed="rId329"/>
                    <a:stretch>
                      <a:fillRect/>
                    </a:stretch>
                  </pic:blipFill>
                  <pic:spPr>
                    <a:xfrm>
                      <a:off x="0" y="0"/>
                      <a:ext cx="3522345" cy="2280920"/>
                    </a:xfrm>
                    <a:prstGeom prst="rect">
                      <a:avLst/>
                    </a:prstGeom>
                  </pic:spPr>
                </pic:pic>
              </a:graphicData>
            </a:graphic>
          </wp:inline>
        </w:drawing>
      </w:r>
    </w:p>
    <w:p w14:paraId="011DA8A3">
      <w:pPr>
        <w:ind w:firstLine="0"/>
        <w:jc w:val="center"/>
        <w:rPr>
          <w:b/>
          <w:bCs/>
          <w:color w:val="auto"/>
          <w:sz w:val="21"/>
          <w:szCs w:val="21"/>
        </w:rPr>
      </w:pPr>
      <w:r>
        <w:rPr>
          <w:color w:val="auto"/>
          <w:sz w:val="18"/>
          <w:szCs w:val="18"/>
        </w:rPr>
        <w:t>l</w:t>
      </w:r>
      <w:r>
        <w:rPr>
          <w:color w:val="auto"/>
          <w:sz w:val="18"/>
          <w:szCs w:val="18"/>
        </w:rPr>
        <w:sym w:font="Symbol" w:char="F0BE"/>
      </w:r>
      <w:r>
        <w:rPr>
          <w:color w:val="auto"/>
          <w:sz w:val="18"/>
          <w:szCs w:val="18"/>
        </w:rPr>
        <w:t>三轴水泥土搅拌桩；2</w:t>
      </w:r>
      <w:r>
        <w:rPr>
          <w:color w:val="auto"/>
          <w:sz w:val="18"/>
          <w:szCs w:val="18"/>
        </w:rPr>
        <w:sym w:font="Symbol" w:char="F0BE"/>
      </w:r>
      <w:r>
        <w:rPr>
          <w:color w:val="auto"/>
          <w:sz w:val="18"/>
          <w:szCs w:val="18"/>
        </w:rPr>
        <w:t>等厚度水泥土搅拌桩；3</w:t>
      </w:r>
      <w:r>
        <w:rPr>
          <w:color w:val="auto"/>
          <w:sz w:val="18"/>
          <w:szCs w:val="18"/>
        </w:rPr>
        <w:sym w:font="Symbol" w:char="F0BE"/>
      </w:r>
      <w:r>
        <w:rPr>
          <w:color w:val="auto"/>
          <w:sz w:val="18"/>
          <w:szCs w:val="18"/>
        </w:rPr>
        <w:t>内插型钢</w:t>
      </w:r>
    </w:p>
    <w:p w14:paraId="26BF8AEA">
      <w:pPr>
        <w:ind w:firstLine="0"/>
        <w:jc w:val="center"/>
        <w:rPr>
          <w:b/>
          <w:bCs/>
          <w:color w:val="auto"/>
          <w:sz w:val="21"/>
          <w:szCs w:val="21"/>
        </w:rPr>
      </w:pPr>
      <w:r>
        <w:rPr>
          <w:b/>
          <w:bCs/>
          <w:color w:val="auto"/>
          <w:sz w:val="21"/>
          <w:szCs w:val="21"/>
        </w:rPr>
        <w:t>图5.2.25　劲芯水泥土连续墙典型结构图</w:t>
      </w:r>
    </w:p>
    <w:p w14:paraId="5488BB04">
      <w:pPr>
        <w:ind w:firstLine="482" w:firstLineChars="200"/>
        <w:rPr>
          <w:bCs/>
          <w:color w:val="auto"/>
        </w:rPr>
      </w:pPr>
      <w:r>
        <w:rPr>
          <w:b/>
          <w:bCs/>
          <w:color w:val="auto"/>
        </w:rPr>
        <w:t>1　</w:t>
      </w:r>
      <w:r>
        <w:rPr>
          <w:bCs/>
          <w:color w:val="auto"/>
        </w:rPr>
        <w:t>劲芯水泥土连续墙可用于需要设置截水帷幕的综合管廊明挖段支护工程；</w:t>
      </w:r>
    </w:p>
    <w:p w14:paraId="4D68FA4D">
      <w:pPr>
        <w:ind w:firstLine="482" w:firstLineChars="200"/>
        <w:rPr>
          <w:color w:val="auto"/>
        </w:rPr>
      </w:pPr>
      <w:r>
        <w:rPr>
          <w:b/>
          <w:color w:val="auto"/>
        </w:rPr>
        <w:t>2　</w:t>
      </w:r>
      <w:r>
        <w:rPr>
          <w:bCs/>
          <w:color w:val="auto"/>
        </w:rPr>
        <w:t>劲芯水泥土连续墙型钢及水泥土搅拌墙的规格、深度等应根据板式支护体系内力、变形计算和稳定性验算结果综合确定。水泥土搅拌墙可采用三轴水泥土搅拌桩、渠式切割水泥土搅拌墙（TRD工法）或铣削深搅水泥土搅拌墙（CSM工法）；</w:t>
      </w:r>
    </w:p>
    <w:p w14:paraId="5840FDB7">
      <w:pPr>
        <w:ind w:firstLine="482" w:firstLineChars="200"/>
        <w:rPr>
          <w:b/>
          <w:bCs/>
          <w:color w:val="auto"/>
        </w:rPr>
      </w:pPr>
      <w:r>
        <w:rPr>
          <w:b/>
          <w:bCs/>
          <w:color w:val="auto"/>
        </w:rPr>
        <w:t>3　</w:t>
      </w:r>
      <w:r>
        <w:rPr>
          <w:color w:val="auto"/>
        </w:rPr>
        <w:t>三轴水泥土搅拌桩适用于素填土、淤泥质土、黏性土、粉土、砂土和黄土等地层。渠式切割水泥土搅拌墙（TRD工法）除适用上述地层外，也适用于粒径不大于100mm的碎石土以及饱和单轴抗压强度不大于8MPa的软岩地层。铣削深搅水泥土搅拌墙（</w:t>
      </w:r>
      <w:r>
        <w:rPr>
          <w:bCs/>
          <w:color w:val="auto"/>
        </w:rPr>
        <w:t>CSM</w:t>
      </w:r>
      <w:r>
        <w:rPr>
          <w:color w:val="auto"/>
        </w:rPr>
        <w:t>工法）除适用上述地层外，也适合饱和单轴抗压强度不大于20MPa的岩层。水泥土搅拌墙在各类地层中的适用性及相对应的工艺参数应通过现场试验确定；</w:t>
      </w:r>
    </w:p>
    <w:p w14:paraId="63426E37">
      <w:pPr>
        <w:ind w:firstLine="482" w:firstLineChars="200"/>
        <w:rPr>
          <w:bCs/>
          <w:color w:val="auto"/>
        </w:rPr>
      </w:pPr>
      <w:r>
        <w:rPr>
          <w:b/>
          <w:bCs/>
          <w:color w:val="auto"/>
        </w:rPr>
        <w:t>4　</w:t>
      </w:r>
      <w:r>
        <w:rPr>
          <w:bCs/>
          <w:color w:val="auto"/>
        </w:rPr>
        <w:t>支护土层存在较厚淤泥、淤泥质土、有机质含量较高的土时，宜采用全置换水泥土施工工艺，并应进行工艺试验；</w:t>
      </w:r>
    </w:p>
    <w:p w14:paraId="671DC13D">
      <w:pPr>
        <w:ind w:firstLine="482" w:firstLineChars="200"/>
        <w:rPr>
          <w:bCs/>
          <w:color w:val="auto"/>
        </w:rPr>
      </w:pPr>
      <w:r>
        <w:rPr>
          <w:b/>
          <w:bCs/>
          <w:color w:val="auto"/>
        </w:rPr>
        <w:t>5　</w:t>
      </w:r>
      <w:r>
        <w:rPr>
          <w:bCs/>
          <w:color w:val="auto"/>
        </w:rPr>
        <w:t>劲芯水泥土连续墙的设计厚度。采用三轴搅拌、渠式切割水泥土墙（TRD）时不宜小于650mm；采用双排单轴喷射搅拌式桩径不宜小于550mm；28d水泥强度不应小于1.0MPa；渗透系数应小于10</w:t>
      </w:r>
      <w:r>
        <w:rPr>
          <w:bCs/>
          <w:color w:val="auto"/>
          <w:vertAlign w:val="superscript"/>
        </w:rPr>
        <w:t>-6</w:t>
      </w:r>
      <w:r>
        <w:rPr>
          <w:bCs/>
          <w:color w:val="auto"/>
        </w:rPr>
        <w:t>cm/s；内插型钢采用H型钢；</w:t>
      </w:r>
    </w:p>
    <w:p w14:paraId="460BB6BE">
      <w:pPr>
        <w:ind w:firstLine="482" w:firstLineChars="200"/>
        <w:rPr>
          <w:bCs/>
          <w:color w:val="auto"/>
        </w:rPr>
      </w:pPr>
      <w:r>
        <w:rPr>
          <w:b/>
          <w:bCs/>
          <w:color w:val="auto"/>
        </w:rPr>
        <w:t>6　</w:t>
      </w:r>
      <w:r>
        <w:rPr>
          <w:bCs/>
          <w:color w:val="auto"/>
        </w:rPr>
        <w:t>劲芯水泥土连续墙的墙体计算抗弯刚度，只应计算内插型钢的截面刚度，在进行支护结构内力和变形计算以及管廊明挖段坑底抗隆起、抗倾覆、整体稳定性等各项稳定性分析时，支护结构的深度应取型钢的插入深度，不应计入型钢端部以下水泥土搅拌墙的作用。劲芯水泥土连续墙的内力计算与强度验算可按</w:t>
      </w:r>
      <w:r>
        <w:rPr>
          <w:bCs/>
        </w:rPr>
        <w:t>现行行业标准</w:t>
      </w:r>
      <w:r>
        <w:rPr>
          <w:bCs/>
          <w:color w:val="auto"/>
        </w:rPr>
        <w:t>《型钢水泥土搅拌墙技术规程》JGJ/T 199的有关规定执行；</w:t>
      </w:r>
    </w:p>
    <w:p w14:paraId="09B8B87F">
      <w:pPr>
        <w:ind w:firstLine="482" w:firstLineChars="200"/>
        <w:rPr>
          <w:bCs/>
          <w:color w:val="auto"/>
        </w:rPr>
      </w:pPr>
      <w:r>
        <w:rPr>
          <w:b/>
          <w:bCs/>
          <w:color w:val="auto"/>
        </w:rPr>
        <w:t>7　</w:t>
      </w:r>
      <w:r>
        <w:rPr>
          <w:bCs/>
          <w:color w:val="auto"/>
        </w:rPr>
        <w:t>内插型钢的设计应符合下列规定：</w:t>
      </w:r>
    </w:p>
    <w:p w14:paraId="71A4B03C">
      <w:pPr>
        <w:ind w:left="720" w:leftChars="300" w:firstLine="0"/>
        <w:rPr>
          <w:color w:val="auto"/>
        </w:rPr>
      </w:pPr>
      <w:r>
        <w:rPr>
          <w:b/>
          <w:bCs/>
          <w:color w:val="auto"/>
        </w:rPr>
        <w:t>1</w:t>
      </w:r>
      <w:r>
        <w:rPr>
          <w:color w:val="auto"/>
        </w:rPr>
        <w:t>）内插型钢的垂直度不应大于1/200；</w:t>
      </w:r>
    </w:p>
    <w:p w14:paraId="07A54B7E">
      <w:pPr>
        <w:ind w:left="1120" w:leftChars="300" w:hanging="400" w:hangingChars="166"/>
        <w:rPr>
          <w:color w:val="auto"/>
        </w:rPr>
      </w:pPr>
      <w:r>
        <w:rPr>
          <w:b/>
          <w:bCs/>
          <w:color w:val="auto"/>
        </w:rPr>
        <w:t>2</w:t>
      </w:r>
      <w:r>
        <w:rPr>
          <w:color w:val="auto"/>
        </w:rPr>
        <w:t>）当型钢采用钢板焊接而成时，应按照</w:t>
      </w:r>
      <w:r>
        <w:rPr>
          <w:bCs/>
        </w:rPr>
        <w:t>现行行业标准</w:t>
      </w:r>
      <w:r>
        <w:rPr>
          <w:color w:val="auto"/>
        </w:rPr>
        <w:t>《焊接H型钢》YB 330的有关规定焊接成型；</w:t>
      </w:r>
    </w:p>
    <w:p w14:paraId="321BE56E">
      <w:pPr>
        <w:ind w:left="1120" w:leftChars="300" w:hanging="400" w:hangingChars="166"/>
        <w:rPr>
          <w:color w:val="auto"/>
        </w:rPr>
      </w:pPr>
      <w:r>
        <w:rPr>
          <w:b/>
          <w:bCs/>
          <w:color w:val="auto"/>
        </w:rPr>
        <w:t>3</w:t>
      </w:r>
      <w:r>
        <w:rPr>
          <w:color w:val="auto"/>
        </w:rPr>
        <w:t>）型钢宜采用整材；当采用分段焊接时，应采用坡口焊等强焊接。对接焊接的坡口形式和要求应符合</w:t>
      </w:r>
      <w:r>
        <w:rPr>
          <w:bCs/>
        </w:rPr>
        <w:t>现行国家标准</w:t>
      </w:r>
      <w:r>
        <w:rPr>
          <w:color w:val="auto"/>
        </w:rPr>
        <w:t>《钢结构焊接规范》GB 50661的有关规定，焊接接头的位置应避免设在支撑位置或开挖面附近等型钢受力较大处；相邻型钢的接头竖向位置宜相互错开，错开距离不宜小于1m；</w:t>
      </w:r>
    </w:p>
    <w:p w14:paraId="5BF4D7EE">
      <w:pPr>
        <w:ind w:left="1120" w:leftChars="300" w:hanging="400" w:hangingChars="166"/>
        <w:rPr>
          <w:color w:val="auto"/>
        </w:rPr>
      </w:pPr>
      <w:r>
        <w:rPr>
          <w:b/>
          <w:bCs/>
          <w:color w:val="auto"/>
        </w:rPr>
        <w:t>4</w:t>
      </w:r>
      <w:r>
        <w:rPr>
          <w:color w:val="auto"/>
        </w:rPr>
        <w:t>）对周边环境要求较高，桩身在粉土、砂土等透水性较强的土层中或对搅拌桩抗裂和抗渗要求较高时，宜增加型钢插入密度；</w:t>
      </w:r>
    </w:p>
    <w:p w14:paraId="61938805">
      <w:pPr>
        <w:ind w:left="1120" w:leftChars="300" w:hanging="400" w:hangingChars="166"/>
        <w:rPr>
          <w:color w:val="auto"/>
        </w:rPr>
      </w:pPr>
      <w:r>
        <w:rPr>
          <w:b/>
          <w:bCs/>
          <w:color w:val="auto"/>
        </w:rPr>
        <w:t>5</w:t>
      </w:r>
      <w:r>
        <w:rPr>
          <w:color w:val="auto"/>
        </w:rPr>
        <w:t>）型钢水泥土搅拌墙的转角部位宜插型钢。</w:t>
      </w:r>
    </w:p>
    <w:p w14:paraId="4878D9B0">
      <w:pPr>
        <w:ind w:firstLine="422" w:firstLineChars="175"/>
        <w:rPr>
          <w:bCs/>
          <w:color w:val="auto"/>
        </w:rPr>
      </w:pPr>
      <w:r>
        <w:rPr>
          <w:b/>
          <w:bCs/>
          <w:color w:val="auto"/>
        </w:rPr>
        <w:t>8　</w:t>
      </w:r>
      <w:r>
        <w:rPr>
          <w:bCs/>
          <w:color w:val="auto"/>
        </w:rPr>
        <w:t>劲芯水泥土连续墙的顶部应设置封闭的钢筋混凝土冠梁。冠梁的高度和深度应满足可能起拔型钢的需要，并应符合下列规定：</w:t>
      </w:r>
    </w:p>
    <w:p w14:paraId="4DC71A8F">
      <w:pPr>
        <w:ind w:left="1120" w:leftChars="300" w:hanging="400" w:hangingChars="166"/>
        <w:rPr>
          <w:color w:val="auto"/>
        </w:rPr>
      </w:pPr>
      <w:r>
        <w:rPr>
          <w:b/>
          <w:bCs/>
          <w:color w:val="auto"/>
        </w:rPr>
        <w:t>1</w:t>
      </w:r>
      <w:r>
        <w:rPr>
          <w:color w:val="auto"/>
        </w:rPr>
        <w:t>）冠梁截面高度不应小于600mm，截面宽度宜比搅拌桩直径大350mm；</w:t>
      </w:r>
    </w:p>
    <w:p w14:paraId="695B7CAF">
      <w:pPr>
        <w:ind w:left="1120" w:leftChars="300" w:hanging="400" w:hangingChars="166"/>
        <w:rPr>
          <w:color w:val="auto"/>
        </w:rPr>
      </w:pPr>
      <w:r>
        <w:rPr>
          <w:b/>
          <w:bCs/>
          <w:color w:val="auto"/>
        </w:rPr>
        <w:t>2</w:t>
      </w:r>
      <w:r>
        <w:rPr>
          <w:color w:val="auto"/>
        </w:rPr>
        <w:t>）内插型钢应锚入冠梁，冠梁主筋应避开型钢设置。型钢顶部高出冠梁顶部不应小于500mm，型钢与冠梁间的隔离材料应采用不易压缩的材料；</w:t>
      </w:r>
    </w:p>
    <w:p w14:paraId="4ACBE624">
      <w:pPr>
        <w:ind w:left="1120" w:leftChars="300" w:hanging="400" w:hangingChars="166"/>
        <w:rPr>
          <w:color w:val="auto"/>
        </w:rPr>
      </w:pPr>
      <w:r>
        <w:rPr>
          <w:b/>
          <w:bCs/>
          <w:color w:val="auto"/>
        </w:rPr>
        <w:t>3</w:t>
      </w:r>
      <w:r>
        <w:rPr>
          <w:color w:val="auto"/>
        </w:rPr>
        <w:t>）冠梁的箍筋宜采用四肢箍，直径不宜小于8mm，间距不应大于200mm；在冠梁与支撑交点位置，箍筋适当加密，由于内插型钢而未能设置封闭箍筋的部位宜在型钢翼缘外侧设置封闭箍筋予以加强。</w:t>
      </w:r>
    </w:p>
    <w:p w14:paraId="42FEA810">
      <w:pPr>
        <w:spacing w:before="164" w:beforeLines="50" w:after="164" w:afterLines="50"/>
        <w:ind w:firstLine="0"/>
        <w:jc w:val="center"/>
        <w:outlineLvl w:val="2"/>
        <w:rPr>
          <w:rFonts w:eastAsia="仿宋"/>
          <w:b/>
          <w:bCs/>
          <w:color w:val="auto"/>
          <w:sz w:val="28"/>
          <w:szCs w:val="28"/>
        </w:rPr>
      </w:pPr>
      <w:bookmarkStart w:id="264" w:name="_Toc688"/>
      <w:bookmarkStart w:id="265" w:name="_Toc14325"/>
      <w:bookmarkStart w:id="266" w:name="_Toc25517"/>
      <w:bookmarkStart w:id="267" w:name="_Toc12272"/>
      <w:bookmarkStart w:id="268" w:name="_Toc23348"/>
      <w:r>
        <w:rPr>
          <w:rFonts w:eastAsia="仿宋"/>
          <w:b/>
          <w:bCs/>
          <w:color w:val="auto"/>
          <w:sz w:val="28"/>
          <w:szCs w:val="28"/>
        </w:rPr>
        <w:t>Ⅵ  排桩墙支护</w:t>
      </w:r>
      <w:bookmarkEnd w:id="264"/>
      <w:bookmarkEnd w:id="265"/>
      <w:bookmarkEnd w:id="266"/>
      <w:bookmarkEnd w:id="267"/>
      <w:bookmarkEnd w:id="268"/>
    </w:p>
    <w:p w14:paraId="3C105D92">
      <w:pPr>
        <w:ind w:firstLine="0"/>
        <w:rPr>
          <w:bCs/>
          <w:color w:val="auto"/>
        </w:rPr>
      </w:pPr>
      <w:r>
        <w:rPr>
          <w:b/>
          <w:bCs/>
          <w:color w:val="auto"/>
        </w:rPr>
        <w:t>5.2.26　</w:t>
      </w:r>
      <w:r>
        <w:rPr>
          <w:bCs/>
          <w:color w:val="auto"/>
        </w:rPr>
        <w:t>排桩墙（图5.2.26）设计应符合下列规定：</w:t>
      </w:r>
    </w:p>
    <w:p w14:paraId="23BA20C9">
      <w:pPr>
        <w:ind w:firstLine="0"/>
        <w:jc w:val="center"/>
        <w:rPr>
          <w:bCs/>
          <w:color w:val="auto"/>
        </w:rPr>
      </w:pPr>
    </w:p>
    <w:p w14:paraId="1F1C1421">
      <w:pPr>
        <w:ind w:firstLine="0"/>
        <w:jc w:val="center"/>
        <w:rPr>
          <w:b/>
          <w:bCs/>
          <w:color w:val="auto"/>
          <w:sz w:val="21"/>
          <w:szCs w:val="21"/>
        </w:rPr>
      </w:pPr>
      <w:r>
        <w:rPr>
          <w:b/>
          <w:bCs/>
          <w:color w:val="auto"/>
          <w:sz w:val="21"/>
          <w:szCs w:val="21"/>
        </w:rPr>
        <w:drawing>
          <wp:inline distT="0" distB="0" distL="114300" distR="114300">
            <wp:extent cx="3278505" cy="2947035"/>
            <wp:effectExtent l="0" t="0" r="10795" b="12065"/>
            <wp:docPr id="23" name="图片 23"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5"/>
                    <pic:cNvPicPr>
                      <a:picLocks noChangeAspect="1"/>
                    </pic:cNvPicPr>
                  </pic:nvPicPr>
                  <pic:blipFill>
                    <a:blip r:embed="rId330"/>
                    <a:stretch>
                      <a:fillRect/>
                    </a:stretch>
                  </pic:blipFill>
                  <pic:spPr>
                    <a:xfrm>
                      <a:off x="0" y="0"/>
                      <a:ext cx="3278505" cy="2947035"/>
                    </a:xfrm>
                    <a:prstGeom prst="rect">
                      <a:avLst/>
                    </a:prstGeom>
                  </pic:spPr>
                </pic:pic>
              </a:graphicData>
            </a:graphic>
          </wp:inline>
        </w:drawing>
      </w:r>
    </w:p>
    <w:p w14:paraId="1514B49F">
      <w:pPr>
        <w:ind w:firstLine="0"/>
        <w:jc w:val="center"/>
        <w:rPr>
          <w:b/>
          <w:bCs/>
          <w:color w:val="auto"/>
          <w:sz w:val="21"/>
          <w:szCs w:val="21"/>
        </w:rPr>
      </w:pPr>
      <w:r>
        <w:rPr>
          <w:color w:val="auto"/>
          <w:sz w:val="18"/>
          <w:szCs w:val="18"/>
        </w:rPr>
        <w:t>l</w:t>
      </w:r>
      <w:r>
        <w:rPr>
          <w:color w:val="auto"/>
          <w:sz w:val="18"/>
          <w:szCs w:val="18"/>
        </w:rPr>
        <w:sym w:font="Symbol" w:char="F0BE"/>
      </w:r>
      <w:r>
        <w:rPr>
          <w:color w:val="auto"/>
          <w:sz w:val="18"/>
          <w:szCs w:val="18"/>
        </w:rPr>
        <w:t>排桩   2</w:t>
      </w:r>
      <w:r>
        <w:rPr>
          <w:color w:val="auto"/>
          <w:sz w:val="18"/>
          <w:szCs w:val="18"/>
        </w:rPr>
        <w:sym w:font="Symbol" w:char="F0BE"/>
      </w:r>
      <w:r>
        <w:rPr>
          <w:color w:val="auto"/>
          <w:sz w:val="18"/>
          <w:szCs w:val="18"/>
        </w:rPr>
        <w:t>冠梁   3</w:t>
      </w:r>
      <w:r>
        <w:rPr>
          <w:color w:val="auto"/>
          <w:sz w:val="18"/>
          <w:szCs w:val="18"/>
        </w:rPr>
        <w:sym w:font="Symbol" w:char="F0BE"/>
      </w:r>
      <w:r>
        <w:rPr>
          <w:color w:val="auto"/>
          <w:sz w:val="18"/>
          <w:szCs w:val="18"/>
        </w:rPr>
        <w:t>支撑</w:t>
      </w:r>
    </w:p>
    <w:p w14:paraId="721DC4D3">
      <w:pPr>
        <w:ind w:firstLine="0"/>
        <w:jc w:val="center"/>
        <w:rPr>
          <w:b/>
          <w:bCs/>
          <w:color w:val="auto"/>
          <w:sz w:val="21"/>
          <w:szCs w:val="21"/>
        </w:rPr>
      </w:pPr>
      <w:r>
        <w:rPr>
          <w:b/>
          <w:bCs/>
          <w:color w:val="auto"/>
          <w:sz w:val="21"/>
          <w:szCs w:val="21"/>
        </w:rPr>
        <w:t>图5.2.26　综合管廊明挖段排桩墙支护结构示意图</w:t>
      </w:r>
    </w:p>
    <w:p w14:paraId="737BA8E3">
      <w:pPr>
        <w:ind w:firstLine="482" w:firstLineChars="200"/>
        <w:rPr>
          <w:color w:val="auto"/>
        </w:rPr>
      </w:pPr>
      <w:r>
        <w:rPr>
          <w:b/>
          <w:bCs/>
          <w:color w:val="auto"/>
        </w:rPr>
        <w:t>1　</w:t>
      </w:r>
      <w:r>
        <w:rPr>
          <w:bCs/>
          <w:color w:val="auto"/>
        </w:rPr>
        <w:t>排桩支护应根据综合管廊明挖段深度、土的性质、明挖段周边环境条件及施工场地条件等因素，采用锚杆+排桩、内支撑+排桩、悬臂式排桩等结构形式，</w:t>
      </w:r>
    </w:p>
    <w:p w14:paraId="5D044069">
      <w:pPr>
        <w:ind w:firstLine="482" w:firstLineChars="200"/>
        <w:rPr>
          <w:bCs/>
          <w:color w:val="auto"/>
        </w:rPr>
      </w:pPr>
      <w:r>
        <w:rPr>
          <w:b/>
          <w:bCs/>
          <w:color w:val="auto"/>
        </w:rPr>
        <w:t>2　</w:t>
      </w:r>
      <w:r>
        <w:rPr>
          <w:bCs/>
          <w:color w:val="auto"/>
        </w:rPr>
        <w:t>排桩的桩型与成桩工艺应根据桩所穿越土层的性质、地下水条件及明挖段周边环境要求等，按安全适用、经济合理的原则进行选择，并应符合</w:t>
      </w:r>
      <w:r>
        <w:rPr>
          <w:bCs/>
        </w:rPr>
        <w:t>现行行业标准</w:t>
      </w:r>
      <w:r>
        <w:rPr>
          <w:bCs/>
          <w:color w:val="auto"/>
        </w:rPr>
        <w:t>《建筑桩基技术规范》JGJ 94的有关规定。排桩可选用钻（冲）孔桩、旋挖桩等灌注桩，当明挖段较浅或桩身弯矩较小时，也可采用预应力管桩。</w:t>
      </w:r>
    </w:p>
    <w:p w14:paraId="105065CF">
      <w:pPr>
        <w:ind w:firstLine="501" w:firstLineChars="208"/>
        <w:rPr>
          <w:bCs/>
          <w:color w:val="auto"/>
        </w:rPr>
      </w:pPr>
      <w:r>
        <w:rPr>
          <w:b/>
          <w:bCs/>
          <w:color w:val="auto"/>
        </w:rPr>
        <w:t>3　</w:t>
      </w:r>
      <w:r>
        <w:rPr>
          <w:bCs/>
          <w:color w:val="auto"/>
        </w:rPr>
        <w:t>当支护桩的施工影响范围内存在对地基变形敏感、结构性能差的建筑物或地下管线时，不得采用挤土效应严重、易塌孔、易缩径或有较大震动的桩型和施工工艺；</w:t>
      </w:r>
    </w:p>
    <w:p w14:paraId="7206DDDD">
      <w:pPr>
        <w:ind w:firstLine="482" w:firstLineChars="200"/>
        <w:rPr>
          <w:bCs/>
          <w:color w:val="auto"/>
        </w:rPr>
      </w:pPr>
      <w:r>
        <w:rPr>
          <w:b/>
          <w:bCs/>
          <w:color w:val="auto"/>
        </w:rPr>
        <w:t>4　</w:t>
      </w:r>
      <w:r>
        <w:rPr>
          <w:bCs/>
          <w:color w:val="auto"/>
        </w:rPr>
        <w:t>采用钻孔灌注桩支护时，悬臂式排桩的桩径宜大于或等于600mm；锚拉式排桩或支撑式排桩的桩径宜大于或等于400mm；排桩的中心距不宜大于桩直径的2.0倍；</w:t>
      </w:r>
    </w:p>
    <w:p w14:paraId="523944A6">
      <w:pPr>
        <w:ind w:firstLine="482" w:firstLineChars="200"/>
        <w:rPr>
          <w:bCs/>
          <w:color w:val="auto"/>
        </w:rPr>
      </w:pPr>
      <w:r>
        <w:rPr>
          <w:b/>
          <w:bCs/>
          <w:color w:val="auto"/>
        </w:rPr>
        <w:t>5　</w:t>
      </w:r>
      <w:r>
        <w:rPr>
          <w:bCs/>
          <w:color w:val="auto"/>
        </w:rPr>
        <w:t>排桩支护的嵌固深度应满足抗倾倾覆验算、整体稳定性验算，软土地层还需满足明挖段管廊坑底抗隆起验算。对于一、二、三级明挖段的支挡结构，其嵌固稳定安全系数应分别不小于1.25、1.20和1.150；</w:t>
      </w:r>
    </w:p>
    <w:p w14:paraId="238E54A0">
      <w:pPr>
        <w:ind w:firstLine="482" w:firstLineChars="200"/>
        <w:rPr>
          <w:bCs/>
          <w:color w:val="auto"/>
        </w:rPr>
      </w:pPr>
      <w:r>
        <w:rPr>
          <w:b/>
          <w:bCs/>
          <w:color w:val="auto"/>
        </w:rPr>
        <w:t>6　</w:t>
      </w:r>
      <w:r>
        <w:rPr>
          <w:bCs/>
          <w:color w:val="auto"/>
        </w:rPr>
        <w:t>混凝土支护桩截面应经正截面和斜截面承载力计算，应按</w:t>
      </w:r>
      <w:r>
        <w:rPr>
          <w:bCs/>
        </w:rPr>
        <w:t>现行行业标准</w:t>
      </w:r>
      <w:r>
        <w:rPr>
          <w:bCs/>
          <w:color w:val="auto"/>
        </w:rPr>
        <w:t>《建筑基坑支护技术规程》JGJ 120的有关规定进行计算；</w:t>
      </w:r>
    </w:p>
    <w:p w14:paraId="51190F34">
      <w:pPr>
        <w:ind w:firstLine="482" w:firstLineChars="200"/>
        <w:rPr>
          <w:bCs/>
          <w:color w:val="auto"/>
        </w:rPr>
      </w:pPr>
      <w:r>
        <w:rPr>
          <w:b/>
          <w:bCs/>
          <w:color w:val="auto"/>
        </w:rPr>
        <w:t>7　</w:t>
      </w:r>
      <w:r>
        <w:rPr>
          <w:bCs/>
          <w:color w:val="auto"/>
        </w:rPr>
        <w:t>排桩的桩间土防护应采取下列措施：</w:t>
      </w:r>
    </w:p>
    <w:p w14:paraId="5609CC19">
      <w:pPr>
        <w:ind w:left="1132" w:leftChars="340" w:hanging="316" w:hangingChars="132"/>
        <w:rPr>
          <w:bCs/>
          <w:color w:val="auto"/>
        </w:rPr>
      </w:pPr>
      <w:r>
        <w:rPr>
          <w:bCs/>
          <w:color w:val="auto"/>
        </w:rPr>
        <w:t>1）桩间土防护措施宜采用内置钢筋网或钢丝网的喷射混凝土面层；</w:t>
      </w:r>
    </w:p>
    <w:p w14:paraId="4A97218B">
      <w:pPr>
        <w:ind w:left="1132" w:leftChars="340" w:hanging="316" w:hangingChars="132"/>
        <w:rPr>
          <w:bCs/>
          <w:color w:val="auto"/>
        </w:rPr>
      </w:pPr>
      <w:r>
        <w:rPr>
          <w:bCs/>
          <w:color w:val="auto"/>
        </w:rPr>
        <w:t>2）喷射混凝土面层的厚度不宜小于50mm，混凝土强度等级不宜低于C20，混凝土面层内配置的钢筋网的纵横向间距不宜大于200mm。钢筋网或钢丝网宜采用横向拉筋与两侧桩体连接，拉筋直径不宜小于12mm，拉筋锚固在桩内的长度不宜小于100mm；</w:t>
      </w:r>
    </w:p>
    <w:p w14:paraId="3A82A71A">
      <w:pPr>
        <w:ind w:left="1132" w:leftChars="340" w:hanging="316" w:hangingChars="132"/>
        <w:rPr>
          <w:bCs/>
          <w:color w:val="auto"/>
          <w:sz w:val="21"/>
          <w:szCs w:val="21"/>
        </w:rPr>
      </w:pPr>
      <w:r>
        <w:rPr>
          <w:bCs/>
          <w:color w:val="auto"/>
        </w:rPr>
        <w:t>3）钢筋网宜采用桩间土内打入直径不小于12mm的钢筋钉固定，钢筋土钉打入桩间土中的长度不宜小于排桩净间距。</w:t>
      </w:r>
    </w:p>
    <w:p w14:paraId="5415F470">
      <w:pPr>
        <w:spacing w:before="164" w:beforeLines="50" w:after="164" w:afterLines="50"/>
        <w:ind w:firstLine="0"/>
        <w:jc w:val="center"/>
        <w:outlineLvl w:val="2"/>
        <w:rPr>
          <w:color w:val="auto"/>
          <w:sz w:val="21"/>
        </w:rPr>
      </w:pPr>
      <w:bookmarkStart w:id="269" w:name="_Toc24292"/>
      <w:bookmarkStart w:id="270" w:name="_Toc26558"/>
      <w:bookmarkStart w:id="271" w:name="_Toc21587"/>
      <w:bookmarkStart w:id="272" w:name="_Toc23690"/>
      <w:bookmarkStart w:id="273" w:name="_Toc12505"/>
      <w:r>
        <w:rPr>
          <w:rFonts w:eastAsia="仿宋"/>
          <w:b/>
          <w:bCs/>
          <w:color w:val="auto"/>
          <w:sz w:val="28"/>
          <w:szCs w:val="28"/>
        </w:rPr>
        <w:t>Ⅶ  内支撑</w:t>
      </w:r>
      <w:bookmarkEnd w:id="269"/>
      <w:bookmarkEnd w:id="270"/>
      <w:bookmarkEnd w:id="271"/>
      <w:bookmarkEnd w:id="272"/>
      <w:bookmarkEnd w:id="273"/>
    </w:p>
    <w:p w14:paraId="37628539">
      <w:pPr>
        <w:ind w:firstLine="0"/>
        <w:rPr>
          <w:bCs/>
          <w:color w:val="auto"/>
        </w:rPr>
      </w:pPr>
      <w:r>
        <w:rPr>
          <w:b/>
          <w:bCs/>
          <w:color w:val="auto"/>
        </w:rPr>
        <w:t>5.2.27　</w:t>
      </w:r>
      <w:r>
        <w:rPr>
          <w:bCs/>
          <w:color w:val="auto"/>
        </w:rPr>
        <w:t>内支撑（图5.2.27）设计应符合下列规定：</w:t>
      </w:r>
    </w:p>
    <w:p w14:paraId="14C60371">
      <w:pPr>
        <w:ind w:firstLine="0"/>
        <w:jc w:val="center"/>
        <w:rPr>
          <w:bCs/>
          <w:color w:val="auto"/>
        </w:rPr>
      </w:pPr>
    </w:p>
    <w:p w14:paraId="1E6C08F9">
      <w:pPr>
        <w:ind w:firstLine="0"/>
        <w:jc w:val="center"/>
        <w:rPr>
          <w:b/>
          <w:bCs/>
          <w:color w:val="auto"/>
          <w:sz w:val="21"/>
          <w:szCs w:val="21"/>
        </w:rPr>
      </w:pPr>
      <w:r>
        <w:rPr>
          <w:b/>
          <w:bCs/>
          <w:color w:val="auto"/>
          <w:sz w:val="21"/>
          <w:szCs w:val="21"/>
        </w:rPr>
        <w:drawing>
          <wp:inline distT="0" distB="0" distL="114300" distR="114300">
            <wp:extent cx="3622675" cy="3158490"/>
            <wp:effectExtent l="0" t="0" r="9525" b="3810"/>
            <wp:docPr id="24" name="图片 24"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6"/>
                    <pic:cNvPicPr>
                      <a:picLocks noChangeAspect="1"/>
                    </pic:cNvPicPr>
                  </pic:nvPicPr>
                  <pic:blipFill>
                    <a:blip r:embed="rId331"/>
                    <a:stretch>
                      <a:fillRect/>
                    </a:stretch>
                  </pic:blipFill>
                  <pic:spPr>
                    <a:xfrm>
                      <a:off x="0" y="0"/>
                      <a:ext cx="3622675" cy="3158490"/>
                    </a:xfrm>
                    <a:prstGeom prst="rect">
                      <a:avLst/>
                    </a:prstGeom>
                  </pic:spPr>
                </pic:pic>
              </a:graphicData>
            </a:graphic>
          </wp:inline>
        </w:drawing>
      </w:r>
    </w:p>
    <w:p w14:paraId="0D09998F">
      <w:pPr>
        <w:ind w:firstLine="0"/>
        <w:jc w:val="center"/>
        <w:rPr>
          <w:b/>
          <w:bCs/>
          <w:color w:val="auto"/>
          <w:sz w:val="21"/>
          <w:szCs w:val="21"/>
        </w:rPr>
      </w:pPr>
      <w:r>
        <w:rPr>
          <w:color w:val="auto"/>
          <w:sz w:val="18"/>
          <w:szCs w:val="18"/>
        </w:rPr>
        <w:t>l</w:t>
      </w:r>
      <w:r>
        <w:rPr>
          <w:color w:val="auto"/>
          <w:sz w:val="18"/>
          <w:szCs w:val="18"/>
        </w:rPr>
        <w:sym w:font="Symbol" w:char="F0BE"/>
      </w:r>
      <w:r>
        <w:rPr>
          <w:color w:val="auto"/>
          <w:sz w:val="18"/>
          <w:szCs w:val="18"/>
        </w:rPr>
        <w:t>围护墙   2</w:t>
      </w:r>
      <w:r>
        <w:rPr>
          <w:color w:val="auto"/>
          <w:sz w:val="18"/>
          <w:szCs w:val="18"/>
        </w:rPr>
        <w:sym w:font="Symbol" w:char="F0BE"/>
      </w:r>
      <w:r>
        <w:rPr>
          <w:color w:val="auto"/>
          <w:sz w:val="18"/>
          <w:szCs w:val="18"/>
        </w:rPr>
        <w:t>冠梁   3</w:t>
      </w:r>
      <w:r>
        <w:rPr>
          <w:color w:val="auto"/>
          <w:sz w:val="18"/>
          <w:szCs w:val="18"/>
        </w:rPr>
        <w:sym w:font="Symbol" w:char="F0BE"/>
      </w:r>
      <w:r>
        <w:rPr>
          <w:color w:val="auto"/>
          <w:sz w:val="18"/>
          <w:szCs w:val="18"/>
        </w:rPr>
        <w:t>支撑   4</w:t>
      </w:r>
      <w:r>
        <w:rPr>
          <w:color w:val="auto"/>
          <w:sz w:val="18"/>
          <w:szCs w:val="18"/>
        </w:rPr>
        <w:sym w:font="Symbol" w:char="F0BE"/>
      </w:r>
      <w:r>
        <w:rPr>
          <w:color w:val="auto"/>
          <w:sz w:val="18"/>
          <w:szCs w:val="18"/>
        </w:rPr>
        <w:t>腰梁</w:t>
      </w:r>
    </w:p>
    <w:p w14:paraId="0B1BD742">
      <w:pPr>
        <w:ind w:firstLine="0"/>
        <w:jc w:val="center"/>
        <w:rPr>
          <w:b/>
          <w:bCs/>
          <w:color w:val="auto"/>
          <w:sz w:val="21"/>
          <w:szCs w:val="21"/>
        </w:rPr>
      </w:pPr>
      <w:r>
        <w:rPr>
          <w:b/>
          <w:bCs/>
          <w:color w:val="auto"/>
          <w:sz w:val="21"/>
          <w:szCs w:val="21"/>
        </w:rPr>
        <w:t>图5.2.27　综合管廊明挖段支护内支撑体系示意图</w:t>
      </w:r>
    </w:p>
    <w:p w14:paraId="0656D7F2">
      <w:pPr>
        <w:ind w:firstLine="482" w:firstLineChars="200"/>
        <w:rPr>
          <w:bCs/>
          <w:color w:val="auto"/>
        </w:rPr>
      </w:pPr>
      <w:r>
        <w:rPr>
          <w:b/>
          <w:bCs/>
          <w:color w:val="auto"/>
        </w:rPr>
        <w:t>1　</w:t>
      </w:r>
      <w:r>
        <w:rPr>
          <w:color w:val="auto"/>
        </w:rPr>
        <w:t>综合管廊</w:t>
      </w:r>
      <w:r>
        <w:rPr>
          <w:bCs/>
          <w:color w:val="auto"/>
        </w:rPr>
        <w:t>明挖段支护内支撑体系适用于有型钢或钢筋混凝土材料组成的墙式围护结构和桩式围护结构；</w:t>
      </w:r>
    </w:p>
    <w:p w14:paraId="60C98C66">
      <w:pPr>
        <w:ind w:firstLine="482" w:firstLineChars="200"/>
        <w:rPr>
          <w:color w:val="auto"/>
        </w:rPr>
      </w:pPr>
      <w:r>
        <w:rPr>
          <w:b/>
          <w:color w:val="auto"/>
        </w:rPr>
        <w:t>2　</w:t>
      </w:r>
      <w:r>
        <w:rPr>
          <w:color w:val="auto"/>
        </w:rPr>
        <w:t>综合管廊</w:t>
      </w:r>
      <w:r>
        <w:rPr>
          <w:bCs/>
          <w:color w:val="auto"/>
        </w:rPr>
        <w:t>明挖段支护内支撑体系由冠梁或腰梁、支撑和竖向支承构件三部分组成。支撑体系应采用稳定的结构体系和可靠的连接构造，并应具有足够的刚度；</w:t>
      </w:r>
    </w:p>
    <w:p w14:paraId="40FACB30">
      <w:pPr>
        <w:ind w:firstLine="482" w:firstLineChars="200"/>
        <w:rPr>
          <w:bCs/>
          <w:color w:val="auto"/>
        </w:rPr>
      </w:pPr>
      <w:r>
        <w:rPr>
          <w:b/>
          <w:bCs/>
          <w:color w:val="auto"/>
        </w:rPr>
        <w:t>3　</w:t>
      </w:r>
      <w:r>
        <w:rPr>
          <w:bCs/>
          <w:color w:val="auto"/>
        </w:rPr>
        <w:t>支护结构的内支撑应采用稳定的结构体系和可靠的连接构造，宜采用超静定内支撑结构体系，支撑体系应具有足够的刚度，除应满足承载力要求外，尚应满足变形的要求；</w:t>
      </w:r>
    </w:p>
    <w:p w14:paraId="33D28A07">
      <w:pPr>
        <w:ind w:firstLine="482" w:firstLineChars="200"/>
        <w:rPr>
          <w:bCs/>
          <w:color w:val="auto"/>
        </w:rPr>
      </w:pPr>
      <w:r>
        <w:rPr>
          <w:b/>
          <w:bCs/>
          <w:color w:val="auto"/>
        </w:rPr>
        <w:t>4　</w:t>
      </w:r>
      <w:r>
        <w:rPr>
          <w:bCs/>
          <w:color w:val="auto"/>
        </w:rPr>
        <w:t>内支撑结构各构件可采用钢结构或钢筋混凝土结构，也可采用混合结构；</w:t>
      </w:r>
    </w:p>
    <w:p w14:paraId="7C72D9AA">
      <w:pPr>
        <w:ind w:firstLine="482" w:firstLineChars="200"/>
        <w:rPr>
          <w:bCs/>
          <w:color w:val="auto"/>
        </w:rPr>
      </w:pPr>
      <w:r>
        <w:rPr>
          <w:b/>
          <w:bCs/>
          <w:color w:val="auto"/>
        </w:rPr>
        <w:t>5　</w:t>
      </w:r>
      <w:r>
        <w:rPr>
          <w:bCs/>
          <w:color w:val="auto"/>
        </w:rPr>
        <w:t>内支撑设置的层数、间距应经计算确定。布置支撑结构应避开</w:t>
      </w:r>
      <w:r>
        <w:rPr>
          <w:color w:val="auto"/>
        </w:rPr>
        <w:t>综合管廊</w:t>
      </w:r>
      <w:r>
        <w:rPr>
          <w:bCs/>
          <w:color w:val="auto"/>
        </w:rPr>
        <w:t>主体墙、梁板和地下结构的其他重要部位，还应方便后续施工和拆除。内支撑构件穿越</w:t>
      </w:r>
      <w:r>
        <w:rPr>
          <w:color w:val="auto"/>
        </w:rPr>
        <w:t>综合管廊结构</w:t>
      </w:r>
      <w:r>
        <w:rPr>
          <w:bCs/>
          <w:color w:val="auto"/>
        </w:rPr>
        <w:t>底板、外墙时应做好防水构造处理；</w:t>
      </w:r>
    </w:p>
    <w:p w14:paraId="7EDE4B7B">
      <w:pPr>
        <w:ind w:firstLine="482" w:firstLineChars="200"/>
        <w:rPr>
          <w:bCs/>
          <w:color w:val="auto"/>
        </w:rPr>
      </w:pPr>
      <w:r>
        <w:rPr>
          <w:b/>
          <w:bCs/>
          <w:color w:val="auto"/>
        </w:rPr>
        <w:t>6　</w:t>
      </w:r>
      <w:r>
        <w:rPr>
          <w:bCs/>
          <w:color w:val="auto"/>
        </w:rPr>
        <w:t>内支撑系统的各水平及竖向受力构件，应按结构构件的受力条件及施工中可能出现的不利影响因素，设置必要的连接构件，保证结构构件在平面内及平面外的稳定性；</w:t>
      </w:r>
    </w:p>
    <w:p w14:paraId="535D5801">
      <w:pPr>
        <w:ind w:firstLine="482" w:firstLineChars="200"/>
        <w:rPr>
          <w:bCs/>
          <w:color w:val="auto"/>
        </w:rPr>
      </w:pPr>
      <w:r>
        <w:rPr>
          <w:b/>
          <w:bCs/>
          <w:color w:val="auto"/>
        </w:rPr>
        <w:t>7　</w:t>
      </w:r>
      <w:r>
        <w:rPr>
          <w:bCs/>
          <w:color w:val="auto"/>
        </w:rPr>
        <w:t>支撑预加压力不宜大于支撑力设计值的0.4倍～0.6倍。支撑构件的长细比不宜大于150，连系构件的长细比不应大于120，立柱的长细比不应大于25；</w:t>
      </w:r>
    </w:p>
    <w:p w14:paraId="5DA8A87C">
      <w:pPr>
        <w:ind w:firstLine="482" w:firstLineChars="200"/>
        <w:rPr>
          <w:bCs/>
          <w:color w:val="auto"/>
        </w:rPr>
      </w:pPr>
      <w:r>
        <w:rPr>
          <w:b/>
          <w:bCs/>
          <w:color w:val="auto"/>
        </w:rPr>
        <w:t>8　</w:t>
      </w:r>
      <w:r>
        <w:rPr>
          <w:bCs/>
          <w:color w:val="auto"/>
        </w:rPr>
        <w:t>各类支撑构件的构造除应符合本节的有关规定外，尚应符合</w:t>
      </w:r>
      <w:r>
        <w:rPr>
          <w:bCs/>
        </w:rPr>
        <w:t>现行国家标准</w:t>
      </w:r>
      <w:r>
        <w:rPr>
          <w:bCs/>
          <w:color w:val="auto"/>
        </w:rPr>
        <w:t>《钢结构设计规范》GB 50017或《混凝土结构设计规范》GB 50010的有关规定；</w:t>
      </w:r>
    </w:p>
    <w:p w14:paraId="1518C4DA">
      <w:pPr>
        <w:ind w:firstLine="482" w:firstLineChars="200"/>
        <w:rPr>
          <w:bCs/>
          <w:color w:val="auto"/>
        </w:rPr>
      </w:pPr>
      <w:r>
        <w:rPr>
          <w:b/>
          <w:bCs/>
          <w:color w:val="auto"/>
        </w:rPr>
        <w:t>9　</w:t>
      </w:r>
      <w:r>
        <w:rPr>
          <w:bCs/>
          <w:color w:val="auto"/>
        </w:rPr>
        <w:t>钢结构支撑构件长度的拼接宜采用高强度螺栓连接或焊接，拼接点的强度不应低于构件的截面强度。对于格构式组合构件，不应采用钢筋作为缀条连接；</w:t>
      </w:r>
    </w:p>
    <w:p w14:paraId="67847E88">
      <w:pPr>
        <w:ind w:firstLine="482" w:firstLineChars="200"/>
        <w:rPr>
          <w:bCs/>
          <w:color w:val="auto"/>
        </w:rPr>
      </w:pPr>
      <w:r>
        <w:rPr>
          <w:b/>
          <w:bCs/>
          <w:color w:val="auto"/>
        </w:rPr>
        <w:t>10　</w:t>
      </w:r>
      <w:r>
        <w:rPr>
          <w:bCs/>
          <w:color w:val="auto"/>
        </w:rPr>
        <w:t>支撑拆除前应在</w:t>
      </w:r>
      <w:r>
        <w:rPr>
          <w:color w:val="auto"/>
        </w:rPr>
        <w:t>综合管廊</w:t>
      </w:r>
      <w:r>
        <w:rPr>
          <w:bCs/>
          <w:color w:val="auto"/>
        </w:rPr>
        <w:t>主体结构与支撑结构间设置可靠的换撑传力构件；</w:t>
      </w:r>
    </w:p>
    <w:p w14:paraId="513A9DBB">
      <w:pPr>
        <w:ind w:firstLine="482" w:firstLineChars="200"/>
        <w:rPr>
          <w:bCs/>
          <w:color w:val="auto"/>
        </w:rPr>
      </w:pPr>
      <w:r>
        <w:rPr>
          <w:b/>
          <w:bCs/>
          <w:color w:val="auto"/>
        </w:rPr>
        <w:t>11　</w:t>
      </w:r>
      <w:r>
        <w:rPr>
          <w:bCs/>
          <w:color w:val="auto"/>
        </w:rPr>
        <w:t>支撑的竖向布置应符合下列规定：</w:t>
      </w:r>
    </w:p>
    <w:p w14:paraId="0709F40C">
      <w:pPr>
        <w:ind w:left="925" w:leftChars="302" w:hanging="200" w:hangingChars="83"/>
        <w:rPr>
          <w:color w:val="auto"/>
        </w:rPr>
      </w:pPr>
      <w:r>
        <w:rPr>
          <w:b/>
          <w:bCs/>
          <w:color w:val="auto"/>
        </w:rPr>
        <w:t>1</w:t>
      </w:r>
      <w:r>
        <w:rPr>
          <w:color w:val="auto"/>
        </w:rPr>
        <w:t>）支撑与综合管廊挡土构件连接处不应出现拉力；</w:t>
      </w:r>
    </w:p>
    <w:p w14:paraId="2E68591D">
      <w:pPr>
        <w:ind w:left="1082" w:leftChars="302" w:hanging="357" w:hangingChars="148"/>
        <w:rPr>
          <w:color w:val="auto"/>
        </w:rPr>
      </w:pPr>
      <w:r>
        <w:rPr>
          <w:b/>
          <w:bCs/>
          <w:color w:val="auto"/>
        </w:rPr>
        <w:t>2</w:t>
      </w:r>
      <w:r>
        <w:rPr>
          <w:color w:val="auto"/>
        </w:rPr>
        <w:t>）支撑应避开综合管廊主体结构底板和顶（低）板的位置，并应满足主体地下结构施工对墙、柱钢筋连接长度的要求；当支撑下方的主体结构顶（低）板在支撑拆除前施工时，支撑底面与下方主体结构顶（低）板间的净距不宜小于700mm；</w:t>
      </w:r>
    </w:p>
    <w:p w14:paraId="6740A16C">
      <w:pPr>
        <w:ind w:left="925" w:leftChars="302" w:hanging="200" w:hangingChars="83"/>
        <w:rPr>
          <w:color w:val="auto"/>
        </w:rPr>
      </w:pPr>
      <w:r>
        <w:rPr>
          <w:b/>
          <w:bCs/>
          <w:color w:val="auto"/>
        </w:rPr>
        <w:t>3</w:t>
      </w:r>
      <w:r>
        <w:rPr>
          <w:color w:val="auto"/>
        </w:rPr>
        <w:t>）采用多层水平支撑时，各层水平支撑宜布置在同一竖向平面内，层间净高不宜小于3m。</w:t>
      </w:r>
    </w:p>
    <w:p w14:paraId="5ADEAE15">
      <w:pPr>
        <w:ind w:firstLine="482" w:firstLineChars="200"/>
        <w:rPr>
          <w:bCs/>
          <w:color w:val="auto"/>
        </w:rPr>
      </w:pPr>
      <w:r>
        <w:rPr>
          <w:b/>
          <w:bCs/>
          <w:color w:val="auto"/>
        </w:rPr>
        <w:t>12　</w:t>
      </w:r>
      <w:r>
        <w:rPr>
          <w:bCs/>
          <w:color w:val="auto"/>
        </w:rPr>
        <w:t>混凝土支撑的构造应符合下列规定：</w:t>
      </w:r>
    </w:p>
    <w:p w14:paraId="0B0DF6EE">
      <w:pPr>
        <w:ind w:left="925" w:leftChars="302" w:hanging="200" w:hangingChars="83"/>
        <w:rPr>
          <w:color w:val="auto"/>
        </w:rPr>
      </w:pPr>
      <w:r>
        <w:rPr>
          <w:b/>
          <w:bCs/>
          <w:color w:val="auto"/>
        </w:rPr>
        <w:t>1</w:t>
      </w:r>
      <w:r>
        <w:rPr>
          <w:color w:val="auto"/>
        </w:rPr>
        <w:t>）混凝土的强度等级不应低于C25；</w:t>
      </w:r>
    </w:p>
    <w:p w14:paraId="72DC61E7">
      <w:pPr>
        <w:ind w:left="1082" w:leftChars="302" w:hanging="357" w:hangingChars="148"/>
        <w:rPr>
          <w:color w:val="auto"/>
        </w:rPr>
      </w:pPr>
      <w:r>
        <w:rPr>
          <w:b/>
          <w:bCs/>
          <w:color w:val="auto"/>
        </w:rPr>
        <w:t>2</w:t>
      </w:r>
      <w:r>
        <w:rPr>
          <w:color w:val="auto"/>
        </w:rPr>
        <w:t>）支撑构件的截面高度不宜小于其竖向平面内计算长度的1/20；腰梁的截面高度（水平尺寸）不宜小于其水平方向计算跨度的1/10，截面宽度（竖向尺寸）不应小于支撑的截面高度；</w:t>
      </w:r>
    </w:p>
    <w:p w14:paraId="33494469">
      <w:pPr>
        <w:ind w:left="1082" w:leftChars="302" w:hanging="357" w:hangingChars="148"/>
        <w:rPr>
          <w:color w:val="auto"/>
        </w:rPr>
      </w:pPr>
      <w:r>
        <w:rPr>
          <w:b/>
          <w:bCs/>
          <w:color w:val="auto"/>
        </w:rPr>
        <w:t>3</w:t>
      </w:r>
      <w:r>
        <w:rPr>
          <w:color w:val="auto"/>
        </w:rPr>
        <w:t>）支撑构件的纵向钢筋直径不宜小于16mm，沿截面周边的间距不宜大于200mm；箍筋的直径不宜小于8mm，间距不宜大于250mm。</w:t>
      </w:r>
    </w:p>
    <w:p w14:paraId="4345C5A6">
      <w:pPr>
        <w:ind w:firstLine="482" w:firstLineChars="200"/>
        <w:rPr>
          <w:bCs/>
          <w:color w:val="auto"/>
        </w:rPr>
      </w:pPr>
      <w:r>
        <w:rPr>
          <w:b/>
          <w:bCs/>
          <w:color w:val="auto"/>
        </w:rPr>
        <w:t>13　</w:t>
      </w:r>
      <w:r>
        <w:rPr>
          <w:bCs/>
          <w:color w:val="auto"/>
        </w:rPr>
        <w:t>钢支撑的构造应符合下列规定：</w:t>
      </w:r>
    </w:p>
    <w:p w14:paraId="4C199436">
      <w:pPr>
        <w:ind w:left="1082" w:leftChars="302" w:hanging="357" w:hangingChars="148"/>
        <w:rPr>
          <w:color w:val="auto"/>
        </w:rPr>
      </w:pPr>
      <w:r>
        <w:rPr>
          <w:b/>
          <w:bCs/>
          <w:color w:val="auto"/>
        </w:rPr>
        <w:t>1</w:t>
      </w:r>
      <w:r>
        <w:rPr>
          <w:color w:val="auto"/>
        </w:rPr>
        <w:t>）钢支撑的截面型式可以采用H型钢、钢管、工字钢或槽钢以及它们的组合截面；</w:t>
      </w:r>
    </w:p>
    <w:p w14:paraId="148C1334">
      <w:pPr>
        <w:ind w:left="1082" w:leftChars="302" w:hanging="357" w:hangingChars="148"/>
        <w:rPr>
          <w:color w:val="auto"/>
        </w:rPr>
      </w:pPr>
      <w:r>
        <w:rPr>
          <w:b/>
          <w:bCs/>
          <w:color w:val="auto"/>
        </w:rPr>
        <w:t>2</w:t>
      </w:r>
      <w:r>
        <w:rPr>
          <w:color w:val="auto"/>
        </w:rPr>
        <w:t>）钢支撑与钢腰梁的连接可采用焊接或螺栓连接。钢支撑与腰梁的节点处未焊接或采用螺栓连接时应采取必要的防坠落措施。</w:t>
      </w:r>
    </w:p>
    <w:p w14:paraId="47E30A8C">
      <w:pPr>
        <w:ind w:firstLine="482" w:firstLineChars="200"/>
        <w:rPr>
          <w:bCs/>
          <w:color w:val="auto"/>
        </w:rPr>
      </w:pPr>
      <w:r>
        <w:rPr>
          <w:b/>
          <w:bCs/>
          <w:color w:val="auto"/>
        </w:rPr>
        <w:t>14　</w:t>
      </w:r>
      <w:r>
        <w:rPr>
          <w:bCs/>
          <w:color w:val="auto"/>
        </w:rPr>
        <w:t>立柱的构造宜符合下列规定：</w:t>
      </w:r>
    </w:p>
    <w:p w14:paraId="285ABA25">
      <w:pPr>
        <w:ind w:left="1082" w:leftChars="302" w:hanging="357" w:hangingChars="148"/>
        <w:rPr>
          <w:color w:val="auto"/>
        </w:rPr>
      </w:pPr>
      <w:r>
        <w:rPr>
          <w:b/>
          <w:bCs/>
          <w:color w:val="auto"/>
        </w:rPr>
        <w:t>1</w:t>
      </w:r>
      <w:r>
        <w:rPr>
          <w:color w:val="auto"/>
        </w:rPr>
        <w:t>）立柱可采用钢格构、钢管、型钢或钢管混凝土等形式；</w:t>
      </w:r>
    </w:p>
    <w:p w14:paraId="4AA7FA2D">
      <w:pPr>
        <w:ind w:left="1082" w:leftChars="302" w:hanging="357" w:hangingChars="148"/>
        <w:rPr>
          <w:color w:val="auto"/>
        </w:rPr>
      </w:pPr>
      <w:r>
        <w:rPr>
          <w:b/>
          <w:bCs/>
          <w:color w:val="auto"/>
        </w:rPr>
        <w:t>2</w:t>
      </w:r>
      <w:r>
        <w:rPr>
          <w:color w:val="auto"/>
        </w:rPr>
        <w:t>）当采用灌注桩作为立柱基础时，钢立柱锚入桩内的长度不宜小于立柱长边或直径的4倍；</w:t>
      </w:r>
    </w:p>
    <w:p w14:paraId="35139951">
      <w:pPr>
        <w:ind w:left="1082" w:leftChars="302" w:hanging="357" w:hangingChars="148"/>
        <w:rPr>
          <w:color w:val="auto"/>
        </w:rPr>
      </w:pPr>
      <w:r>
        <w:rPr>
          <w:b/>
          <w:bCs/>
          <w:color w:val="auto"/>
        </w:rPr>
        <w:t>3</w:t>
      </w:r>
      <w:r>
        <w:rPr>
          <w:color w:val="auto"/>
        </w:rPr>
        <w:t>）立柱长细比不宜大于25；</w:t>
      </w:r>
    </w:p>
    <w:p w14:paraId="7BE905EE">
      <w:pPr>
        <w:ind w:left="925" w:leftChars="302" w:hanging="200" w:hangingChars="83"/>
        <w:rPr>
          <w:color w:val="auto"/>
        </w:rPr>
      </w:pPr>
      <w:r>
        <w:rPr>
          <w:b/>
          <w:bCs/>
          <w:color w:val="auto"/>
        </w:rPr>
        <w:t>4</w:t>
      </w:r>
      <w:r>
        <w:rPr>
          <w:color w:val="auto"/>
        </w:rPr>
        <w:t>）立柱与水平支撑的连接可采用铰接。</w:t>
      </w:r>
    </w:p>
    <w:p w14:paraId="7F8682F2">
      <w:pPr>
        <w:ind w:firstLine="482" w:firstLineChars="200"/>
        <w:rPr>
          <w:color w:val="auto"/>
        </w:rPr>
      </w:pPr>
      <w:r>
        <w:rPr>
          <w:b/>
          <w:bCs/>
          <w:color w:val="auto"/>
        </w:rPr>
        <w:t>15　</w:t>
      </w:r>
      <w:r>
        <w:rPr>
          <w:color w:val="auto"/>
        </w:rPr>
        <w:t>钢立柱穿过管廊结构底板的部位，应在底板内设置止水钢板，止水板道数应根据管廊底板防水要求确定。</w:t>
      </w:r>
    </w:p>
    <w:p w14:paraId="7B0A4A7E">
      <w:pPr>
        <w:spacing w:before="164" w:beforeLines="50" w:after="164" w:afterLines="50"/>
        <w:ind w:firstLine="0"/>
        <w:jc w:val="center"/>
        <w:outlineLvl w:val="2"/>
        <w:rPr>
          <w:rFonts w:eastAsia="仿宋"/>
          <w:b/>
          <w:bCs/>
          <w:color w:val="auto"/>
          <w:sz w:val="28"/>
          <w:szCs w:val="28"/>
        </w:rPr>
      </w:pPr>
      <w:bookmarkStart w:id="274" w:name="_Toc31539"/>
      <w:bookmarkStart w:id="275" w:name="_Toc14755"/>
      <w:bookmarkStart w:id="276" w:name="_Toc12911"/>
      <w:bookmarkStart w:id="277" w:name="_Toc11944"/>
      <w:bookmarkStart w:id="278" w:name="_Toc29157"/>
      <w:r>
        <w:rPr>
          <w:rFonts w:eastAsia="仿宋"/>
          <w:b/>
          <w:bCs/>
          <w:color w:val="auto"/>
          <w:sz w:val="28"/>
          <w:szCs w:val="28"/>
        </w:rPr>
        <w:t>Ⅷ  锚杆（索）</w:t>
      </w:r>
      <w:bookmarkEnd w:id="274"/>
      <w:bookmarkEnd w:id="275"/>
      <w:bookmarkEnd w:id="276"/>
      <w:bookmarkEnd w:id="277"/>
      <w:bookmarkEnd w:id="278"/>
    </w:p>
    <w:p w14:paraId="59D1FC20">
      <w:pPr>
        <w:ind w:firstLine="0"/>
        <w:rPr>
          <w:bCs/>
          <w:color w:val="auto"/>
        </w:rPr>
      </w:pPr>
      <w:r>
        <w:rPr>
          <w:b/>
          <w:bCs/>
          <w:color w:val="auto"/>
        </w:rPr>
        <w:t>5.2.28　</w:t>
      </w:r>
      <w:r>
        <w:rPr>
          <w:bCs/>
          <w:color w:val="auto"/>
        </w:rPr>
        <w:t>锚杆（索）（</w:t>
      </w:r>
      <w:r>
        <w:rPr>
          <w:color w:val="auto"/>
        </w:rPr>
        <w:t>图5.2.28</w:t>
      </w:r>
      <w:r>
        <w:rPr>
          <w:bCs/>
          <w:color w:val="auto"/>
        </w:rPr>
        <w:t>）设计应符合下列规定：</w:t>
      </w:r>
    </w:p>
    <w:p w14:paraId="2EF88486">
      <w:pPr>
        <w:jc w:val="center"/>
        <w:rPr>
          <w:b/>
          <w:bCs/>
          <w:color w:val="auto"/>
          <w:sz w:val="21"/>
          <w:szCs w:val="21"/>
        </w:rPr>
      </w:pPr>
      <w:r>
        <w:rPr>
          <w:b/>
          <w:bCs/>
          <w:color w:val="auto"/>
          <w:sz w:val="21"/>
          <w:szCs w:val="21"/>
        </w:rPr>
        <w:drawing>
          <wp:inline distT="0" distB="0" distL="114300" distR="114300">
            <wp:extent cx="3618865" cy="2395220"/>
            <wp:effectExtent l="0" t="0" r="635" b="5080"/>
            <wp:docPr id="25" name="图片 25"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7"/>
                    <pic:cNvPicPr>
                      <a:picLocks noChangeAspect="1"/>
                    </pic:cNvPicPr>
                  </pic:nvPicPr>
                  <pic:blipFill>
                    <a:blip r:embed="rId332"/>
                    <a:stretch>
                      <a:fillRect/>
                    </a:stretch>
                  </pic:blipFill>
                  <pic:spPr>
                    <a:xfrm>
                      <a:off x="0" y="0"/>
                      <a:ext cx="3618865" cy="2395220"/>
                    </a:xfrm>
                    <a:prstGeom prst="rect">
                      <a:avLst/>
                    </a:prstGeom>
                  </pic:spPr>
                </pic:pic>
              </a:graphicData>
            </a:graphic>
          </wp:inline>
        </w:drawing>
      </w:r>
    </w:p>
    <w:p w14:paraId="13ABC577">
      <w:pPr>
        <w:ind w:firstLine="0"/>
        <w:jc w:val="center"/>
        <w:rPr>
          <w:b/>
          <w:bCs/>
          <w:color w:val="auto"/>
          <w:sz w:val="21"/>
          <w:szCs w:val="21"/>
        </w:rPr>
      </w:pPr>
      <w:r>
        <w:rPr>
          <w:color w:val="auto"/>
          <w:sz w:val="18"/>
          <w:szCs w:val="18"/>
        </w:rPr>
        <w:t>l</w:t>
      </w:r>
      <w:r>
        <w:rPr>
          <w:color w:val="auto"/>
          <w:sz w:val="18"/>
          <w:szCs w:val="18"/>
        </w:rPr>
        <w:sym w:font="Symbol" w:char="F0BE"/>
      </w:r>
      <w:r>
        <w:rPr>
          <w:color w:val="auto"/>
          <w:sz w:val="18"/>
          <w:szCs w:val="18"/>
        </w:rPr>
        <w:t>围护墙   2</w:t>
      </w:r>
      <w:r>
        <w:rPr>
          <w:color w:val="auto"/>
          <w:sz w:val="18"/>
          <w:szCs w:val="18"/>
        </w:rPr>
        <w:sym w:font="Symbol" w:char="F0BE"/>
      </w:r>
      <w:r>
        <w:rPr>
          <w:color w:val="auto"/>
          <w:sz w:val="18"/>
          <w:szCs w:val="18"/>
        </w:rPr>
        <w:t>冠梁   3</w:t>
      </w:r>
      <w:r>
        <w:rPr>
          <w:color w:val="auto"/>
          <w:sz w:val="18"/>
          <w:szCs w:val="18"/>
        </w:rPr>
        <w:sym w:font="Symbol" w:char="F0BE"/>
      </w:r>
      <w:r>
        <w:rPr>
          <w:color w:val="auto"/>
          <w:sz w:val="18"/>
          <w:szCs w:val="18"/>
        </w:rPr>
        <w:t>腰梁   4</w:t>
      </w:r>
      <w:r>
        <w:rPr>
          <w:color w:val="auto"/>
          <w:sz w:val="18"/>
          <w:szCs w:val="18"/>
        </w:rPr>
        <w:sym w:font="Symbol" w:char="F0BE"/>
      </w:r>
      <w:r>
        <w:rPr>
          <w:color w:val="auto"/>
          <w:sz w:val="18"/>
          <w:szCs w:val="18"/>
        </w:rPr>
        <w:t>锚杆（索）</w:t>
      </w:r>
    </w:p>
    <w:p w14:paraId="44CE8343">
      <w:pPr>
        <w:jc w:val="center"/>
        <w:rPr>
          <w:b/>
          <w:bCs/>
          <w:color w:val="auto"/>
          <w:sz w:val="21"/>
          <w:szCs w:val="21"/>
        </w:rPr>
      </w:pPr>
      <w:r>
        <w:rPr>
          <w:b/>
          <w:bCs/>
          <w:color w:val="auto"/>
          <w:sz w:val="21"/>
          <w:szCs w:val="21"/>
        </w:rPr>
        <w:t>图5.2.28　综合管廊明挖段支护锚杆（索）体系示意图</w:t>
      </w:r>
    </w:p>
    <w:p w14:paraId="51F83670">
      <w:pPr>
        <w:ind w:firstLine="482" w:firstLineChars="200"/>
        <w:rPr>
          <w:bCs/>
          <w:color w:val="auto"/>
        </w:rPr>
      </w:pPr>
      <w:r>
        <w:rPr>
          <w:b/>
          <w:bCs/>
          <w:color w:val="auto"/>
        </w:rPr>
        <w:t>1　</w:t>
      </w:r>
      <w:r>
        <w:rPr>
          <w:bCs/>
          <w:color w:val="auto"/>
        </w:rPr>
        <w:t>锚杆（索）设计应包括下列内容：</w:t>
      </w:r>
    </w:p>
    <w:p w14:paraId="72727E50">
      <w:pPr>
        <w:ind w:left="1082" w:leftChars="302" w:hanging="357" w:hangingChars="148"/>
        <w:rPr>
          <w:color w:val="auto"/>
        </w:rPr>
      </w:pPr>
      <w:r>
        <w:rPr>
          <w:b/>
          <w:bCs/>
          <w:color w:val="auto"/>
        </w:rPr>
        <w:t>1</w:t>
      </w:r>
      <w:r>
        <w:rPr>
          <w:color w:val="auto"/>
        </w:rPr>
        <w:t>）确定锚杆（索）类型、间距、排距和安设角度、断面形状及施工工艺；</w:t>
      </w:r>
    </w:p>
    <w:p w14:paraId="4309CBBE">
      <w:pPr>
        <w:ind w:left="1082" w:leftChars="302" w:hanging="357" w:hangingChars="148"/>
        <w:rPr>
          <w:color w:val="auto"/>
        </w:rPr>
      </w:pPr>
      <w:r>
        <w:rPr>
          <w:b/>
          <w:bCs/>
          <w:color w:val="auto"/>
        </w:rPr>
        <w:t>2</w:t>
      </w:r>
      <w:r>
        <w:rPr>
          <w:color w:val="auto"/>
        </w:rPr>
        <w:t>）确定锚杆（索）自由段、锚固段长度、锚固体直径、锚杆抗拔承载力特征值；</w:t>
      </w:r>
    </w:p>
    <w:p w14:paraId="4F5E0EE9">
      <w:pPr>
        <w:ind w:left="925" w:leftChars="302" w:hanging="200" w:hangingChars="83"/>
        <w:rPr>
          <w:color w:val="auto"/>
        </w:rPr>
      </w:pPr>
      <w:r>
        <w:rPr>
          <w:b/>
          <w:bCs/>
          <w:color w:val="auto"/>
        </w:rPr>
        <w:t>3</w:t>
      </w:r>
      <w:r>
        <w:rPr>
          <w:color w:val="auto"/>
        </w:rPr>
        <w:t>）锚杆（索）筋体材料设计；</w:t>
      </w:r>
    </w:p>
    <w:p w14:paraId="172468C7">
      <w:pPr>
        <w:ind w:left="1082" w:leftChars="302" w:hanging="357" w:hangingChars="148"/>
        <w:rPr>
          <w:color w:val="auto"/>
        </w:rPr>
      </w:pPr>
      <w:r>
        <w:rPr>
          <w:b/>
          <w:bCs/>
          <w:color w:val="auto"/>
        </w:rPr>
        <w:t>4</w:t>
      </w:r>
      <w:r>
        <w:rPr>
          <w:color w:val="auto"/>
        </w:rPr>
        <w:t>）锚具、承压板、台座及腰梁设计；</w:t>
      </w:r>
    </w:p>
    <w:p w14:paraId="5F76AA6B">
      <w:pPr>
        <w:ind w:left="925" w:leftChars="302" w:hanging="200" w:hangingChars="83"/>
        <w:rPr>
          <w:color w:val="auto"/>
        </w:rPr>
      </w:pPr>
      <w:r>
        <w:rPr>
          <w:b/>
          <w:bCs/>
          <w:color w:val="auto"/>
        </w:rPr>
        <w:t>5</w:t>
      </w:r>
      <w:r>
        <w:rPr>
          <w:color w:val="auto"/>
        </w:rPr>
        <w:t>）预应力锚杆（索）张拉荷载值、锁定荷载值；</w:t>
      </w:r>
    </w:p>
    <w:p w14:paraId="0CF9A5FC">
      <w:pPr>
        <w:ind w:left="1082" w:leftChars="302" w:hanging="357" w:hangingChars="148"/>
        <w:rPr>
          <w:color w:val="auto"/>
        </w:rPr>
      </w:pPr>
      <w:r>
        <w:rPr>
          <w:b/>
          <w:bCs/>
          <w:color w:val="auto"/>
        </w:rPr>
        <w:t>6</w:t>
      </w:r>
      <w:r>
        <w:rPr>
          <w:color w:val="auto"/>
        </w:rPr>
        <w:t>）锚杆（索）试验和监测要求；</w:t>
      </w:r>
    </w:p>
    <w:p w14:paraId="6ACC979B">
      <w:pPr>
        <w:ind w:left="925" w:leftChars="302" w:hanging="200" w:hangingChars="83"/>
        <w:rPr>
          <w:color w:val="auto"/>
        </w:rPr>
      </w:pPr>
      <w:r>
        <w:rPr>
          <w:b/>
          <w:bCs/>
          <w:color w:val="auto"/>
        </w:rPr>
        <w:t>7</w:t>
      </w:r>
      <w:r>
        <w:rPr>
          <w:color w:val="auto"/>
        </w:rPr>
        <w:t>）支护结构变形控制需要进行的锚杆（索）补张拉设计。</w:t>
      </w:r>
    </w:p>
    <w:p w14:paraId="7D8D5FDE">
      <w:pPr>
        <w:ind w:firstLine="482" w:firstLineChars="200"/>
        <w:rPr>
          <w:bCs/>
          <w:color w:val="auto"/>
        </w:rPr>
      </w:pPr>
      <w:r>
        <w:rPr>
          <w:b/>
          <w:bCs/>
          <w:color w:val="auto"/>
        </w:rPr>
        <w:t>2　</w:t>
      </w:r>
      <w:r>
        <w:rPr>
          <w:bCs/>
          <w:color w:val="auto"/>
        </w:rPr>
        <w:t>锚杆（索）的应用应符合下列规定：</w:t>
      </w:r>
    </w:p>
    <w:p w14:paraId="4E20C0C1">
      <w:pPr>
        <w:ind w:left="1082" w:leftChars="302" w:hanging="357" w:hangingChars="148"/>
        <w:rPr>
          <w:color w:val="auto"/>
        </w:rPr>
      </w:pPr>
      <w:r>
        <w:rPr>
          <w:b/>
          <w:bCs/>
          <w:color w:val="auto"/>
        </w:rPr>
        <w:t>1</w:t>
      </w:r>
      <w:r>
        <w:rPr>
          <w:color w:val="auto"/>
        </w:rPr>
        <w:t>）锚拉结构宜采用钢绞线锚索；承载力要求较低时，也可采用钢筋锚杆；档环境保护不允许在支护结构使用功能完成后锚杆（索）杆体滞留在地层内时，应采用可拆芯钢绞线锚杆（索）；</w:t>
      </w:r>
    </w:p>
    <w:p w14:paraId="1BFBA391">
      <w:pPr>
        <w:ind w:left="1082" w:leftChars="302" w:hanging="357" w:hangingChars="148"/>
        <w:rPr>
          <w:color w:val="auto"/>
        </w:rPr>
      </w:pPr>
      <w:r>
        <w:rPr>
          <w:b/>
          <w:bCs/>
          <w:color w:val="auto"/>
        </w:rPr>
        <w:t>2</w:t>
      </w:r>
      <w:r>
        <w:rPr>
          <w:color w:val="auto"/>
        </w:rPr>
        <w:t>）在易塌孔的松散或稍密的砂土、碎石土、粉土、填土层，饱和软弱土层，高水头压力的各类土层，钢绞线锚索、钢筋锚杆宜采用套管护壁成孔工艺或旋喷锚索。</w:t>
      </w:r>
    </w:p>
    <w:p w14:paraId="518E05A6">
      <w:pPr>
        <w:ind w:left="1082" w:leftChars="302" w:hanging="357" w:hangingChars="148"/>
        <w:rPr>
          <w:color w:val="auto"/>
        </w:rPr>
      </w:pPr>
      <w:r>
        <w:rPr>
          <w:b/>
          <w:bCs/>
          <w:color w:val="auto"/>
        </w:rPr>
        <w:t>3</w:t>
      </w:r>
      <w:r>
        <w:rPr>
          <w:color w:val="auto"/>
        </w:rPr>
        <w:t>）锚杆（索）注浆宜采用二次压力注浆或旋喷注浆工艺；</w:t>
      </w:r>
    </w:p>
    <w:p w14:paraId="5D0B6406">
      <w:pPr>
        <w:ind w:left="1082" w:leftChars="302" w:hanging="357" w:hangingChars="148"/>
        <w:rPr>
          <w:color w:val="auto"/>
        </w:rPr>
      </w:pPr>
      <w:r>
        <w:rPr>
          <w:b/>
          <w:bCs/>
          <w:color w:val="auto"/>
        </w:rPr>
        <w:t>4</w:t>
      </w:r>
      <w:r>
        <w:rPr>
          <w:color w:val="auto"/>
        </w:rPr>
        <w:t>）土层锚杆（索）锚固段不应设置在未经处理的软弱土层、不稳定土层和不良地质作用发育地段，及钻孔注浆引发较大土体沉降的土层。</w:t>
      </w:r>
    </w:p>
    <w:p w14:paraId="5DBAE5DC">
      <w:pPr>
        <w:ind w:left="1082" w:leftChars="302" w:hanging="357" w:hangingChars="148"/>
        <w:rPr>
          <w:color w:val="auto"/>
        </w:rPr>
      </w:pPr>
      <w:r>
        <w:rPr>
          <w:b/>
          <w:bCs/>
          <w:color w:val="auto"/>
        </w:rPr>
        <w:t>5</w:t>
      </w:r>
      <w:r>
        <w:rPr>
          <w:color w:val="auto"/>
        </w:rPr>
        <w:t>）在复杂地质条件下，应通过现场试验确定锚杆（索）的适用性。</w:t>
      </w:r>
    </w:p>
    <w:p w14:paraId="14F306A2">
      <w:pPr>
        <w:ind w:firstLine="482" w:firstLineChars="200"/>
        <w:rPr>
          <w:color w:val="auto"/>
        </w:rPr>
      </w:pPr>
      <w:r>
        <w:rPr>
          <w:b/>
          <w:bCs/>
          <w:color w:val="auto"/>
        </w:rPr>
        <w:t>3　</w:t>
      </w:r>
      <w:r>
        <w:rPr>
          <w:color w:val="auto"/>
        </w:rPr>
        <w:t>锚杆（索）杆体材料宜选用钢绞线、螺纹钢筋、玻璃纤维，当锚杆（索）极限承载力小于400kN时，可采用HRB335钢筋。</w:t>
      </w:r>
    </w:p>
    <w:p w14:paraId="44816179">
      <w:pPr>
        <w:ind w:firstLine="482" w:firstLineChars="200"/>
        <w:rPr>
          <w:color w:val="auto"/>
        </w:rPr>
      </w:pPr>
      <w:r>
        <w:rPr>
          <w:b/>
          <w:bCs/>
          <w:color w:val="auto"/>
        </w:rPr>
        <w:t>4　</w:t>
      </w:r>
      <w:r>
        <w:rPr>
          <w:color w:val="auto"/>
        </w:rPr>
        <w:t>锚杆（索）布置与锚固体强度应符合下列规定：</w:t>
      </w:r>
    </w:p>
    <w:p w14:paraId="790C9815">
      <w:pPr>
        <w:ind w:left="1082" w:leftChars="302" w:hanging="357" w:hangingChars="148"/>
        <w:rPr>
          <w:color w:val="auto"/>
        </w:rPr>
      </w:pPr>
      <w:r>
        <w:rPr>
          <w:b/>
          <w:bCs/>
          <w:color w:val="auto"/>
        </w:rPr>
        <w:t>1</w:t>
      </w:r>
      <w:r>
        <w:rPr>
          <w:color w:val="auto"/>
        </w:rPr>
        <w:t>）锚杆（索）锚固体上下排间距不宜小于2.5m，水平方向间距不宜小于1.5m；锚杆（索）锚固体上覆土层厚度不宜小于4.0m。锚杆（索）的倾角宜为15°～35°；</w:t>
      </w:r>
    </w:p>
    <w:p w14:paraId="406E4F8C">
      <w:pPr>
        <w:ind w:left="1082" w:leftChars="302" w:hanging="357" w:hangingChars="148"/>
        <w:rPr>
          <w:color w:val="auto"/>
        </w:rPr>
      </w:pPr>
      <w:r>
        <w:rPr>
          <w:b/>
          <w:bCs/>
          <w:color w:val="auto"/>
        </w:rPr>
        <w:t>2</w:t>
      </w:r>
      <w:r>
        <w:rPr>
          <w:color w:val="auto"/>
        </w:rPr>
        <w:t>）锚杆（索）定位支架沿锚杆轴线方向宜每隔1.0m～2.0m设置1个，锚杆（索）杆体的保护层不得少于20mm；</w:t>
      </w:r>
    </w:p>
    <w:p w14:paraId="18F2DEE7">
      <w:pPr>
        <w:ind w:left="1082" w:leftChars="302" w:hanging="357" w:hangingChars="148"/>
        <w:rPr>
          <w:color w:val="auto"/>
        </w:rPr>
      </w:pPr>
      <w:r>
        <w:rPr>
          <w:b/>
          <w:bCs/>
          <w:color w:val="auto"/>
        </w:rPr>
        <w:t>3</w:t>
      </w:r>
      <w:r>
        <w:rPr>
          <w:color w:val="auto"/>
        </w:rPr>
        <w:t>）锚固体宜采用水泥砂浆或纯水泥浆，浆体设计强度不宜低于20.0MPa；</w:t>
      </w:r>
    </w:p>
    <w:p w14:paraId="4601CA27">
      <w:pPr>
        <w:ind w:left="1082" w:leftChars="302" w:hanging="357" w:hangingChars="148"/>
        <w:rPr>
          <w:color w:val="auto"/>
        </w:rPr>
      </w:pPr>
      <w:r>
        <w:rPr>
          <w:b/>
          <w:bCs/>
          <w:color w:val="auto"/>
        </w:rPr>
        <w:t>4</w:t>
      </w:r>
      <w:r>
        <w:rPr>
          <w:color w:val="auto"/>
        </w:rPr>
        <w:t>）土层锚杆（索）钻孔直径不宜小于120mm。</w:t>
      </w:r>
    </w:p>
    <w:p w14:paraId="004CF4D3">
      <w:pPr>
        <w:ind w:firstLine="482" w:firstLineChars="200"/>
        <w:rPr>
          <w:bCs/>
          <w:color w:val="auto"/>
        </w:rPr>
      </w:pPr>
      <w:r>
        <w:rPr>
          <w:b/>
          <w:bCs/>
          <w:color w:val="auto"/>
        </w:rPr>
        <w:t>5　</w:t>
      </w:r>
      <w:r>
        <w:rPr>
          <w:bCs/>
          <w:color w:val="auto"/>
        </w:rPr>
        <w:t>锚杆（索）预应力筋的截面面积应按下式确定：</w:t>
      </w:r>
    </w:p>
    <w:p w14:paraId="37A86029">
      <w:pPr>
        <w:ind w:firstLine="490"/>
        <w:jc w:val="right"/>
        <w:rPr>
          <w:color w:val="auto"/>
        </w:rPr>
      </w:pPr>
      <w:r>
        <w:rPr>
          <w:color w:val="auto"/>
          <w:spacing w:val="9"/>
        </w:rPr>
        <w:drawing>
          <wp:inline distT="0" distB="0" distL="114300" distR="114300">
            <wp:extent cx="906780" cy="434340"/>
            <wp:effectExtent l="0" t="0" r="0" b="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a:xfrm>
                      <a:off x="0" y="0"/>
                      <a:ext cx="906780" cy="434340"/>
                    </a:xfrm>
                    <a:prstGeom prst="rect">
                      <a:avLst/>
                    </a:prstGeom>
                    <a:noFill/>
                    <a:ln>
                      <a:noFill/>
                    </a:ln>
                  </pic:spPr>
                </pic:pic>
              </a:graphicData>
            </a:graphic>
          </wp:inline>
        </w:drawing>
      </w:r>
      <w:r>
        <w:rPr>
          <w:color w:val="auto"/>
        </w:rPr>
        <w:t xml:space="preserve">                       （5.2.28-1）</w:t>
      </w:r>
    </w:p>
    <w:p w14:paraId="483F6A35">
      <w:pPr>
        <w:ind w:firstLine="0"/>
        <w:rPr>
          <w:color w:val="auto"/>
        </w:rPr>
      </w:pPr>
      <w:r>
        <w:rPr>
          <w:color w:val="auto"/>
        </w:rPr>
        <w:t>式中：</w:t>
      </w:r>
      <w:r>
        <w:rPr>
          <w:color w:val="auto"/>
          <w:spacing w:val="9"/>
          <w:position w:val="-10"/>
        </w:rPr>
        <w:object>
          <v:shape id="_x0000_i1183" o:spt="75" type="#_x0000_t75" style="height:15pt;width:14pt;" o:ole="t" filled="f" o:preferrelative="t" stroked="f" coordsize="21600,21600">
            <v:path/>
            <v:fill on="f" focussize="0,0"/>
            <v:stroke on="f" joinstyle="miter"/>
            <v:imagedata r:id="rId335" o:title=""/>
            <o:lock v:ext="edit" aspectratio="t"/>
            <w10:wrap type="none"/>
            <w10:anchorlock/>
          </v:shape>
          <o:OLEObject Type="Embed" ProgID="Equation.3" ShapeID="_x0000_i1183" DrawAspect="Content" ObjectID="_1468075883" r:id="rId334">
            <o:LockedField>false</o:LockedField>
          </o:OLEObject>
        </w:object>
      </w:r>
      <w:r>
        <w:rPr>
          <w:color w:val="auto"/>
        </w:rPr>
        <w:t>——相应于作用的标准组合时，锚杆（索）所承受的拉力值（kN）；</w:t>
      </w:r>
    </w:p>
    <w:p w14:paraId="0D6BDF16">
      <w:pPr>
        <w:ind w:left="1659" w:leftChars="315" w:hanging="903" w:hangingChars="350"/>
        <w:rPr>
          <w:color w:val="auto"/>
        </w:rPr>
      </w:pPr>
      <w:r>
        <w:rPr>
          <w:color w:val="auto"/>
          <w:spacing w:val="9"/>
          <w:position w:val="-10"/>
        </w:rPr>
        <w:object>
          <v:shape id="_x0000_i1184" o:spt="75" type="#_x0000_t75" style="height:19.5pt;width:17.5pt;" o:ole="t" filled="f" o:preferrelative="t" stroked="f" coordsize="21600,21600">
            <v:path/>
            <v:fill on="f" focussize="0,0"/>
            <v:stroke on="f" joinstyle="miter"/>
            <v:imagedata r:id="rId337" o:title=""/>
            <o:lock v:ext="edit" aspectratio="t"/>
            <w10:wrap type="none"/>
            <w10:anchorlock/>
          </v:shape>
          <o:OLEObject Type="Embed" ProgID="Equation.3" ShapeID="_x0000_i1184" DrawAspect="Content" ObjectID="_1468075884" r:id="rId336">
            <o:LockedField>false</o:LockedField>
          </o:OLEObject>
        </w:object>
      </w:r>
      <w:r>
        <w:rPr>
          <w:color w:val="auto"/>
        </w:rPr>
        <w:t>——锚杆（索）张拉施工工艺控制系数，当预应力筋为单束时可取1.0，当预应力筋为多束时可取0.9；</w:t>
      </w:r>
    </w:p>
    <w:p w14:paraId="43BA7D94">
      <w:pPr>
        <w:ind w:firstLine="760"/>
        <w:rPr>
          <w:color w:val="auto"/>
        </w:rPr>
      </w:pPr>
      <w:r>
        <w:rPr>
          <w:color w:val="auto"/>
          <w:spacing w:val="9"/>
          <w:position w:val="-10"/>
        </w:rPr>
        <w:object>
          <v:shape id="_x0000_i1185" o:spt="75" type="#_x0000_t75" style="height:15pt;width:15pt;" o:ole="t" filled="f" o:preferrelative="t" stroked="f" coordsize="21600,21600">
            <v:path/>
            <v:fill on="f" focussize="0,0"/>
            <v:stroke on="f" joinstyle="miter"/>
            <v:imagedata r:id="rId339" o:title=""/>
            <o:lock v:ext="edit" aspectratio="t"/>
            <w10:wrap type="none"/>
            <w10:anchorlock/>
          </v:shape>
          <o:OLEObject Type="Embed" ProgID="Equation.3" ShapeID="_x0000_i1185" DrawAspect="Content" ObjectID="_1468075885" r:id="rId338">
            <o:LockedField>false</o:LockedField>
          </o:OLEObject>
        </w:object>
      </w:r>
      <w:r>
        <w:rPr>
          <w:color w:val="auto"/>
        </w:rPr>
        <w:t>——钢筋、钢绞线强度设计值（kPa）。</w:t>
      </w:r>
    </w:p>
    <w:p w14:paraId="506E5D49">
      <w:pPr>
        <w:widowControl/>
        <w:ind w:firstLine="482" w:firstLineChars="200"/>
        <w:rPr>
          <w:bCs/>
          <w:color w:val="auto"/>
        </w:rPr>
      </w:pPr>
      <w:r>
        <w:rPr>
          <w:b/>
          <w:bCs/>
          <w:color w:val="auto"/>
        </w:rPr>
        <w:t>6　</w:t>
      </w:r>
      <w:r>
        <w:rPr>
          <w:bCs/>
          <w:color w:val="auto"/>
        </w:rPr>
        <w:t>土层锚杆（索）锚固段长度（</w:t>
      </w:r>
      <w:r>
        <w:rPr>
          <w:bCs/>
          <w:color w:val="auto"/>
          <w:position w:val="-10"/>
        </w:rPr>
        <w:object>
          <v:shape id="_x0000_i1186" o:spt="75" type="#_x0000_t75" style="height:15pt;width:14pt;" o:ole="t" filled="f" o:preferrelative="t" stroked="f" coordsize="21600,21600">
            <v:path/>
            <v:fill on="f" focussize="0,0"/>
            <v:stroke on="f" joinstyle="miter"/>
            <v:imagedata r:id="rId341" o:title=""/>
            <o:lock v:ext="edit" aspectratio="t"/>
            <w10:wrap type="none"/>
            <w10:anchorlock/>
          </v:shape>
          <o:OLEObject Type="Embed" ProgID="Equation.3" ShapeID="_x0000_i1186" DrawAspect="Content" ObjectID="_1468075886" r:id="rId340">
            <o:LockedField>false</o:LockedField>
          </o:OLEObject>
        </w:object>
      </w:r>
      <w:r>
        <w:rPr>
          <w:bCs/>
          <w:color w:val="auto"/>
        </w:rPr>
        <w:t>）应按基本试验确定，初步设计时也可按下式估算：</w:t>
      </w:r>
    </w:p>
    <w:p w14:paraId="2DC7B17C">
      <w:pPr>
        <w:jc w:val="right"/>
        <w:rPr>
          <w:color w:val="auto"/>
        </w:rPr>
      </w:pPr>
      <w:r>
        <w:rPr>
          <w:b/>
          <w:bCs/>
          <w:color w:val="auto"/>
          <w:spacing w:val="9"/>
        </w:rPr>
        <w:drawing>
          <wp:inline distT="0" distB="0" distL="114300" distR="114300">
            <wp:extent cx="906780" cy="434340"/>
            <wp:effectExtent l="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a:xfrm>
                      <a:off x="0" y="0"/>
                      <a:ext cx="906780" cy="434340"/>
                    </a:xfrm>
                    <a:prstGeom prst="rect">
                      <a:avLst/>
                    </a:prstGeom>
                    <a:noFill/>
                    <a:ln>
                      <a:noFill/>
                    </a:ln>
                  </pic:spPr>
                </pic:pic>
              </a:graphicData>
            </a:graphic>
          </wp:inline>
        </w:drawing>
      </w:r>
      <w:r>
        <w:rPr>
          <w:color w:val="auto"/>
        </w:rPr>
        <w:t xml:space="preserve">                    （5.2.28-2）</w:t>
      </w:r>
    </w:p>
    <w:p w14:paraId="58E719F1">
      <w:pPr>
        <w:ind w:firstLine="0"/>
        <w:rPr>
          <w:color w:val="auto"/>
        </w:rPr>
      </w:pPr>
      <w:r>
        <w:rPr>
          <w:color w:val="auto"/>
        </w:rPr>
        <w:t>式中：D——锚固体直径（m）；</w:t>
      </w:r>
    </w:p>
    <w:p w14:paraId="493735AB">
      <w:pPr>
        <w:ind w:firstLine="720" w:firstLineChars="300"/>
        <w:rPr>
          <w:color w:val="auto"/>
        </w:rPr>
      </w:pPr>
      <w:r>
        <w:rPr>
          <w:color w:val="auto"/>
        </w:rPr>
        <w:t>K——安全系数，可取1.6；</w:t>
      </w:r>
    </w:p>
    <w:p w14:paraId="6A41A1F1">
      <w:pPr>
        <w:ind w:left="1435" w:leftChars="275" w:hanging="775" w:hangingChars="323"/>
        <w:rPr>
          <w:color w:val="auto"/>
        </w:rPr>
      </w:pPr>
      <w:r>
        <w:rPr>
          <w:color w:val="auto"/>
        </w:rPr>
        <w:object>
          <v:shape id="_x0000_i1187" o:spt="75" type="#_x0000_t75" style="height:18pt;width:12.5pt;" o:ole="t" filled="f" o:preferrelative="t" stroked="f" coordsize="21600,21600">
            <v:path/>
            <v:fill on="f" focussize="0,0"/>
            <v:stroke on="f" joinstyle="miter"/>
            <v:imagedata r:id="rId344" o:title=""/>
            <o:lock v:ext="edit" aspectratio="t"/>
            <w10:wrap type="none"/>
            <w10:anchorlock/>
          </v:shape>
          <o:OLEObject Type="Embed" ProgID="Equation.3" ShapeID="_x0000_i1187" DrawAspect="Content" ObjectID="_1468075887" r:id="rId343">
            <o:LockedField>false</o:LockedField>
          </o:OLEObject>
        </w:object>
      </w:r>
      <w:r>
        <w:rPr>
          <w:color w:val="auto"/>
        </w:rPr>
        <w:t>——土体与锚固体间黏结强度特征值（kPa），由当地锚杆抗拔试验结果统计分析算得。</w:t>
      </w:r>
    </w:p>
    <w:p w14:paraId="198F6EAB">
      <w:pPr>
        <w:ind w:firstLine="482" w:firstLineChars="200"/>
        <w:rPr>
          <w:bCs/>
          <w:color w:val="auto"/>
        </w:rPr>
      </w:pPr>
      <w:r>
        <w:rPr>
          <w:b/>
          <w:bCs/>
          <w:color w:val="auto"/>
        </w:rPr>
        <w:t>7　</w:t>
      </w:r>
      <w:r>
        <w:rPr>
          <w:bCs/>
          <w:color w:val="auto"/>
        </w:rPr>
        <w:t>锚杆（索）应在锚固体和外锚头强度达到设计强度的80%以上后逐根进行张拉锁定，张拉荷载宜为锚杆（索）所受拉力值的1.05倍～1.1倍，并在稳定5min～10min后退至锁定荷载锁定。锁定荷载宜取锚杆（索）设计承载力的0.7倍～0.85倍；</w:t>
      </w:r>
    </w:p>
    <w:p w14:paraId="2B573D67">
      <w:pPr>
        <w:ind w:firstLine="482" w:firstLineChars="200"/>
        <w:rPr>
          <w:bCs/>
          <w:color w:val="auto"/>
        </w:rPr>
      </w:pPr>
      <w:r>
        <w:rPr>
          <w:b/>
          <w:bCs/>
          <w:color w:val="auto"/>
        </w:rPr>
        <w:t>8　</w:t>
      </w:r>
      <w:r>
        <w:rPr>
          <w:bCs/>
          <w:color w:val="auto"/>
        </w:rPr>
        <w:t>锚杆（索）自由段超过潜在的破裂面不应小于1m，自由段长度不宜小于5m，锚固段在最危险滑动面以外的有效长度应满足稳定性计算要求；</w:t>
      </w:r>
    </w:p>
    <w:p w14:paraId="551F7E32">
      <w:pPr>
        <w:ind w:firstLine="482" w:firstLineChars="200"/>
        <w:rPr>
          <w:bCs/>
          <w:color w:val="auto"/>
        </w:rPr>
      </w:pPr>
      <w:r>
        <w:rPr>
          <w:b/>
          <w:bCs/>
          <w:color w:val="auto"/>
        </w:rPr>
        <w:t>9　</w:t>
      </w:r>
      <w:r>
        <w:rPr>
          <w:bCs/>
          <w:color w:val="auto"/>
        </w:rPr>
        <w:t>锚杆（索）腰梁应根据实际约束条件按连续梁或简支梁计算。计算腰梁内力时，腰梁的荷载应取结构分析时得出的支点力设计值。</w:t>
      </w:r>
    </w:p>
    <w:p w14:paraId="2F338571">
      <w:pPr>
        <w:ind w:firstLine="482" w:firstLineChars="200"/>
        <w:rPr>
          <w:bCs/>
          <w:color w:val="auto"/>
        </w:rPr>
      </w:pPr>
      <w:r>
        <w:rPr>
          <w:b/>
          <w:color w:val="auto"/>
        </w:rPr>
        <w:t>10　</w:t>
      </w:r>
      <w:r>
        <w:rPr>
          <w:bCs/>
          <w:color w:val="auto"/>
        </w:rPr>
        <w:t>为避免锚索在基坑实施结束后成为障碍物，宜采用可回收锚索。可回收锚索可采用大直径旋喷锚索，其钢绞线全长无粘结，脱锚装置应保证使用阶段的可靠性、回收阶段锚索正常脱离。</w:t>
      </w:r>
    </w:p>
    <w:p w14:paraId="6F8B6796">
      <w:pPr>
        <w:ind w:firstLine="482" w:firstLineChars="200"/>
        <w:rPr>
          <w:bCs/>
          <w:color w:val="auto"/>
        </w:rPr>
      </w:pPr>
      <w:r>
        <w:rPr>
          <w:b/>
          <w:color w:val="auto"/>
        </w:rPr>
        <w:t>11　</w:t>
      </w:r>
      <w:r>
        <w:rPr>
          <w:bCs/>
          <w:color w:val="auto"/>
        </w:rPr>
        <w:t>可回收旋喷锚索成锚流程：采用旋喷钻头边旋喷边钻进，待锚固体到达设计深度后，退回钻头和钻杆，在回退的过程中边回退边喷浆。</w:t>
      </w:r>
    </w:p>
    <w:p w14:paraId="1826E671">
      <w:pPr>
        <w:ind w:firstLine="482" w:firstLineChars="200"/>
        <w:rPr>
          <w:bCs/>
          <w:color w:val="auto"/>
        </w:rPr>
      </w:pPr>
      <w:r>
        <w:rPr>
          <w:b/>
          <w:color w:val="auto"/>
        </w:rPr>
        <w:t>12　</w:t>
      </w:r>
      <w:r>
        <w:rPr>
          <w:bCs/>
          <w:color w:val="auto"/>
        </w:rPr>
        <w:t>当锚索承载力要求较高时，可在扩大头长度范围内杆体上设置多个承载体，承载体的承载力和数量应通过锚杆基本试验确定。</w:t>
      </w:r>
    </w:p>
    <w:p w14:paraId="769BF58B">
      <w:pPr>
        <w:ind w:firstLine="482" w:firstLineChars="200"/>
        <w:rPr>
          <w:color w:val="auto"/>
          <w:sz w:val="21"/>
        </w:rPr>
      </w:pPr>
      <w:r>
        <w:rPr>
          <w:b/>
          <w:color w:val="auto"/>
        </w:rPr>
        <w:t>13　</w:t>
      </w:r>
      <w:r>
        <w:rPr>
          <w:bCs/>
          <w:color w:val="auto"/>
        </w:rPr>
        <w:t>旋喷锚索锚固体直径宜取300mm～500mm，同时可根据设计需要在锚杆端部设置扩径段。</w:t>
      </w:r>
    </w:p>
    <w:p w14:paraId="375937F3">
      <w:pPr>
        <w:spacing w:before="164" w:beforeLines="50" w:after="164" w:afterLines="50"/>
        <w:ind w:firstLine="0"/>
        <w:jc w:val="center"/>
        <w:outlineLvl w:val="2"/>
        <w:rPr>
          <w:rFonts w:eastAsia="仿宋"/>
          <w:b/>
          <w:bCs/>
          <w:color w:val="auto"/>
          <w:sz w:val="28"/>
          <w:szCs w:val="28"/>
        </w:rPr>
      </w:pPr>
      <w:bookmarkStart w:id="279" w:name="_Toc13995"/>
      <w:bookmarkStart w:id="280" w:name="_Toc26588"/>
      <w:bookmarkStart w:id="281" w:name="_Toc12667"/>
      <w:bookmarkStart w:id="282" w:name="_Toc23840"/>
      <w:bookmarkStart w:id="283" w:name="_Toc11174"/>
      <w:r>
        <w:rPr>
          <w:rFonts w:eastAsia="仿宋"/>
          <w:b/>
          <w:bCs/>
          <w:color w:val="auto"/>
          <w:sz w:val="28"/>
          <w:szCs w:val="28"/>
        </w:rPr>
        <w:t>Ⅸ  组合式支护结构</w:t>
      </w:r>
      <w:bookmarkEnd w:id="279"/>
      <w:bookmarkEnd w:id="280"/>
      <w:bookmarkEnd w:id="281"/>
      <w:bookmarkEnd w:id="282"/>
      <w:bookmarkEnd w:id="283"/>
    </w:p>
    <w:p w14:paraId="4C2340CA">
      <w:pPr>
        <w:ind w:firstLine="0"/>
        <w:rPr>
          <w:bCs/>
          <w:color w:val="auto"/>
        </w:rPr>
      </w:pPr>
      <w:r>
        <w:rPr>
          <w:b/>
          <w:bCs/>
          <w:color w:val="auto"/>
        </w:rPr>
        <w:t>5</w:t>
      </w:r>
      <w:r>
        <w:rPr>
          <w:color w:val="auto"/>
        </w:rPr>
        <w:t>.</w:t>
      </w:r>
      <w:r>
        <w:rPr>
          <w:b/>
          <w:bCs/>
          <w:color w:val="auto"/>
        </w:rPr>
        <w:t>2.29　</w:t>
      </w:r>
      <w:r>
        <w:rPr>
          <w:bCs/>
          <w:color w:val="auto"/>
        </w:rPr>
        <w:t>组合式支护结构设计</w:t>
      </w:r>
    </w:p>
    <w:p w14:paraId="62655D1A">
      <w:pPr>
        <w:ind w:firstLine="422" w:firstLineChars="175"/>
        <w:rPr>
          <w:bCs/>
          <w:color w:val="auto"/>
        </w:rPr>
      </w:pPr>
      <w:r>
        <w:rPr>
          <w:b/>
          <w:bCs/>
          <w:color w:val="auto"/>
        </w:rPr>
        <w:t>1　</w:t>
      </w:r>
      <w:r>
        <w:rPr>
          <w:bCs/>
          <w:color w:val="auto"/>
        </w:rPr>
        <w:t>当采用单一支护结构体系不能满足综合管廊支护的安全、经济要求时，应考虑在同一支护段采用两种或两种以上不同支护型式的组合式支护体系；</w:t>
      </w:r>
    </w:p>
    <w:p w14:paraId="10BE697F">
      <w:pPr>
        <w:ind w:firstLine="422" w:firstLineChars="175"/>
        <w:rPr>
          <w:bCs/>
          <w:color w:val="auto"/>
        </w:rPr>
      </w:pPr>
      <w:r>
        <w:rPr>
          <w:b/>
          <w:bCs/>
          <w:color w:val="auto"/>
        </w:rPr>
        <w:t>2　</w:t>
      </w:r>
      <w:r>
        <w:rPr>
          <w:bCs/>
          <w:color w:val="auto"/>
        </w:rPr>
        <w:t>组合式支护结构的型式应根据工程地质条件、水文地质条件、环境条件和明挖段开挖深度等因素，结合当地的施工能力和工程经验合理确定，考虑各支护结构单元的相互作用，并采取保证支护结构整体性的构造措施；</w:t>
      </w:r>
    </w:p>
    <w:p w14:paraId="315E6E37">
      <w:pPr>
        <w:ind w:firstLine="422" w:firstLineChars="175"/>
        <w:rPr>
          <w:bCs/>
          <w:color w:val="auto"/>
        </w:rPr>
      </w:pPr>
      <w:r>
        <w:rPr>
          <w:b/>
          <w:bCs/>
          <w:color w:val="auto"/>
        </w:rPr>
        <w:t>3　</w:t>
      </w:r>
      <w:r>
        <w:rPr>
          <w:bCs/>
          <w:color w:val="auto"/>
        </w:rPr>
        <w:t>常用的组合式支护结构型式包括混合型组合支护结构、阶梯型组合支护结构及拱形排桩或连续墙结构；</w:t>
      </w:r>
    </w:p>
    <w:p w14:paraId="11A32453">
      <w:pPr>
        <w:ind w:firstLine="422" w:firstLineChars="175"/>
        <w:rPr>
          <w:bCs/>
          <w:color w:val="auto"/>
        </w:rPr>
      </w:pPr>
      <w:r>
        <w:rPr>
          <w:b/>
          <w:bCs/>
          <w:color w:val="auto"/>
        </w:rPr>
        <w:t>4　</w:t>
      </w:r>
      <w:r>
        <w:rPr>
          <w:bCs/>
          <w:color w:val="auto"/>
        </w:rPr>
        <w:t>混合型组合支护结构是在同一支护段采用两种或两种以上的结构，各支护型式应相互作用紧密，形成整体性支护结构体系（图5.2.29-1）。混合型组合支护结构应符合下列规定：</w:t>
      </w:r>
    </w:p>
    <w:p w14:paraId="6B0B424F">
      <w:pPr>
        <w:ind w:firstLine="0"/>
        <w:jc w:val="center"/>
        <w:rPr>
          <w:color w:val="auto"/>
        </w:rPr>
      </w:pPr>
      <w:r>
        <w:rPr>
          <w:color w:val="auto"/>
        </w:rPr>
        <w:drawing>
          <wp:inline distT="0" distB="0" distL="114300" distR="114300">
            <wp:extent cx="3785870" cy="2520315"/>
            <wp:effectExtent l="0" t="0" r="11430" b="6985"/>
            <wp:docPr id="28" name="图片 38" descr="部分混合型支护结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8" descr="部分混合型支护结构"/>
                    <pic:cNvPicPr>
                      <a:picLocks noChangeAspect="1"/>
                    </pic:cNvPicPr>
                  </pic:nvPicPr>
                  <pic:blipFill>
                    <a:blip r:embed="rId345"/>
                    <a:stretch>
                      <a:fillRect/>
                    </a:stretch>
                  </pic:blipFill>
                  <pic:spPr>
                    <a:xfrm>
                      <a:off x="0" y="0"/>
                      <a:ext cx="3785870" cy="2520315"/>
                    </a:xfrm>
                    <a:prstGeom prst="rect">
                      <a:avLst/>
                    </a:prstGeom>
                    <a:noFill/>
                    <a:ln>
                      <a:noFill/>
                    </a:ln>
                  </pic:spPr>
                </pic:pic>
              </a:graphicData>
            </a:graphic>
          </wp:inline>
        </w:drawing>
      </w:r>
    </w:p>
    <w:p w14:paraId="79252580">
      <w:pPr>
        <w:ind w:firstLine="0"/>
        <w:jc w:val="center"/>
        <w:rPr>
          <w:color w:val="auto"/>
          <w:sz w:val="18"/>
          <w:szCs w:val="18"/>
        </w:rPr>
      </w:pPr>
      <w:r>
        <w:rPr>
          <w:color w:val="auto"/>
          <w:sz w:val="18"/>
          <w:szCs w:val="18"/>
        </w:rPr>
        <w:t>l</w:t>
      </w:r>
      <w:r>
        <w:rPr>
          <w:color w:val="auto"/>
          <w:sz w:val="18"/>
          <w:szCs w:val="18"/>
        </w:rPr>
        <w:sym w:font="Symbol" w:char="F0BE"/>
      </w:r>
      <w:r>
        <w:rPr>
          <w:color w:val="auto"/>
          <w:sz w:val="18"/>
          <w:szCs w:val="18"/>
        </w:rPr>
        <w:t>摆喷墙     2</w:t>
      </w:r>
      <w:r>
        <w:rPr>
          <w:color w:val="auto"/>
          <w:sz w:val="18"/>
          <w:szCs w:val="18"/>
        </w:rPr>
        <w:sym w:font="Symbol" w:char="F0BE"/>
      </w:r>
      <w:r>
        <w:rPr>
          <w:color w:val="auto"/>
          <w:sz w:val="18"/>
          <w:szCs w:val="18"/>
        </w:rPr>
        <w:t>桩   3</w:t>
      </w:r>
      <w:r>
        <w:rPr>
          <w:color w:val="auto"/>
          <w:sz w:val="18"/>
          <w:szCs w:val="18"/>
        </w:rPr>
        <w:sym w:font="Symbol" w:char="F0BE"/>
      </w:r>
      <w:r>
        <w:rPr>
          <w:color w:val="auto"/>
          <w:sz w:val="18"/>
          <w:szCs w:val="18"/>
        </w:rPr>
        <w:t>旋喷桩；4</w:t>
      </w:r>
      <w:r>
        <w:rPr>
          <w:color w:val="auto"/>
          <w:sz w:val="18"/>
          <w:szCs w:val="18"/>
        </w:rPr>
        <w:sym w:font="Symbol" w:char="F0BE"/>
      </w:r>
      <w:r>
        <w:rPr>
          <w:color w:val="auto"/>
          <w:sz w:val="18"/>
          <w:szCs w:val="18"/>
        </w:rPr>
        <w:t>冠梁  5</w:t>
      </w:r>
      <w:r>
        <w:rPr>
          <w:color w:val="auto"/>
          <w:sz w:val="18"/>
          <w:szCs w:val="18"/>
        </w:rPr>
        <w:sym w:font="Symbol" w:char="F0BE"/>
      </w:r>
      <w:r>
        <w:rPr>
          <w:color w:val="auto"/>
          <w:sz w:val="18"/>
          <w:szCs w:val="18"/>
        </w:rPr>
        <w:t>水泥土墙  6</w:t>
      </w:r>
      <w:r>
        <w:rPr>
          <w:color w:val="auto"/>
          <w:sz w:val="18"/>
          <w:szCs w:val="18"/>
        </w:rPr>
        <w:sym w:font="Symbol" w:char="F0BE"/>
      </w:r>
      <w:r>
        <w:rPr>
          <w:color w:val="auto"/>
          <w:sz w:val="18"/>
          <w:szCs w:val="18"/>
        </w:rPr>
        <w:t>土钉墙</w:t>
      </w:r>
    </w:p>
    <w:p w14:paraId="0AF45291">
      <w:pPr>
        <w:ind w:firstLine="0"/>
        <w:jc w:val="center"/>
        <w:rPr>
          <w:b/>
          <w:bCs/>
          <w:color w:val="auto"/>
          <w:sz w:val="21"/>
          <w:szCs w:val="21"/>
        </w:rPr>
      </w:pPr>
      <w:r>
        <w:rPr>
          <w:b/>
          <w:bCs/>
          <w:color w:val="auto"/>
          <w:sz w:val="21"/>
          <w:szCs w:val="21"/>
        </w:rPr>
        <w:t>图5.2.29-1　部分混合型支护结构</w:t>
      </w:r>
    </w:p>
    <w:p w14:paraId="71F18E5B">
      <w:pPr>
        <w:ind w:left="993" w:leftChars="267" w:hanging="352" w:hangingChars="146"/>
        <w:rPr>
          <w:color w:val="auto"/>
        </w:rPr>
      </w:pPr>
      <w:r>
        <w:rPr>
          <w:b/>
          <w:bCs/>
          <w:color w:val="auto"/>
        </w:rPr>
        <w:t>1</w:t>
      </w:r>
      <w:r>
        <w:rPr>
          <w:color w:val="auto"/>
        </w:rPr>
        <w:t>）当采用疏排桩与高压旋喷组合支护时，应采取其他措施严格控制支护结构位移；</w:t>
      </w:r>
    </w:p>
    <w:p w14:paraId="4B254E1C">
      <w:pPr>
        <w:ind w:left="1082" w:leftChars="302" w:hanging="357" w:hangingChars="148"/>
        <w:rPr>
          <w:color w:val="auto"/>
        </w:rPr>
      </w:pPr>
      <w:r>
        <w:rPr>
          <w:b/>
          <w:bCs/>
          <w:color w:val="auto"/>
        </w:rPr>
        <w:t>2</w:t>
      </w:r>
      <w:r>
        <w:rPr>
          <w:color w:val="auto"/>
        </w:rPr>
        <w:t>）场地地下水位较高，土层渗透系数较大，管廊明挖段工程需要止水时，可采用水泥土搅拌桩和排桩的组合支护，搅拌桩和排桩之间应保持适当的距离；</w:t>
      </w:r>
    </w:p>
    <w:p w14:paraId="123DB82B">
      <w:pPr>
        <w:ind w:left="1082" w:leftChars="302" w:hanging="357" w:hangingChars="148"/>
        <w:rPr>
          <w:color w:val="auto"/>
        </w:rPr>
      </w:pPr>
      <w:r>
        <w:rPr>
          <w:b/>
          <w:bCs/>
          <w:color w:val="auto"/>
        </w:rPr>
        <w:t>3</w:t>
      </w:r>
      <w:r>
        <w:rPr>
          <w:color w:val="auto"/>
        </w:rPr>
        <w:t>）拱形排桩与拱形水泥土墙的支护结构宜看作薄壳按整体位移控制设计，当无经验时，可按单一的排桩支护结构设计，并应验算高压旋喷桩或水泥土墙的承载力。</w:t>
      </w:r>
    </w:p>
    <w:p w14:paraId="01DAED5A">
      <w:pPr>
        <w:ind w:firstLine="422" w:firstLineChars="175"/>
        <w:rPr>
          <w:color w:val="auto"/>
        </w:rPr>
      </w:pPr>
      <w:r>
        <w:rPr>
          <w:b/>
          <w:bCs/>
          <w:color w:val="auto"/>
        </w:rPr>
        <w:t>5　</w:t>
      </w:r>
      <w:r>
        <w:rPr>
          <w:color w:val="auto"/>
        </w:rPr>
        <w:t>阶梯型组合支护结构是在明挖段侧壁上、下分别采用不同的支护型式的结构，各支护结构可分别按单一的结构进行设计。计算下部支护结构的荷载时，应考虑上部支护结构及后侧土体的超载作用（图5.2.29-2）。阶梯型组合支护结构应符合下列规定：</w:t>
      </w:r>
    </w:p>
    <w:p w14:paraId="720E4F47">
      <w:pPr>
        <w:ind w:left="1082" w:leftChars="302" w:hanging="357" w:hangingChars="148"/>
        <w:rPr>
          <w:color w:val="auto"/>
        </w:rPr>
      </w:pPr>
      <w:r>
        <w:rPr>
          <w:b/>
          <w:bCs/>
          <w:color w:val="auto"/>
        </w:rPr>
        <w:t>1</w:t>
      </w:r>
      <w:r>
        <w:rPr>
          <w:color w:val="auto"/>
        </w:rPr>
        <w:t>）当增加挡土排桩的嵌固深度难度较大，主动侧有部分可利用的空间时，可在同一剖面用上部放坡开挖、下部用排桩或连续墙的组合式支护结构；</w:t>
      </w:r>
    </w:p>
    <w:p w14:paraId="34F1B11A">
      <w:pPr>
        <w:ind w:left="1082" w:leftChars="302" w:hanging="357" w:hangingChars="148"/>
        <w:rPr>
          <w:color w:val="auto"/>
        </w:rPr>
      </w:pPr>
      <w:r>
        <w:rPr>
          <w:b/>
          <w:bCs/>
          <w:color w:val="auto"/>
        </w:rPr>
        <w:t>2</w:t>
      </w:r>
      <w:r>
        <w:rPr>
          <w:color w:val="auto"/>
        </w:rPr>
        <w:t>）当微风化岩层位于明挖段开挖面以上，且结构面倾向明挖段外时，多支点桩墙可嵌入中、微风化岩0.5～1.0m，但岩层开挖边与桩墙边缘的距离必须大于500mm，且桩墙底部必须采取锚杆等加固措施，以保证坑壁稳定。为防止岩面局部塌落，可采取喷锚护面（图5.2.29-3）。</w:t>
      </w:r>
    </w:p>
    <w:p w14:paraId="4BD0CFB7">
      <w:pPr>
        <w:ind w:firstLine="0"/>
        <w:jc w:val="center"/>
        <w:rPr>
          <w:color w:val="auto"/>
        </w:rPr>
      </w:pPr>
      <w:r>
        <w:rPr>
          <w:color w:val="auto"/>
        </w:rPr>
        <w:drawing>
          <wp:inline distT="0" distB="0" distL="114300" distR="114300">
            <wp:extent cx="4372610" cy="1764030"/>
            <wp:effectExtent l="0" t="0" r="8890" b="1270"/>
            <wp:docPr id="34" name="图片 39" descr="阶梯型组合支护结构型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9" descr="阶梯型组合支护结构型式"/>
                    <pic:cNvPicPr>
                      <a:picLocks noChangeAspect="1"/>
                    </pic:cNvPicPr>
                  </pic:nvPicPr>
                  <pic:blipFill>
                    <a:blip r:embed="rId346"/>
                    <a:srcRect t="19221"/>
                    <a:stretch>
                      <a:fillRect/>
                    </a:stretch>
                  </pic:blipFill>
                  <pic:spPr>
                    <a:xfrm>
                      <a:off x="0" y="0"/>
                      <a:ext cx="4372610" cy="1764030"/>
                    </a:xfrm>
                    <a:prstGeom prst="rect">
                      <a:avLst/>
                    </a:prstGeom>
                    <a:noFill/>
                    <a:ln>
                      <a:noFill/>
                    </a:ln>
                  </pic:spPr>
                </pic:pic>
              </a:graphicData>
            </a:graphic>
          </wp:inline>
        </w:drawing>
      </w:r>
    </w:p>
    <w:p w14:paraId="0C6DA900">
      <w:pPr>
        <w:ind w:firstLine="0"/>
        <w:jc w:val="center"/>
        <w:rPr>
          <w:color w:val="auto"/>
          <w:sz w:val="18"/>
          <w:szCs w:val="18"/>
        </w:rPr>
      </w:pPr>
      <w:r>
        <w:rPr>
          <w:color w:val="auto"/>
          <w:sz w:val="18"/>
          <w:szCs w:val="18"/>
        </w:rPr>
        <w:t>1</w:t>
      </w:r>
      <w:r>
        <w:rPr>
          <w:color w:val="auto"/>
          <w:sz w:val="18"/>
          <w:szCs w:val="18"/>
        </w:rPr>
        <w:sym w:font="Symbol" w:char="F0BE"/>
      </w:r>
      <w:r>
        <w:rPr>
          <w:color w:val="auto"/>
          <w:sz w:val="18"/>
          <w:szCs w:val="18"/>
        </w:rPr>
        <w:t>锚杆  2</w:t>
      </w:r>
      <w:r>
        <w:rPr>
          <w:color w:val="auto"/>
          <w:sz w:val="18"/>
          <w:szCs w:val="18"/>
        </w:rPr>
        <w:sym w:font="Symbol" w:char="F0BE"/>
      </w:r>
      <w:r>
        <w:rPr>
          <w:color w:val="auto"/>
          <w:sz w:val="18"/>
          <w:szCs w:val="18"/>
        </w:rPr>
        <w:t>排桩  3</w:t>
      </w:r>
      <w:r>
        <w:rPr>
          <w:color w:val="auto"/>
          <w:sz w:val="18"/>
          <w:szCs w:val="18"/>
        </w:rPr>
        <w:sym w:font="Symbol" w:char="F0BE"/>
      </w:r>
      <w:r>
        <w:rPr>
          <w:color w:val="auto"/>
          <w:sz w:val="18"/>
          <w:szCs w:val="18"/>
        </w:rPr>
        <w:t>土钉</w:t>
      </w:r>
    </w:p>
    <w:p w14:paraId="1F73071C">
      <w:pPr>
        <w:ind w:firstLine="0"/>
        <w:jc w:val="center"/>
        <w:rPr>
          <w:b/>
          <w:bCs/>
          <w:color w:val="auto"/>
          <w:sz w:val="21"/>
          <w:szCs w:val="21"/>
        </w:rPr>
      </w:pPr>
      <w:r>
        <w:rPr>
          <w:b/>
          <w:bCs/>
          <w:color w:val="auto"/>
          <w:sz w:val="21"/>
          <w:szCs w:val="21"/>
        </w:rPr>
        <w:t>图5.2.29-2　阶梯型组合支护结构型式</w:t>
      </w:r>
    </w:p>
    <w:p w14:paraId="63D1476C">
      <w:pPr>
        <w:ind w:firstLine="0"/>
        <w:jc w:val="center"/>
        <w:rPr>
          <w:color w:val="auto"/>
        </w:rPr>
      </w:pPr>
      <w:r>
        <w:rPr>
          <w:color w:val="auto"/>
        </w:rPr>
        <w:drawing>
          <wp:inline distT="0" distB="0" distL="114300" distR="114300">
            <wp:extent cx="3491865" cy="2016125"/>
            <wp:effectExtent l="0" t="0" r="635" b="3175"/>
            <wp:docPr id="35" name="图片 213" descr="多支点桩墙结构与锚钉支护组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3" descr="多支点桩墙结构与锚钉支护组合"/>
                    <pic:cNvPicPr>
                      <a:picLocks noChangeAspect="1"/>
                    </pic:cNvPicPr>
                  </pic:nvPicPr>
                  <pic:blipFill>
                    <a:blip r:embed="rId347"/>
                    <a:srcRect t="9085"/>
                    <a:stretch>
                      <a:fillRect/>
                    </a:stretch>
                  </pic:blipFill>
                  <pic:spPr>
                    <a:xfrm>
                      <a:off x="0" y="0"/>
                      <a:ext cx="3491865" cy="2016125"/>
                    </a:xfrm>
                    <a:prstGeom prst="rect">
                      <a:avLst/>
                    </a:prstGeom>
                    <a:noFill/>
                    <a:ln>
                      <a:noFill/>
                    </a:ln>
                  </pic:spPr>
                </pic:pic>
              </a:graphicData>
            </a:graphic>
          </wp:inline>
        </w:drawing>
      </w:r>
    </w:p>
    <w:p w14:paraId="3AFF3531">
      <w:pPr>
        <w:ind w:firstLine="0"/>
        <w:jc w:val="center"/>
        <w:rPr>
          <w:color w:val="auto"/>
          <w:sz w:val="18"/>
          <w:szCs w:val="18"/>
        </w:rPr>
      </w:pPr>
      <w:r>
        <w:rPr>
          <w:color w:val="auto"/>
          <w:sz w:val="18"/>
          <w:szCs w:val="18"/>
        </w:rPr>
        <w:t>1</w:t>
      </w:r>
      <w:r>
        <w:rPr>
          <w:color w:val="auto"/>
          <w:sz w:val="18"/>
          <w:szCs w:val="18"/>
        </w:rPr>
        <w:sym w:font="Symbol" w:char="F0BE"/>
      </w:r>
      <w:r>
        <w:rPr>
          <w:color w:val="auto"/>
          <w:sz w:val="18"/>
          <w:szCs w:val="18"/>
        </w:rPr>
        <w:t>冠梁  2</w:t>
      </w:r>
      <w:r>
        <w:rPr>
          <w:color w:val="auto"/>
          <w:sz w:val="18"/>
          <w:szCs w:val="18"/>
        </w:rPr>
        <w:sym w:font="Symbol" w:char="F0BE"/>
      </w:r>
      <w:r>
        <w:rPr>
          <w:color w:val="auto"/>
          <w:sz w:val="18"/>
          <w:szCs w:val="18"/>
        </w:rPr>
        <w:t>锚杆或支撑  3</w:t>
      </w:r>
      <w:r>
        <w:rPr>
          <w:color w:val="auto"/>
          <w:sz w:val="18"/>
          <w:szCs w:val="18"/>
        </w:rPr>
        <w:sym w:font="Symbol" w:char="F0BE"/>
      </w:r>
      <w:r>
        <w:rPr>
          <w:color w:val="auto"/>
          <w:sz w:val="18"/>
          <w:szCs w:val="18"/>
        </w:rPr>
        <w:t>止水帷幕   4</w:t>
      </w:r>
      <w:r>
        <w:rPr>
          <w:color w:val="auto"/>
          <w:sz w:val="18"/>
          <w:szCs w:val="18"/>
        </w:rPr>
        <w:sym w:font="Symbol" w:char="F0BE"/>
      </w:r>
      <w:r>
        <w:rPr>
          <w:color w:val="auto"/>
          <w:sz w:val="18"/>
          <w:szCs w:val="18"/>
        </w:rPr>
        <w:t>锚钉</w:t>
      </w:r>
    </w:p>
    <w:p w14:paraId="0133A21A">
      <w:pPr>
        <w:ind w:firstLine="0"/>
        <w:jc w:val="center"/>
        <w:rPr>
          <w:b/>
          <w:bCs/>
          <w:color w:val="auto"/>
          <w:sz w:val="21"/>
          <w:szCs w:val="21"/>
        </w:rPr>
      </w:pPr>
      <w:r>
        <w:rPr>
          <w:b/>
          <w:bCs/>
          <w:color w:val="auto"/>
          <w:sz w:val="21"/>
          <w:szCs w:val="21"/>
        </w:rPr>
        <w:t>图5.2.29-3　多支点桩墙结构与锚钉支护组合</w:t>
      </w:r>
    </w:p>
    <w:p w14:paraId="2B7F9AAF">
      <w:pPr>
        <w:ind w:firstLine="422" w:firstLineChars="175"/>
        <w:rPr>
          <w:bCs/>
          <w:color w:val="auto"/>
        </w:rPr>
      </w:pPr>
      <w:r>
        <w:rPr>
          <w:b/>
          <w:bCs/>
          <w:color w:val="auto"/>
        </w:rPr>
        <w:t>6　</w:t>
      </w:r>
      <w:r>
        <w:rPr>
          <w:bCs/>
          <w:color w:val="auto"/>
        </w:rPr>
        <w:t>当综合管廊侧墙整体或局部是拱形结构时，挡土结构宜成拱形（图5.2.29-4）。拱形结构可根据地质条件和实际需要采用排桩成拱结构或连续墙成拱结构。拱形排桩或连续墙成拱支护应符合下列规定：</w:t>
      </w:r>
    </w:p>
    <w:p w14:paraId="2E9FEC48">
      <w:pPr>
        <w:ind w:firstLine="641" w:firstLineChars="266"/>
        <w:rPr>
          <w:color w:val="auto"/>
        </w:rPr>
      </w:pPr>
      <w:r>
        <w:rPr>
          <w:b/>
          <w:bCs/>
          <w:color w:val="auto"/>
        </w:rPr>
        <w:t>1</w:t>
      </w:r>
      <w:r>
        <w:rPr>
          <w:color w:val="auto"/>
        </w:rPr>
        <w:t>）排桩成拱支护结构，桩与桩之间应交接；</w:t>
      </w:r>
    </w:p>
    <w:p w14:paraId="0A2E0EAD">
      <w:pPr>
        <w:ind w:firstLine="641" w:firstLineChars="266"/>
        <w:rPr>
          <w:color w:val="auto"/>
        </w:rPr>
      </w:pPr>
      <w:r>
        <w:rPr>
          <w:b/>
          <w:bCs/>
          <w:color w:val="auto"/>
        </w:rPr>
        <w:t>2</w:t>
      </w:r>
      <w:r>
        <w:rPr>
          <w:color w:val="auto"/>
        </w:rPr>
        <w:t>）计算拱型挡土结构的受力及变形时，可将整个拱的刚度作为计算刚度；</w:t>
      </w:r>
    </w:p>
    <w:p w14:paraId="0A95A07E">
      <w:pPr>
        <w:ind w:firstLine="641" w:firstLineChars="266"/>
        <w:rPr>
          <w:color w:val="auto"/>
        </w:rPr>
      </w:pPr>
      <w:r>
        <w:rPr>
          <w:b/>
          <w:bCs/>
          <w:color w:val="auto"/>
        </w:rPr>
        <w:t>3</w:t>
      </w:r>
      <w:r>
        <w:rPr>
          <w:color w:val="auto"/>
        </w:rPr>
        <w:t>）排桩形成的拱型支护结构，桩顶应设冠梁；</w:t>
      </w:r>
    </w:p>
    <w:p w14:paraId="5567EC49">
      <w:pPr>
        <w:ind w:firstLine="641" w:firstLineChars="266"/>
        <w:rPr>
          <w:color w:val="auto"/>
        </w:rPr>
      </w:pPr>
      <w:r>
        <w:rPr>
          <w:b/>
          <w:bCs/>
          <w:color w:val="auto"/>
        </w:rPr>
        <w:t>4</w:t>
      </w:r>
      <w:r>
        <w:rPr>
          <w:color w:val="auto"/>
        </w:rPr>
        <w:t>）拱型支护结构，应保证拱支座稳定，拱支座位移不应大于30mm。</w:t>
      </w:r>
    </w:p>
    <w:p w14:paraId="6241D839">
      <w:pPr>
        <w:ind w:firstLine="0"/>
        <w:jc w:val="center"/>
        <w:rPr>
          <w:color w:val="auto"/>
        </w:rPr>
      </w:pPr>
      <w:r>
        <w:rPr>
          <w:color w:val="auto"/>
        </w:rPr>
        <w:drawing>
          <wp:inline distT="0" distB="0" distL="114300" distR="114300">
            <wp:extent cx="3752215" cy="972185"/>
            <wp:effectExtent l="0" t="0" r="6985" b="5715"/>
            <wp:docPr id="36" name="图片 41" descr="拱形支护结构型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1" descr="拱形支护结构型式"/>
                    <pic:cNvPicPr>
                      <a:picLocks noChangeAspect="1"/>
                    </pic:cNvPicPr>
                  </pic:nvPicPr>
                  <pic:blipFill>
                    <a:blip r:embed="rId348"/>
                    <a:srcRect t="29640"/>
                    <a:stretch>
                      <a:fillRect/>
                    </a:stretch>
                  </pic:blipFill>
                  <pic:spPr>
                    <a:xfrm>
                      <a:off x="0" y="0"/>
                      <a:ext cx="3752215" cy="972185"/>
                    </a:xfrm>
                    <a:prstGeom prst="rect">
                      <a:avLst/>
                    </a:prstGeom>
                    <a:noFill/>
                    <a:ln>
                      <a:noFill/>
                    </a:ln>
                  </pic:spPr>
                </pic:pic>
              </a:graphicData>
            </a:graphic>
          </wp:inline>
        </w:drawing>
      </w:r>
    </w:p>
    <w:p w14:paraId="2952158C">
      <w:pPr>
        <w:ind w:firstLine="0"/>
        <w:jc w:val="center"/>
        <w:rPr>
          <w:b/>
          <w:bCs/>
          <w:color w:val="auto"/>
          <w:sz w:val="21"/>
          <w:szCs w:val="21"/>
        </w:rPr>
      </w:pPr>
      <w:r>
        <w:rPr>
          <w:b/>
          <w:bCs/>
          <w:color w:val="auto"/>
          <w:sz w:val="21"/>
          <w:szCs w:val="21"/>
        </w:rPr>
        <w:t>图5.2.29-4　拱形支护结构型式</w:t>
      </w:r>
    </w:p>
    <w:p w14:paraId="42FAE83A">
      <w:pPr>
        <w:spacing w:line="240" w:lineRule="auto"/>
        <w:ind w:firstLine="0"/>
        <w:jc w:val="center"/>
        <w:rPr>
          <w:color w:val="auto"/>
          <w:sz w:val="21"/>
          <w:szCs w:val="21"/>
        </w:rPr>
      </w:pPr>
    </w:p>
    <w:p w14:paraId="76BAC0E2">
      <w:pPr>
        <w:keepNext/>
        <w:spacing w:before="328" w:beforeLines="100" w:after="328" w:afterLines="100" w:line="240" w:lineRule="auto"/>
        <w:ind w:firstLine="0"/>
        <w:jc w:val="center"/>
        <w:outlineLvl w:val="1"/>
        <w:rPr>
          <w:color w:val="auto"/>
          <w:sz w:val="21"/>
          <w:szCs w:val="21"/>
        </w:rPr>
      </w:pPr>
      <w:bookmarkStart w:id="284" w:name="_Toc31403"/>
      <w:bookmarkStart w:id="285" w:name="_Toc193392080"/>
      <w:bookmarkStart w:id="286" w:name="_Toc13739"/>
      <w:bookmarkStart w:id="287" w:name="_Toc10545"/>
      <w:bookmarkStart w:id="288" w:name="_Toc29956"/>
      <w:bookmarkStart w:id="289" w:name="_Toc25588"/>
      <w:bookmarkStart w:id="290" w:name="_Toc32368"/>
      <w:bookmarkStart w:id="291" w:name="_Toc27058"/>
      <w:r>
        <w:rPr>
          <w:rFonts w:eastAsia="黑体"/>
          <w:b/>
          <w:bCs/>
          <w:sz w:val="28"/>
          <w:szCs w:val="28"/>
        </w:rPr>
        <w:t>5.3　地下水控制设计</w:t>
      </w:r>
      <w:bookmarkEnd w:id="284"/>
      <w:bookmarkEnd w:id="285"/>
      <w:bookmarkEnd w:id="286"/>
      <w:bookmarkEnd w:id="287"/>
      <w:bookmarkEnd w:id="288"/>
      <w:bookmarkEnd w:id="289"/>
      <w:bookmarkEnd w:id="290"/>
      <w:bookmarkEnd w:id="291"/>
    </w:p>
    <w:p w14:paraId="405F4982">
      <w:pPr>
        <w:ind w:firstLine="0"/>
        <w:rPr>
          <w:bCs/>
          <w:color w:val="auto"/>
        </w:rPr>
      </w:pPr>
      <w:r>
        <w:rPr>
          <w:b/>
          <w:bCs/>
          <w:color w:val="auto"/>
        </w:rPr>
        <w:t>5.3.1　</w:t>
      </w:r>
      <w:r>
        <w:rPr>
          <w:bCs/>
          <w:color w:val="auto"/>
        </w:rPr>
        <w:t>在综合管廊开挖深度及其影响范围内，当存在渗透性较好的含水层或富水的基岩和断层破碎带时，在明挖段支护工程施工过程中，应对地下水进行控制。</w:t>
      </w:r>
    </w:p>
    <w:p w14:paraId="282413CA">
      <w:pPr>
        <w:ind w:firstLine="0"/>
        <w:rPr>
          <w:bCs/>
          <w:color w:val="auto"/>
        </w:rPr>
      </w:pPr>
      <w:r>
        <w:rPr>
          <w:b/>
          <w:bCs/>
          <w:color w:val="auto"/>
        </w:rPr>
        <w:t>5.3.2　</w:t>
      </w:r>
      <w:r>
        <w:rPr>
          <w:color w:val="auto"/>
        </w:rPr>
        <w:t>综合管廊明挖段</w:t>
      </w:r>
      <w:r>
        <w:rPr>
          <w:bCs/>
          <w:color w:val="auto"/>
        </w:rPr>
        <w:t>支护地下水控制设计和施工首先应取得水文地质勘察资料，应进行专门的水文地质勘察。施工图设计前应对周边环境进行调查，判断地下水位变化对周边建筑物可能产生的影响。</w:t>
      </w:r>
    </w:p>
    <w:p w14:paraId="25AF1ACB">
      <w:pPr>
        <w:ind w:firstLine="0"/>
        <w:rPr>
          <w:bCs/>
          <w:color w:val="auto"/>
        </w:rPr>
      </w:pPr>
      <w:r>
        <w:rPr>
          <w:b/>
          <w:bCs/>
          <w:color w:val="auto"/>
        </w:rPr>
        <w:t>5.3.3　</w:t>
      </w:r>
      <w:r>
        <w:rPr>
          <w:bCs/>
          <w:color w:val="auto"/>
        </w:rPr>
        <w:t>综合管廊明挖段支护工程地下水控制设计前，应详细了解明挖段支护结构体系及周围环境对地下水控制的技术要求。</w:t>
      </w:r>
    </w:p>
    <w:p w14:paraId="7119417E">
      <w:pPr>
        <w:ind w:firstLine="0"/>
        <w:rPr>
          <w:bCs/>
          <w:color w:val="auto"/>
        </w:rPr>
      </w:pPr>
      <w:r>
        <w:rPr>
          <w:b/>
          <w:bCs/>
          <w:color w:val="auto"/>
        </w:rPr>
        <w:t>5.3.4　</w:t>
      </w:r>
      <w:r>
        <w:rPr>
          <w:bCs/>
          <w:color w:val="auto"/>
        </w:rPr>
        <w:t>地下水控制应根据综合管廊沿线工程地质和水文地质条件、明挖段周边环境要求及支护结构形式，可采用截（止）水、降（排）水、回灌组合方法等措施。</w:t>
      </w:r>
    </w:p>
    <w:p w14:paraId="551D6772">
      <w:pPr>
        <w:ind w:firstLine="0"/>
        <w:rPr>
          <w:bCs/>
          <w:color w:val="auto"/>
        </w:rPr>
      </w:pPr>
      <w:r>
        <w:rPr>
          <w:b/>
          <w:bCs/>
          <w:color w:val="auto"/>
        </w:rPr>
        <w:t>5.3.5　</w:t>
      </w:r>
      <w:r>
        <w:rPr>
          <w:bCs/>
          <w:color w:val="auto"/>
        </w:rPr>
        <w:t>止水帷幕应根据防渗要求进行设计，水泥土止水帷幕的渗透系数不宜大于10</w:t>
      </w:r>
      <w:r>
        <w:rPr>
          <w:bCs/>
          <w:color w:val="auto"/>
          <w:vertAlign w:val="superscript"/>
        </w:rPr>
        <w:t>-6</w:t>
      </w:r>
      <w:r>
        <w:rPr>
          <w:bCs/>
          <w:color w:val="auto"/>
        </w:rPr>
        <w:t>cm/s。</w:t>
      </w:r>
    </w:p>
    <w:p w14:paraId="21E782BC">
      <w:pPr>
        <w:ind w:firstLine="0"/>
        <w:rPr>
          <w:bCs/>
          <w:color w:val="auto"/>
        </w:rPr>
      </w:pPr>
      <w:r>
        <w:rPr>
          <w:b/>
          <w:bCs/>
          <w:color w:val="auto"/>
        </w:rPr>
        <w:t>4.3.6　</w:t>
      </w:r>
      <w:r>
        <w:rPr>
          <w:bCs/>
          <w:color w:val="auto"/>
        </w:rPr>
        <w:t>地下水控制设计应对明挖段周边环境控制过程中地下水位的变化作出预测，并要求在施工时进行监测。当降水会对周边建筑物、地下管线、道路等造成危害或对环境造成长期不利影响时，应采用截（止）水措施。采用悬挂式帷幕时，应同时采用坑内降水，并宜根据水文地质条件结合坑外回灌措施。</w:t>
      </w:r>
    </w:p>
    <w:p w14:paraId="6C8737FC">
      <w:pPr>
        <w:ind w:firstLine="0"/>
        <w:rPr>
          <w:bCs/>
          <w:color w:val="auto"/>
        </w:rPr>
      </w:pPr>
      <w:r>
        <w:rPr>
          <w:b/>
          <w:bCs/>
          <w:color w:val="auto"/>
        </w:rPr>
        <w:t>5.3.7　</w:t>
      </w:r>
      <w:r>
        <w:rPr>
          <w:bCs/>
          <w:color w:val="auto"/>
        </w:rPr>
        <w:t>当综合管廊底以下有水头高于明挖段坑底的承压水含水层时，各类支护结构均应符合</w:t>
      </w:r>
      <w:r>
        <w:rPr>
          <w:bCs/>
        </w:rPr>
        <w:t>行业标准</w:t>
      </w:r>
      <w:r>
        <w:rPr>
          <w:bCs/>
          <w:color w:val="auto"/>
        </w:rPr>
        <w:t>《建筑基坑支护技术规程》JGJ 120-2012第C.0.1条的规定，进行承压水作用下的坑底突涌稳定性验算。当不满足突涌稳定性要求时，应对该承压水含水层采取截水、减压措施。</w:t>
      </w:r>
    </w:p>
    <w:p w14:paraId="1EC03302">
      <w:pPr>
        <w:ind w:firstLine="0"/>
        <w:rPr>
          <w:bCs/>
          <w:color w:val="auto"/>
        </w:rPr>
      </w:pPr>
      <w:r>
        <w:rPr>
          <w:b/>
          <w:bCs/>
          <w:color w:val="auto"/>
        </w:rPr>
        <w:t>5.3.8　</w:t>
      </w:r>
      <w:r>
        <w:rPr>
          <w:bCs/>
          <w:color w:val="auto"/>
        </w:rPr>
        <w:t>地下水控制设计应按不影响其正常使用的要求确定，综合管廊明挖段支周边建（构）筑物、地下管线、道路等沉降控制值，应符合</w:t>
      </w:r>
      <w:r>
        <w:rPr>
          <w:bCs/>
        </w:rPr>
        <w:t>现行国家标准</w:t>
      </w:r>
      <w:r>
        <w:rPr>
          <w:bCs/>
          <w:color w:val="auto"/>
        </w:rPr>
        <w:t>《建筑地基基础设计规范》GB 50007的有关规定。</w:t>
      </w:r>
    </w:p>
    <w:p w14:paraId="13D5363D">
      <w:pPr>
        <w:ind w:firstLine="0"/>
        <w:rPr>
          <w:bCs/>
          <w:color w:val="auto"/>
        </w:rPr>
      </w:pPr>
      <w:r>
        <w:rPr>
          <w:b/>
          <w:bCs/>
          <w:color w:val="auto"/>
        </w:rPr>
        <w:t>5.3.9　</w:t>
      </w:r>
      <w:r>
        <w:rPr>
          <w:bCs/>
          <w:color w:val="auto"/>
        </w:rPr>
        <w:t>地下水控制工程应采取措施防止地下水水质恶化，不得造成不同水质类别地下水的混融。</w:t>
      </w:r>
    </w:p>
    <w:p w14:paraId="2320B2A0">
      <w:pPr>
        <w:ind w:firstLine="0"/>
        <w:rPr>
          <w:bCs/>
          <w:color w:val="auto"/>
        </w:rPr>
      </w:pPr>
      <w:r>
        <w:rPr>
          <w:b/>
          <w:bCs/>
          <w:color w:val="auto"/>
        </w:rPr>
        <w:t>5.3.10　</w:t>
      </w:r>
      <w:r>
        <w:rPr>
          <w:bCs/>
          <w:color w:val="auto"/>
        </w:rPr>
        <w:t>降（排）水可采用集水明排、轻型井点、管井、真空井点、喷射井点、辐射井等方法，并宜按表5.3.10的适用条件选用：</w:t>
      </w:r>
    </w:p>
    <w:p w14:paraId="0E0DB825">
      <w:pPr>
        <w:jc w:val="center"/>
        <w:rPr>
          <w:b/>
          <w:bCs/>
          <w:color w:val="auto"/>
          <w:sz w:val="21"/>
          <w:szCs w:val="21"/>
        </w:rPr>
      </w:pPr>
      <w:r>
        <w:rPr>
          <w:b/>
          <w:bCs/>
          <w:color w:val="auto"/>
          <w:sz w:val="21"/>
          <w:szCs w:val="21"/>
        </w:rPr>
        <w:t>表5.3.10　降（排）水方法的适用条件</w:t>
      </w:r>
    </w:p>
    <w:tbl>
      <w:tblPr>
        <w:tblStyle w:val="1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93"/>
        <w:gridCol w:w="2303"/>
        <w:gridCol w:w="2304"/>
        <w:gridCol w:w="2304"/>
      </w:tblGrid>
      <w:tr w14:paraId="710A53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4" w:type="dxa"/>
            <w:tcBorders>
              <w:tl2br w:val="nil"/>
              <w:tr2bl w:val="nil"/>
            </w:tcBorders>
            <w:vAlign w:val="center"/>
          </w:tcPr>
          <w:p w14:paraId="5301A1A9">
            <w:pPr>
              <w:spacing w:line="240" w:lineRule="auto"/>
              <w:ind w:firstLine="0"/>
              <w:jc w:val="center"/>
              <w:rPr>
                <w:color w:val="auto"/>
                <w:sz w:val="21"/>
                <w:szCs w:val="21"/>
                <w:lang w:bidi="ar"/>
              </w:rPr>
            </w:pPr>
            <w:r>
              <w:rPr>
                <w:color w:val="auto"/>
                <w:sz w:val="21"/>
                <w:szCs w:val="21"/>
                <w:lang w:bidi="ar"/>
              </w:rPr>
              <w:t>方法</w:t>
            </w:r>
          </w:p>
        </w:tc>
        <w:tc>
          <w:tcPr>
            <w:tcW w:w="2130" w:type="dxa"/>
            <w:tcBorders>
              <w:tl2br w:val="nil"/>
              <w:tr2bl w:val="nil"/>
            </w:tcBorders>
            <w:vAlign w:val="center"/>
          </w:tcPr>
          <w:p w14:paraId="4743D52F">
            <w:pPr>
              <w:spacing w:line="240" w:lineRule="auto"/>
              <w:ind w:firstLine="0"/>
              <w:jc w:val="center"/>
              <w:rPr>
                <w:color w:val="auto"/>
                <w:sz w:val="21"/>
                <w:szCs w:val="21"/>
                <w:lang w:bidi="ar"/>
              </w:rPr>
            </w:pPr>
            <w:r>
              <w:rPr>
                <w:color w:val="auto"/>
                <w:sz w:val="21"/>
                <w:szCs w:val="21"/>
                <w:lang w:bidi="ar"/>
              </w:rPr>
              <w:t>含水岩组</w:t>
            </w:r>
          </w:p>
        </w:tc>
        <w:tc>
          <w:tcPr>
            <w:tcW w:w="2131" w:type="dxa"/>
            <w:tcBorders>
              <w:tl2br w:val="nil"/>
              <w:tr2bl w:val="nil"/>
            </w:tcBorders>
            <w:vAlign w:val="center"/>
          </w:tcPr>
          <w:p w14:paraId="6B685EFC">
            <w:pPr>
              <w:spacing w:line="240" w:lineRule="auto"/>
              <w:ind w:firstLine="0"/>
              <w:jc w:val="center"/>
              <w:rPr>
                <w:color w:val="auto"/>
                <w:sz w:val="21"/>
                <w:szCs w:val="21"/>
                <w:lang w:bidi="ar"/>
              </w:rPr>
            </w:pPr>
            <w:r>
              <w:rPr>
                <w:color w:val="auto"/>
                <w:sz w:val="21"/>
                <w:szCs w:val="21"/>
                <w:lang w:bidi="ar"/>
              </w:rPr>
              <w:t>渗透系数（m/d）</w:t>
            </w:r>
          </w:p>
        </w:tc>
        <w:tc>
          <w:tcPr>
            <w:tcW w:w="2131" w:type="dxa"/>
            <w:tcBorders>
              <w:tl2br w:val="nil"/>
              <w:tr2bl w:val="nil"/>
            </w:tcBorders>
            <w:vAlign w:val="center"/>
          </w:tcPr>
          <w:p w14:paraId="24D816BC">
            <w:pPr>
              <w:spacing w:line="240" w:lineRule="auto"/>
              <w:ind w:firstLine="0"/>
              <w:jc w:val="center"/>
              <w:rPr>
                <w:color w:val="auto"/>
                <w:sz w:val="21"/>
                <w:szCs w:val="21"/>
                <w:lang w:bidi="ar"/>
              </w:rPr>
            </w:pPr>
            <w:r>
              <w:rPr>
                <w:color w:val="auto"/>
                <w:sz w:val="21"/>
                <w:szCs w:val="21"/>
                <w:lang w:bidi="ar"/>
              </w:rPr>
              <w:t>降水深度（m）</w:t>
            </w:r>
          </w:p>
        </w:tc>
      </w:tr>
      <w:tr w14:paraId="28A15E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4" w:type="dxa"/>
            <w:tcBorders>
              <w:tl2br w:val="nil"/>
              <w:tr2bl w:val="nil"/>
            </w:tcBorders>
            <w:vAlign w:val="center"/>
          </w:tcPr>
          <w:p w14:paraId="13D00FE6">
            <w:pPr>
              <w:spacing w:line="240" w:lineRule="auto"/>
              <w:ind w:firstLine="0"/>
              <w:jc w:val="center"/>
              <w:rPr>
                <w:color w:val="auto"/>
                <w:sz w:val="21"/>
                <w:szCs w:val="21"/>
                <w:lang w:bidi="ar"/>
              </w:rPr>
            </w:pPr>
            <w:r>
              <w:rPr>
                <w:color w:val="auto"/>
                <w:sz w:val="21"/>
                <w:szCs w:val="21"/>
                <w:lang w:bidi="ar"/>
              </w:rPr>
              <w:t>集水明排</w:t>
            </w:r>
          </w:p>
        </w:tc>
        <w:tc>
          <w:tcPr>
            <w:tcW w:w="2130" w:type="dxa"/>
            <w:tcBorders>
              <w:tl2br w:val="nil"/>
              <w:tr2bl w:val="nil"/>
            </w:tcBorders>
            <w:vAlign w:val="center"/>
          </w:tcPr>
          <w:p w14:paraId="484B56A0">
            <w:pPr>
              <w:spacing w:line="240" w:lineRule="auto"/>
              <w:ind w:firstLine="0"/>
              <w:jc w:val="center"/>
              <w:rPr>
                <w:color w:val="auto"/>
                <w:sz w:val="21"/>
                <w:szCs w:val="21"/>
                <w:lang w:bidi="ar"/>
              </w:rPr>
            </w:pPr>
            <w:r>
              <w:rPr>
                <w:color w:val="auto"/>
                <w:sz w:val="21"/>
                <w:szCs w:val="21"/>
                <w:lang w:bidi="ar"/>
              </w:rPr>
              <w:t>填土、黏性土、粉土</w:t>
            </w:r>
          </w:p>
        </w:tc>
        <w:tc>
          <w:tcPr>
            <w:tcW w:w="2131" w:type="dxa"/>
            <w:tcBorders>
              <w:tl2br w:val="nil"/>
              <w:tr2bl w:val="nil"/>
            </w:tcBorders>
            <w:vAlign w:val="center"/>
          </w:tcPr>
          <w:p w14:paraId="6F4C206B">
            <w:pPr>
              <w:spacing w:line="240" w:lineRule="auto"/>
              <w:ind w:firstLine="0"/>
              <w:jc w:val="center"/>
              <w:rPr>
                <w:color w:val="auto"/>
                <w:sz w:val="21"/>
                <w:szCs w:val="21"/>
                <w:lang w:bidi="ar"/>
              </w:rPr>
            </w:pPr>
            <w:r>
              <w:rPr>
                <w:color w:val="auto"/>
                <w:sz w:val="21"/>
                <w:szCs w:val="21"/>
                <w:lang w:bidi="ar"/>
              </w:rPr>
              <w:t>＜3.0</w:t>
            </w:r>
          </w:p>
        </w:tc>
        <w:tc>
          <w:tcPr>
            <w:tcW w:w="2131" w:type="dxa"/>
            <w:tcBorders>
              <w:tl2br w:val="nil"/>
              <w:tr2bl w:val="nil"/>
            </w:tcBorders>
            <w:vAlign w:val="center"/>
          </w:tcPr>
          <w:p w14:paraId="2F4201A5">
            <w:pPr>
              <w:spacing w:line="240" w:lineRule="auto"/>
              <w:ind w:firstLine="0"/>
              <w:jc w:val="center"/>
              <w:rPr>
                <w:color w:val="auto"/>
                <w:sz w:val="21"/>
                <w:szCs w:val="21"/>
                <w:lang w:bidi="ar"/>
              </w:rPr>
            </w:pPr>
            <w:r>
              <w:rPr>
                <w:color w:val="auto"/>
                <w:sz w:val="21"/>
                <w:szCs w:val="21"/>
                <w:lang w:bidi="ar"/>
              </w:rPr>
              <w:t>＜2</w:t>
            </w:r>
          </w:p>
        </w:tc>
      </w:tr>
      <w:tr w14:paraId="3A1D14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4" w:type="dxa"/>
            <w:tcBorders>
              <w:tl2br w:val="nil"/>
              <w:tr2bl w:val="nil"/>
            </w:tcBorders>
            <w:vAlign w:val="center"/>
          </w:tcPr>
          <w:p w14:paraId="3BCB6AC6">
            <w:pPr>
              <w:spacing w:line="240" w:lineRule="auto"/>
              <w:ind w:firstLine="0"/>
              <w:jc w:val="center"/>
              <w:rPr>
                <w:color w:val="auto"/>
                <w:sz w:val="21"/>
                <w:szCs w:val="21"/>
                <w:lang w:bidi="ar"/>
              </w:rPr>
            </w:pPr>
            <w:r>
              <w:rPr>
                <w:color w:val="auto"/>
                <w:sz w:val="21"/>
                <w:szCs w:val="21"/>
                <w:lang w:bidi="ar"/>
              </w:rPr>
              <w:t>轻型井点</w:t>
            </w:r>
          </w:p>
        </w:tc>
        <w:tc>
          <w:tcPr>
            <w:tcW w:w="2130" w:type="dxa"/>
            <w:tcBorders>
              <w:tl2br w:val="nil"/>
              <w:tr2bl w:val="nil"/>
            </w:tcBorders>
            <w:vAlign w:val="center"/>
          </w:tcPr>
          <w:p w14:paraId="552B4621">
            <w:pPr>
              <w:spacing w:line="240" w:lineRule="auto"/>
              <w:ind w:firstLine="0"/>
              <w:jc w:val="center"/>
              <w:rPr>
                <w:color w:val="auto"/>
                <w:sz w:val="21"/>
                <w:szCs w:val="21"/>
                <w:lang w:bidi="ar"/>
              </w:rPr>
            </w:pPr>
            <w:r>
              <w:rPr>
                <w:color w:val="auto"/>
                <w:sz w:val="21"/>
                <w:szCs w:val="21"/>
                <w:lang w:bidi="ar"/>
              </w:rPr>
              <w:t>黏性土、粉土、细砂、中细砂</w:t>
            </w:r>
          </w:p>
        </w:tc>
        <w:tc>
          <w:tcPr>
            <w:tcW w:w="2131" w:type="dxa"/>
            <w:tcBorders>
              <w:tl2br w:val="nil"/>
              <w:tr2bl w:val="nil"/>
            </w:tcBorders>
            <w:vAlign w:val="center"/>
          </w:tcPr>
          <w:p w14:paraId="48C9A21B">
            <w:pPr>
              <w:spacing w:line="240" w:lineRule="auto"/>
              <w:ind w:firstLine="0"/>
              <w:jc w:val="center"/>
              <w:rPr>
                <w:color w:val="auto"/>
                <w:sz w:val="21"/>
                <w:szCs w:val="21"/>
                <w:lang w:bidi="ar"/>
              </w:rPr>
            </w:pPr>
            <w:r>
              <w:rPr>
                <w:color w:val="auto"/>
                <w:sz w:val="21"/>
                <w:szCs w:val="21"/>
                <w:lang w:bidi="ar"/>
              </w:rPr>
              <w:t>0.1～20.0</w:t>
            </w:r>
          </w:p>
        </w:tc>
        <w:tc>
          <w:tcPr>
            <w:tcW w:w="2131" w:type="dxa"/>
            <w:tcBorders>
              <w:tl2br w:val="nil"/>
              <w:tr2bl w:val="nil"/>
            </w:tcBorders>
            <w:vAlign w:val="center"/>
          </w:tcPr>
          <w:p w14:paraId="11DDAFF2">
            <w:pPr>
              <w:spacing w:line="240" w:lineRule="auto"/>
              <w:ind w:firstLine="0"/>
              <w:jc w:val="center"/>
              <w:rPr>
                <w:color w:val="auto"/>
                <w:sz w:val="21"/>
                <w:szCs w:val="21"/>
                <w:lang w:bidi="ar"/>
              </w:rPr>
            </w:pPr>
            <w:r>
              <w:rPr>
                <w:color w:val="auto"/>
                <w:sz w:val="21"/>
                <w:szCs w:val="21"/>
                <w:lang w:bidi="ar"/>
              </w:rPr>
              <w:t>单级＜6</w:t>
            </w:r>
          </w:p>
          <w:p w14:paraId="50C314FA">
            <w:pPr>
              <w:spacing w:line="240" w:lineRule="auto"/>
              <w:ind w:firstLine="0"/>
              <w:jc w:val="center"/>
              <w:rPr>
                <w:color w:val="auto"/>
                <w:sz w:val="21"/>
                <w:szCs w:val="21"/>
                <w:lang w:bidi="ar"/>
              </w:rPr>
            </w:pPr>
            <w:r>
              <w:rPr>
                <w:color w:val="auto"/>
                <w:sz w:val="21"/>
                <w:szCs w:val="21"/>
                <w:lang w:bidi="ar"/>
              </w:rPr>
              <w:t>多级＜12</w:t>
            </w:r>
          </w:p>
        </w:tc>
      </w:tr>
      <w:tr w14:paraId="321FF8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4" w:type="dxa"/>
            <w:tcBorders>
              <w:tl2br w:val="nil"/>
              <w:tr2bl w:val="nil"/>
            </w:tcBorders>
            <w:vAlign w:val="center"/>
          </w:tcPr>
          <w:p w14:paraId="1F00D544">
            <w:pPr>
              <w:spacing w:line="240" w:lineRule="auto"/>
              <w:ind w:firstLine="0"/>
              <w:jc w:val="center"/>
              <w:rPr>
                <w:color w:val="auto"/>
                <w:sz w:val="21"/>
                <w:szCs w:val="21"/>
                <w:lang w:bidi="ar"/>
              </w:rPr>
            </w:pPr>
            <w:r>
              <w:rPr>
                <w:color w:val="auto"/>
                <w:sz w:val="21"/>
                <w:szCs w:val="21"/>
                <w:lang w:bidi="ar"/>
              </w:rPr>
              <w:t>喷射井点</w:t>
            </w:r>
          </w:p>
        </w:tc>
        <w:tc>
          <w:tcPr>
            <w:tcW w:w="2130" w:type="dxa"/>
            <w:tcBorders>
              <w:tl2br w:val="nil"/>
              <w:tr2bl w:val="nil"/>
            </w:tcBorders>
            <w:vAlign w:val="center"/>
          </w:tcPr>
          <w:p w14:paraId="0005AC99">
            <w:pPr>
              <w:spacing w:line="240" w:lineRule="auto"/>
              <w:ind w:firstLine="0"/>
              <w:jc w:val="center"/>
              <w:rPr>
                <w:color w:val="auto"/>
                <w:sz w:val="21"/>
                <w:szCs w:val="21"/>
                <w:lang w:bidi="ar"/>
              </w:rPr>
            </w:pPr>
            <w:r>
              <w:rPr>
                <w:color w:val="auto"/>
                <w:sz w:val="21"/>
                <w:szCs w:val="21"/>
                <w:lang w:bidi="ar"/>
              </w:rPr>
              <w:t>粉土、砂土</w:t>
            </w:r>
          </w:p>
        </w:tc>
        <w:tc>
          <w:tcPr>
            <w:tcW w:w="2131" w:type="dxa"/>
            <w:tcBorders>
              <w:tl2br w:val="nil"/>
              <w:tr2bl w:val="nil"/>
            </w:tcBorders>
            <w:vAlign w:val="center"/>
          </w:tcPr>
          <w:p w14:paraId="6B4DB5AD">
            <w:pPr>
              <w:spacing w:line="240" w:lineRule="auto"/>
              <w:ind w:firstLine="0"/>
              <w:jc w:val="center"/>
              <w:rPr>
                <w:color w:val="auto"/>
                <w:sz w:val="21"/>
                <w:szCs w:val="21"/>
                <w:lang w:bidi="ar"/>
              </w:rPr>
            </w:pPr>
            <w:r>
              <w:rPr>
                <w:color w:val="auto"/>
                <w:sz w:val="21"/>
                <w:szCs w:val="21"/>
                <w:lang w:bidi="ar"/>
              </w:rPr>
              <w:t>0.1～20.0</w:t>
            </w:r>
          </w:p>
        </w:tc>
        <w:tc>
          <w:tcPr>
            <w:tcW w:w="2131" w:type="dxa"/>
            <w:tcBorders>
              <w:tl2br w:val="nil"/>
              <w:tr2bl w:val="nil"/>
            </w:tcBorders>
            <w:vAlign w:val="center"/>
          </w:tcPr>
          <w:p w14:paraId="0F66AB25">
            <w:pPr>
              <w:spacing w:line="240" w:lineRule="auto"/>
              <w:ind w:firstLine="0"/>
              <w:jc w:val="center"/>
              <w:rPr>
                <w:color w:val="auto"/>
                <w:sz w:val="21"/>
                <w:szCs w:val="21"/>
                <w:lang w:bidi="ar"/>
              </w:rPr>
            </w:pPr>
            <w:r>
              <w:rPr>
                <w:color w:val="auto"/>
                <w:sz w:val="21"/>
                <w:szCs w:val="21"/>
                <w:lang w:bidi="ar"/>
              </w:rPr>
              <w:t>＜20</w:t>
            </w:r>
          </w:p>
        </w:tc>
      </w:tr>
      <w:tr w14:paraId="035AB5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4" w:type="dxa"/>
            <w:tcBorders>
              <w:tl2br w:val="nil"/>
              <w:tr2bl w:val="nil"/>
            </w:tcBorders>
            <w:vAlign w:val="center"/>
          </w:tcPr>
          <w:p w14:paraId="7B057554">
            <w:pPr>
              <w:spacing w:line="240" w:lineRule="auto"/>
              <w:ind w:firstLine="0"/>
              <w:jc w:val="center"/>
              <w:rPr>
                <w:color w:val="auto"/>
                <w:sz w:val="21"/>
                <w:szCs w:val="21"/>
                <w:lang w:bidi="ar"/>
              </w:rPr>
            </w:pPr>
            <w:r>
              <w:rPr>
                <w:color w:val="auto"/>
                <w:sz w:val="21"/>
                <w:szCs w:val="21"/>
                <w:lang w:bidi="ar"/>
              </w:rPr>
              <w:t>管井</w:t>
            </w:r>
          </w:p>
        </w:tc>
        <w:tc>
          <w:tcPr>
            <w:tcW w:w="2130" w:type="dxa"/>
            <w:tcBorders>
              <w:tl2br w:val="nil"/>
              <w:tr2bl w:val="nil"/>
            </w:tcBorders>
            <w:vAlign w:val="center"/>
          </w:tcPr>
          <w:p w14:paraId="3DD1F4E1">
            <w:pPr>
              <w:spacing w:line="240" w:lineRule="auto"/>
              <w:ind w:firstLine="0"/>
              <w:jc w:val="center"/>
              <w:rPr>
                <w:color w:val="auto"/>
                <w:sz w:val="21"/>
                <w:szCs w:val="21"/>
                <w:lang w:bidi="ar"/>
              </w:rPr>
            </w:pPr>
            <w:r>
              <w:rPr>
                <w:color w:val="auto"/>
                <w:sz w:val="21"/>
                <w:szCs w:val="21"/>
                <w:lang w:bidi="ar"/>
              </w:rPr>
              <w:t>黏性土、粉土、砂土、碎石土、岩石</w:t>
            </w:r>
          </w:p>
        </w:tc>
        <w:tc>
          <w:tcPr>
            <w:tcW w:w="2131" w:type="dxa"/>
            <w:tcBorders>
              <w:tl2br w:val="nil"/>
              <w:tr2bl w:val="nil"/>
            </w:tcBorders>
            <w:vAlign w:val="center"/>
          </w:tcPr>
          <w:p w14:paraId="40175A0C">
            <w:pPr>
              <w:spacing w:line="240" w:lineRule="auto"/>
              <w:ind w:firstLine="0"/>
              <w:jc w:val="center"/>
              <w:rPr>
                <w:color w:val="auto"/>
                <w:sz w:val="21"/>
                <w:szCs w:val="21"/>
                <w:lang w:bidi="ar"/>
              </w:rPr>
            </w:pPr>
            <w:r>
              <w:rPr>
                <w:color w:val="auto"/>
                <w:sz w:val="21"/>
                <w:szCs w:val="21"/>
                <w:lang w:bidi="ar"/>
              </w:rPr>
              <w:t>0.1～200.0</w:t>
            </w:r>
          </w:p>
        </w:tc>
        <w:tc>
          <w:tcPr>
            <w:tcW w:w="2131" w:type="dxa"/>
            <w:tcBorders>
              <w:tl2br w:val="nil"/>
              <w:tr2bl w:val="nil"/>
            </w:tcBorders>
            <w:vAlign w:val="center"/>
          </w:tcPr>
          <w:p w14:paraId="4A2406D6">
            <w:pPr>
              <w:spacing w:line="240" w:lineRule="auto"/>
              <w:ind w:firstLine="0"/>
              <w:jc w:val="center"/>
              <w:rPr>
                <w:color w:val="auto"/>
                <w:sz w:val="21"/>
                <w:szCs w:val="21"/>
                <w:lang w:bidi="ar"/>
              </w:rPr>
            </w:pPr>
            <w:r>
              <w:rPr>
                <w:color w:val="auto"/>
                <w:sz w:val="21"/>
                <w:szCs w:val="21"/>
                <w:lang w:bidi="ar"/>
              </w:rPr>
              <w:t>不限</w:t>
            </w:r>
          </w:p>
        </w:tc>
      </w:tr>
      <w:tr w14:paraId="4EB0BD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4" w:type="dxa"/>
            <w:tcBorders>
              <w:tl2br w:val="nil"/>
              <w:tr2bl w:val="nil"/>
            </w:tcBorders>
            <w:vAlign w:val="center"/>
          </w:tcPr>
          <w:p w14:paraId="0EA2D252">
            <w:pPr>
              <w:spacing w:line="240" w:lineRule="auto"/>
              <w:ind w:firstLine="0"/>
              <w:jc w:val="center"/>
              <w:rPr>
                <w:color w:val="auto"/>
                <w:sz w:val="21"/>
                <w:szCs w:val="21"/>
                <w:lang w:bidi="ar"/>
              </w:rPr>
            </w:pPr>
            <w:r>
              <w:rPr>
                <w:color w:val="auto"/>
                <w:sz w:val="21"/>
                <w:szCs w:val="21"/>
                <w:lang w:bidi="ar"/>
              </w:rPr>
              <w:t>真空管井</w:t>
            </w:r>
          </w:p>
        </w:tc>
        <w:tc>
          <w:tcPr>
            <w:tcW w:w="2130" w:type="dxa"/>
            <w:tcBorders>
              <w:tl2br w:val="nil"/>
              <w:tr2bl w:val="nil"/>
            </w:tcBorders>
            <w:vAlign w:val="center"/>
          </w:tcPr>
          <w:p w14:paraId="1EA6381F">
            <w:pPr>
              <w:spacing w:line="240" w:lineRule="auto"/>
              <w:ind w:firstLine="0"/>
              <w:jc w:val="center"/>
              <w:rPr>
                <w:color w:val="auto"/>
                <w:sz w:val="21"/>
                <w:szCs w:val="21"/>
                <w:lang w:bidi="ar"/>
              </w:rPr>
            </w:pPr>
            <w:r>
              <w:rPr>
                <w:color w:val="auto"/>
                <w:sz w:val="21"/>
                <w:szCs w:val="21"/>
                <w:lang w:bidi="ar"/>
              </w:rPr>
              <w:t>黏性土、粉土、细砂、中细砂</w:t>
            </w:r>
          </w:p>
        </w:tc>
        <w:tc>
          <w:tcPr>
            <w:tcW w:w="2131" w:type="dxa"/>
            <w:tcBorders>
              <w:tl2br w:val="nil"/>
              <w:tr2bl w:val="nil"/>
            </w:tcBorders>
            <w:vAlign w:val="center"/>
          </w:tcPr>
          <w:p w14:paraId="5B58AF27">
            <w:pPr>
              <w:spacing w:line="240" w:lineRule="auto"/>
              <w:ind w:firstLine="0"/>
              <w:jc w:val="center"/>
              <w:rPr>
                <w:color w:val="auto"/>
                <w:sz w:val="21"/>
                <w:szCs w:val="21"/>
                <w:lang w:bidi="ar"/>
              </w:rPr>
            </w:pPr>
            <w:r>
              <w:rPr>
                <w:color w:val="auto"/>
                <w:sz w:val="21"/>
                <w:szCs w:val="21"/>
                <w:lang w:bidi="ar"/>
              </w:rPr>
              <w:t>0.1～20.0</w:t>
            </w:r>
          </w:p>
        </w:tc>
        <w:tc>
          <w:tcPr>
            <w:tcW w:w="2131" w:type="dxa"/>
            <w:tcBorders>
              <w:tl2br w:val="nil"/>
              <w:tr2bl w:val="nil"/>
            </w:tcBorders>
            <w:vAlign w:val="center"/>
          </w:tcPr>
          <w:p w14:paraId="32A2C94E">
            <w:pPr>
              <w:spacing w:line="240" w:lineRule="auto"/>
              <w:ind w:firstLine="0"/>
              <w:jc w:val="center"/>
              <w:rPr>
                <w:color w:val="auto"/>
                <w:sz w:val="21"/>
                <w:szCs w:val="21"/>
                <w:lang w:bidi="ar"/>
              </w:rPr>
            </w:pPr>
            <w:r>
              <w:rPr>
                <w:color w:val="auto"/>
                <w:sz w:val="21"/>
                <w:szCs w:val="21"/>
                <w:lang w:bidi="ar"/>
              </w:rPr>
              <w:t>不限</w:t>
            </w:r>
          </w:p>
        </w:tc>
      </w:tr>
      <w:tr w14:paraId="1ABF6F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4" w:type="dxa"/>
            <w:tcBorders>
              <w:tl2br w:val="nil"/>
              <w:tr2bl w:val="nil"/>
            </w:tcBorders>
            <w:vAlign w:val="center"/>
          </w:tcPr>
          <w:p w14:paraId="38D0431A">
            <w:pPr>
              <w:spacing w:line="240" w:lineRule="auto"/>
              <w:ind w:firstLine="0"/>
              <w:jc w:val="center"/>
              <w:rPr>
                <w:color w:val="auto"/>
                <w:sz w:val="21"/>
                <w:szCs w:val="21"/>
                <w:lang w:bidi="ar"/>
              </w:rPr>
            </w:pPr>
            <w:r>
              <w:rPr>
                <w:color w:val="auto"/>
                <w:sz w:val="21"/>
                <w:szCs w:val="21"/>
                <w:lang w:bidi="ar"/>
              </w:rPr>
              <w:t>辐射井</w:t>
            </w:r>
          </w:p>
        </w:tc>
        <w:tc>
          <w:tcPr>
            <w:tcW w:w="2130" w:type="dxa"/>
            <w:tcBorders>
              <w:tl2br w:val="nil"/>
              <w:tr2bl w:val="nil"/>
            </w:tcBorders>
            <w:vAlign w:val="center"/>
          </w:tcPr>
          <w:p w14:paraId="007F1DCB">
            <w:pPr>
              <w:spacing w:line="240" w:lineRule="auto"/>
              <w:ind w:firstLine="0"/>
              <w:jc w:val="center"/>
              <w:rPr>
                <w:color w:val="auto"/>
                <w:sz w:val="21"/>
                <w:szCs w:val="21"/>
                <w:lang w:bidi="ar"/>
              </w:rPr>
            </w:pPr>
            <w:r>
              <w:rPr>
                <w:color w:val="auto"/>
                <w:sz w:val="21"/>
                <w:szCs w:val="21"/>
                <w:lang w:bidi="ar"/>
              </w:rPr>
              <w:t>粉砂、细砂、中细砂、粗砂、卵砾石、黏性土等</w:t>
            </w:r>
          </w:p>
        </w:tc>
        <w:tc>
          <w:tcPr>
            <w:tcW w:w="2131" w:type="dxa"/>
            <w:tcBorders>
              <w:tl2br w:val="nil"/>
              <w:tr2bl w:val="nil"/>
            </w:tcBorders>
            <w:vAlign w:val="center"/>
          </w:tcPr>
          <w:p w14:paraId="48C2A726">
            <w:pPr>
              <w:spacing w:line="240" w:lineRule="auto"/>
              <w:ind w:firstLine="0"/>
              <w:jc w:val="center"/>
              <w:rPr>
                <w:color w:val="auto"/>
                <w:sz w:val="21"/>
                <w:szCs w:val="21"/>
                <w:lang w:bidi="ar"/>
              </w:rPr>
            </w:pPr>
            <w:r>
              <w:rPr>
                <w:color w:val="auto"/>
                <w:sz w:val="21"/>
                <w:szCs w:val="21"/>
                <w:lang w:bidi="ar"/>
              </w:rPr>
              <w:t>＞0.1</w:t>
            </w:r>
          </w:p>
        </w:tc>
        <w:tc>
          <w:tcPr>
            <w:tcW w:w="2131" w:type="dxa"/>
            <w:tcBorders>
              <w:tl2br w:val="nil"/>
              <w:tr2bl w:val="nil"/>
            </w:tcBorders>
            <w:vAlign w:val="center"/>
          </w:tcPr>
          <w:p w14:paraId="25AC1896">
            <w:pPr>
              <w:spacing w:line="240" w:lineRule="auto"/>
              <w:ind w:firstLine="0"/>
              <w:jc w:val="center"/>
              <w:rPr>
                <w:color w:val="auto"/>
                <w:sz w:val="21"/>
                <w:szCs w:val="21"/>
                <w:lang w:bidi="ar"/>
              </w:rPr>
            </w:pPr>
            <w:r>
              <w:rPr>
                <w:color w:val="auto"/>
                <w:sz w:val="21"/>
                <w:szCs w:val="21"/>
                <w:lang w:bidi="ar"/>
              </w:rPr>
              <w:t>＜30m</w:t>
            </w:r>
          </w:p>
        </w:tc>
      </w:tr>
    </w:tbl>
    <w:p w14:paraId="6B83FA1E">
      <w:pPr>
        <w:ind w:firstLine="0"/>
      </w:pPr>
    </w:p>
    <w:p w14:paraId="692EF3DD">
      <w:pPr>
        <w:ind w:firstLine="0"/>
        <w:rPr>
          <w:bCs/>
          <w:color w:val="auto"/>
        </w:rPr>
      </w:pPr>
      <w:r>
        <w:rPr>
          <w:b/>
          <w:bCs/>
          <w:color w:val="auto"/>
        </w:rPr>
        <w:t>5.3.11　</w:t>
      </w:r>
      <w:r>
        <w:rPr>
          <w:color w:val="auto"/>
        </w:rPr>
        <w:t>管廊</w:t>
      </w:r>
      <w:r>
        <w:rPr>
          <w:bCs/>
          <w:color w:val="auto"/>
        </w:rPr>
        <w:t>设计降水水位应低于明挖段坑底面0.5m。当主体结构的集水井等部位使明挖段局部加深时，应按其深度考虑设计降水水位或对其另行采取局部地下水控制措施。明挖段采用截（止）水结合坑外减压降水的地下水控制方法时，尚应规定降水井的水位最大降深。</w:t>
      </w:r>
    </w:p>
    <w:p w14:paraId="7F41188C">
      <w:pPr>
        <w:ind w:firstLine="0"/>
        <w:rPr>
          <w:bCs/>
          <w:color w:val="auto"/>
        </w:rPr>
      </w:pPr>
      <w:r>
        <w:rPr>
          <w:b/>
          <w:bCs/>
          <w:color w:val="auto"/>
        </w:rPr>
        <w:t>5.3.12　</w:t>
      </w:r>
      <w:r>
        <w:rPr>
          <w:bCs/>
          <w:color w:val="auto"/>
        </w:rPr>
        <w:t>降水井井位应沿明挖段周边以一定间距形成闭合状。当地下水流速较小时，降水井宜等间距布置；当地下水流速较大时，在地下水补给方向宜适当减小降水井间距。对宽度较小的狭长形明挖段，降水井也可在综合管廊的一侧布置。</w:t>
      </w:r>
    </w:p>
    <w:p w14:paraId="569FF5EC">
      <w:pPr>
        <w:ind w:firstLine="0"/>
        <w:rPr>
          <w:bCs/>
          <w:color w:val="auto"/>
        </w:rPr>
      </w:pPr>
      <w:r>
        <w:rPr>
          <w:b/>
          <w:bCs/>
          <w:color w:val="auto"/>
        </w:rPr>
        <w:t>5.3.13　</w:t>
      </w:r>
      <w:r>
        <w:rPr>
          <w:bCs/>
          <w:color w:val="auto"/>
        </w:rPr>
        <w:t>综合管廊地下水控制设计除应符合本规程规定外，尚应符合</w:t>
      </w:r>
      <w:r>
        <w:t>国家现行标准</w:t>
      </w:r>
      <w:r>
        <w:rPr>
          <w:bCs/>
          <w:color w:val="auto"/>
        </w:rPr>
        <w:t>《城市综合管廊工程技术规范》GB 50838、《建筑地基基础设计规范》GB 50007、《建筑基坑支护技术规程》JGJ 120、《建筑与市政工程地下水控制技术规范》JGJ 111等的有关规定。</w:t>
      </w:r>
    </w:p>
    <w:p w14:paraId="38D57FAC">
      <w:r>
        <w:br w:type="page"/>
      </w:r>
    </w:p>
    <w:bookmarkEnd w:id="168"/>
    <w:bookmarkEnd w:id="169"/>
    <w:bookmarkEnd w:id="170"/>
    <w:bookmarkEnd w:id="171"/>
    <w:p w14:paraId="75A5437F">
      <w:pPr>
        <w:pStyle w:val="19"/>
        <w:widowControl w:val="0"/>
        <w:spacing w:before="328" w:beforeLines="100" w:after="328" w:afterLines="100" w:line="360" w:lineRule="auto"/>
        <w:jc w:val="center"/>
        <w:outlineLvl w:val="0"/>
        <w:rPr>
          <w:rFonts w:ascii="Times New Roman" w:eastAsia="宋体"/>
          <w:b/>
          <w:sz w:val="32"/>
        </w:rPr>
      </w:pPr>
      <w:bookmarkStart w:id="292" w:name="_Toc7612"/>
      <w:bookmarkStart w:id="293" w:name="_Toc4559"/>
      <w:bookmarkStart w:id="294" w:name="_Toc12947"/>
      <w:bookmarkStart w:id="295" w:name="_Toc29927"/>
      <w:bookmarkStart w:id="296" w:name="_Toc30781"/>
      <w:bookmarkStart w:id="297" w:name="_Toc193392081"/>
      <w:bookmarkStart w:id="298" w:name="_Toc19051"/>
      <w:bookmarkStart w:id="299" w:name="_Toc25788"/>
      <w:bookmarkStart w:id="300" w:name="_Toc17344"/>
      <w:bookmarkStart w:id="301" w:name="_Toc21977"/>
      <w:bookmarkStart w:id="302" w:name="_Toc438"/>
      <w:bookmarkStart w:id="303" w:name="_Toc31120"/>
      <w:bookmarkStart w:id="304" w:name="_Toc19194"/>
      <w:r>
        <w:rPr>
          <w:rFonts w:ascii="Times New Roman" w:eastAsia="宋体"/>
          <w:b/>
          <w:sz w:val="32"/>
        </w:rPr>
        <w:t>6　岩土工程施工</w:t>
      </w:r>
      <w:bookmarkEnd w:id="292"/>
      <w:bookmarkEnd w:id="293"/>
      <w:bookmarkEnd w:id="294"/>
      <w:bookmarkEnd w:id="295"/>
      <w:bookmarkEnd w:id="296"/>
      <w:bookmarkEnd w:id="297"/>
      <w:bookmarkEnd w:id="298"/>
      <w:bookmarkEnd w:id="299"/>
      <w:bookmarkEnd w:id="300"/>
      <w:bookmarkEnd w:id="301"/>
      <w:bookmarkEnd w:id="302"/>
      <w:bookmarkEnd w:id="303"/>
      <w:bookmarkEnd w:id="304"/>
    </w:p>
    <w:p w14:paraId="737FC36C">
      <w:pPr>
        <w:keepNext/>
        <w:spacing w:before="328" w:beforeLines="100" w:after="328" w:afterLines="100" w:line="240" w:lineRule="auto"/>
        <w:ind w:firstLine="0"/>
        <w:jc w:val="center"/>
        <w:outlineLvl w:val="1"/>
        <w:rPr>
          <w:rFonts w:eastAsia="黑体"/>
          <w:b/>
          <w:bCs/>
          <w:sz w:val="28"/>
          <w:szCs w:val="28"/>
        </w:rPr>
      </w:pPr>
      <w:bookmarkStart w:id="305" w:name="_Toc19664"/>
      <w:bookmarkStart w:id="306" w:name="_Toc31174"/>
      <w:bookmarkStart w:id="307" w:name="_Toc19218"/>
      <w:bookmarkStart w:id="308" w:name="_Toc12028"/>
      <w:bookmarkStart w:id="309" w:name="_Toc193392082"/>
      <w:bookmarkStart w:id="310" w:name="_Toc6255"/>
      <w:bookmarkStart w:id="311" w:name="_Toc19093"/>
      <w:bookmarkStart w:id="312" w:name="_Toc21985"/>
      <w:bookmarkStart w:id="313" w:name="_Toc30495"/>
      <w:bookmarkStart w:id="314" w:name="_Toc19293"/>
      <w:bookmarkStart w:id="315" w:name="_Toc30562"/>
      <w:bookmarkStart w:id="316" w:name="_Toc18896"/>
      <w:r>
        <w:rPr>
          <w:rFonts w:eastAsia="黑体"/>
          <w:b/>
          <w:bCs/>
          <w:sz w:val="28"/>
          <w:szCs w:val="28"/>
        </w:rPr>
        <w:t>6.1　一般规定</w:t>
      </w:r>
      <w:bookmarkEnd w:id="305"/>
      <w:bookmarkEnd w:id="306"/>
      <w:bookmarkEnd w:id="307"/>
      <w:bookmarkEnd w:id="308"/>
      <w:bookmarkEnd w:id="309"/>
      <w:bookmarkEnd w:id="310"/>
      <w:bookmarkEnd w:id="311"/>
      <w:bookmarkEnd w:id="312"/>
      <w:bookmarkEnd w:id="313"/>
      <w:bookmarkEnd w:id="314"/>
      <w:bookmarkEnd w:id="315"/>
      <w:bookmarkEnd w:id="316"/>
    </w:p>
    <w:p w14:paraId="2A26EC40">
      <w:pPr>
        <w:ind w:firstLine="0"/>
        <w:rPr>
          <w:bCs/>
        </w:rPr>
      </w:pPr>
      <w:r>
        <w:rPr>
          <w:b/>
          <w:bCs/>
        </w:rPr>
        <w:t>6.1.1　</w:t>
      </w:r>
      <w:r>
        <w:rPr>
          <w:bCs/>
        </w:rPr>
        <w:t>综合管廊岩土工程施工应按照岩土工程设计文件要求，综合考虑工程地质与水文地质条件、施工技术条件与环境，并应重视地方经验，因地制宜，合理选择施工工艺，节约资源，强化施工质量控制，施工中重视环境效应，遵循信息化施工原则，确保施工期间本体工程及周边环境安全。</w:t>
      </w:r>
    </w:p>
    <w:p w14:paraId="5356EA3A">
      <w:pPr>
        <w:ind w:firstLine="0"/>
        <w:rPr>
          <w:bCs/>
        </w:rPr>
      </w:pPr>
      <w:r>
        <w:rPr>
          <w:b/>
          <w:bCs/>
        </w:rPr>
        <w:t>6.1.2　</w:t>
      </w:r>
      <w:r>
        <w:rPr>
          <w:bCs/>
        </w:rPr>
        <w:t>综合管廊岩土工程施工前，应根据需要做好如下调查及资料收集工作：</w:t>
      </w:r>
    </w:p>
    <w:p w14:paraId="5538E33E">
      <w:pPr>
        <w:pStyle w:val="28"/>
        <w:widowControl w:val="0"/>
        <w:numPr>
          <w:ilvl w:val="0"/>
          <w:numId w:val="0"/>
        </w:numPr>
        <w:spacing w:line="360" w:lineRule="auto"/>
        <w:ind w:firstLine="482" w:firstLineChars="200"/>
        <w:rPr>
          <w:rFonts w:ascii="Times New Roman"/>
          <w:bCs/>
          <w:color w:val="000000"/>
          <w:sz w:val="24"/>
          <w:szCs w:val="24"/>
        </w:rPr>
      </w:pPr>
      <w:r>
        <w:rPr>
          <w:rFonts w:ascii="Times New Roman"/>
          <w:b/>
          <w:color w:val="000000"/>
          <w:sz w:val="24"/>
          <w:szCs w:val="24"/>
        </w:rPr>
        <w:t>1　</w:t>
      </w:r>
      <w:r>
        <w:rPr>
          <w:rFonts w:ascii="Times New Roman"/>
          <w:bCs/>
          <w:color w:val="000000"/>
          <w:sz w:val="24"/>
          <w:szCs w:val="24"/>
        </w:rPr>
        <w:t>工程所在区域的地形地貌、场地条件及周边环境；</w:t>
      </w:r>
    </w:p>
    <w:p w14:paraId="3FCCCFD7">
      <w:pPr>
        <w:pStyle w:val="28"/>
        <w:widowControl w:val="0"/>
        <w:numPr>
          <w:ilvl w:val="0"/>
          <w:numId w:val="0"/>
        </w:numPr>
        <w:spacing w:line="360" w:lineRule="auto"/>
        <w:ind w:firstLine="482" w:firstLineChars="200"/>
        <w:rPr>
          <w:rFonts w:ascii="Times New Roman"/>
          <w:bCs/>
          <w:color w:val="000000"/>
          <w:sz w:val="24"/>
          <w:szCs w:val="24"/>
        </w:rPr>
      </w:pPr>
      <w:r>
        <w:rPr>
          <w:rFonts w:ascii="Times New Roman"/>
          <w:b/>
          <w:color w:val="000000"/>
          <w:sz w:val="24"/>
          <w:szCs w:val="24"/>
        </w:rPr>
        <w:t>2　</w:t>
      </w:r>
      <w:r>
        <w:rPr>
          <w:rFonts w:ascii="Times New Roman"/>
          <w:bCs/>
          <w:color w:val="000000"/>
          <w:sz w:val="24"/>
          <w:szCs w:val="24"/>
        </w:rPr>
        <w:t>沿线场地地表水、工程地质、水文地质和气象情况；</w:t>
      </w:r>
    </w:p>
    <w:p w14:paraId="20E63F39">
      <w:pPr>
        <w:ind w:firstLine="480" w:firstLineChars="200"/>
        <w:rPr>
          <w:bCs/>
        </w:rPr>
      </w:pPr>
      <w:r>
        <w:rPr>
          <w:rFonts w:eastAsiaTheme="minorEastAsia"/>
          <w:b/>
        </w:rPr>
        <w:t>3　</w:t>
      </w:r>
      <w:r>
        <w:rPr>
          <w:bCs/>
        </w:rPr>
        <w:t>场地周边建筑、地下管线、地下障碍物的埋深、结构、使用情况以及与拟建场地的相对位置，地面作业净空、噪声、振动方面的限制等情况；</w:t>
      </w:r>
    </w:p>
    <w:p w14:paraId="067002EC">
      <w:pPr>
        <w:pStyle w:val="28"/>
        <w:widowControl w:val="0"/>
        <w:numPr>
          <w:ilvl w:val="0"/>
          <w:numId w:val="0"/>
        </w:numPr>
        <w:spacing w:line="360" w:lineRule="auto"/>
        <w:ind w:firstLine="482" w:firstLineChars="200"/>
        <w:rPr>
          <w:rFonts w:ascii="Times New Roman"/>
          <w:bCs/>
          <w:color w:val="000000"/>
          <w:sz w:val="24"/>
          <w:szCs w:val="24"/>
        </w:rPr>
      </w:pPr>
      <w:r>
        <w:rPr>
          <w:rFonts w:ascii="Times New Roman"/>
          <w:b/>
          <w:color w:val="000000"/>
          <w:sz w:val="24"/>
          <w:szCs w:val="24"/>
        </w:rPr>
        <w:t>4　</w:t>
      </w:r>
      <w:r>
        <w:rPr>
          <w:rFonts w:ascii="Times New Roman"/>
          <w:bCs/>
          <w:color w:val="000000"/>
          <w:sz w:val="24"/>
          <w:szCs w:val="24"/>
        </w:rPr>
        <w:t>沿线场地周边道路交通状况、施工场地材料堆放及运输能力；</w:t>
      </w:r>
    </w:p>
    <w:p w14:paraId="599E93E6">
      <w:pPr>
        <w:pStyle w:val="28"/>
        <w:widowControl w:val="0"/>
        <w:numPr>
          <w:ilvl w:val="0"/>
          <w:numId w:val="0"/>
        </w:numPr>
        <w:spacing w:line="360" w:lineRule="auto"/>
        <w:ind w:firstLine="482" w:firstLineChars="200"/>
        <w:rPr>
          <w:rFonts w:ascii="Times New Roman"/>
          <w:bCs/>
          <w:color w:val="000000"/>
          <w:sz w:val="24"/>
          <w:szCs w:val="24"/>
        </w:rPr>
      </w:pPr>
      <w:r>
        <w:rPr>
          <w:rFonts w:ascii="Times New Roman"/>
          <w:b/>
          <w:color w:val="000000"/>
          <w:sz w:val="24"/>
          <w:szCs w:val="24"/>
        </w:rPr>
        <w:t>5　</w:t>
      </w:r>
      <w:r>
        <w:rPr>
          <w:rFonts w:ascii="Times New Roman"/>
          <w:bCs/>
          <w:color w:val="000000"/>
          <w:sz w:val="24"/>
          <w:szCs w:val="24"/>
        </w:rPr>
        <w:t>工程所需主要材料、施工机械、设备资源情况；</w:t>
      </w:r>
    </w:p>
    <w:p w14:paraId="29347C3B">
      <w:pPr>
        <w:pStyle w:val="28"/>
        <w:widowControl w:val="0"/>
        <w:numPr>
          <w:ilvl w:val="0"/>
          <w:numId w:val="0"/>
        </w:numPr>
        <w:spacing w:line="360" w:lineRule="auto"/>
        <w:ind w:firstLine="482" w:firstLineChars="200"/>
        <w:rPr>
          <w:rFonts w:ascii="Times New Roman"/>
          <w:bCs/>
          <w:color w:val="000000"/>
          <w:sz w:val="24"/>
          <w:szCs w:val="24"/>
        </w:rPr>
      </w:pPr>
      <w:r>
        <w:rPr>
          <w:rFonts w:ascii="Times New Roman"/>
          <w:b/>
          <w:color w:val="000000"/>
          <w:sz w:val="24"/>
          <w:szCs w:val="24"/>
        </w:rPr>
        <w:t>6　</w:t>
      </w:r>
      <w:r>
        <w:rPr>
          <w:rFonts w:ascii="Times New Roman"/>
          <w:bCs/>
          <w:color w:val="000000"/>
          <w:sz w:val="24"/>
          <w:szCs w:val="24"/>
        </w:rPr>
        <w:t>施工动力、给水、排水及其他条件；</w:t>
      </w:r>
    </w:p>
    <w:p w14:paraId="6C0C79CF">
      <w:pPr>
        <w:pStyle w:val="28"/>
        <w:widowControl w:val="0"/>
        <w:numPr>
          <w:ilvl w:val="0"/>
          <w:numId w:val="0"/>
        </w:numPr>
        <w:spacing w:line="360" w:lineRule="auto"/>
        <w:ind w:firstLine="482" w:firstLineChars="200"/>
        <w:rPr>
          <w:rFonts w:ascii="Times New Roman"/>
          <w:bCs/>
          <w:color w:val="000000"/>
          <w:sz w:val="24"/>
          <w:szCs w:val="24"/>
        </w:rPr>
      </w:pPr>
      <w:r>
        <w:rPr>
          <w:rFonts w:ascii="Times New Roman"/>
          <w:b/>
          <w:color w:val="000000"/>
          <w:sz w:val="24"/>
          <w:szCs w:val="24"/>
        </w:rPr>
        <w:t>7　</w:t>
      </w:r>
      <w:r>
        <w:rPr>
          <w:rFonts w:ascii="Times New Roman"/>
          <w:bCs/>
          <w:color w:val="000000"/>
          <w:sz w:val="24"/>
          <w:szCs w:val="24"/>
        </w:rPr>
        <w:t>与岩土工程施工有关的其他情况和资料。</w:t>
      </w:r>
    </w:p>
    <w:p w14:paraId="0E05FD64">
      <w:pPr>
        <w:ind w:firstLine="0"/>
        <w:rPr>
          <w:bCs/>
        </w:rPr>
      </w:pPr>
      <w:r>
        <w:rPr>
          <w:b/>
          <w:bCs/>
        </w:rPr>
        <w:t>6.1.3　</w:t>
      </w:r>
      <w:r>
        <w:rPr>
          <w:bCs/>
        </w:rPr>
        <w:t>综合管廊岩土工程施工前的准备工作应按下列规定执行：</w:t>
      </w:r>
    </w:p>
    <w:p w14:paraId="71138F02">
      <w:pPr>
        <w:ind w:firstLine="482" w:firstLineChars="200"/>
        <w:rPr>
          <w:bCs/>
          <w:spacing w:val="-6"/>
        </w:rPr>
      </w:pPr>
      <w:r>
        <w:rPr>
          <w:b/>
        </w:rPr>
        <w:t>1　</w:t>
      </w:r>
      <w:r>
        <w:rPr>
          <w:bCs/>
          <w:spacing w:val="-6"/>
        </w:rPr>
        <w:t>依据设计施工图纸和环境调查与分析，做好技术交底、安排好施工作业顺序；</w:t>
      </w:r>
    </w:p>
    <w:p w14:paraId="040BDF3D">
      <w:pPr>
        <w:ind w:firstLine="482" w:firstLineChars="200"/>
        <w:rPr>
          <w:bCs/>
        </w:rPr>
      </w:pPr>
      <w:r>
        <w:rPr>
          <w:b/>
        </w:rPr>
        <w:t>2　</w:t>
      </w:r>
      <w:r>
        <w:rPr>
          <w:bCs/>
        </w:rPr>
        <w:t>对场地沿线及周边进行封闭并做好交通疏导工作，对场内进行清理和整平；</w:t>
      </w:r>
    </w:p>
    <w:p w14:paraId="5194304E">
      <w:pPr>
        <w:ind w:firstLine="482" w:firstLineChars="200"/>
        <w:rPr>
          <w:bCs/>
        </w:rPr>
      </w:pPr>
      <w:bookmarkStart w:id="317" w:name="_Toc30808"/>
      <w:bookmarkStart w:id="318" w:name="_Toc29115"/>
      <w:bookmarkStart w:id="319" w:name="_Toc4922"/>
      <w:r>
        <w:rPr>
          <w:b/>
        </w:rPr>
        <w:t>3　</w:t>
      </w:r>
      <w:r>
        <w:rPr>
          <w:bCs/>
        </w:rPr>
        <w:t>依据平面和高程控制点，建立测量控制网；</w:t>
      </w:r>
      <w:bookmarkEnd w:id="317"/>
      <w:bookmarkEnd w:id="318"/>
      <w:bookmarkEnd w:id="319"/>
    </w:p>
    <w:p w14:paraId="134917A8">
      <w:pPr>
        <w:ind w:firstLine="482" w:firstLineChars="200"/>
        <w:rPr>
          <w:bCs/>
        </w:rPr>
      </w:pPr>
      <w:r>
        <w:rPr>
          <w:b/>
        </w:rPr>
        <w:t>4　</w:t>
      </w:r>
      <w:r>
        <w:rPr>
          <w:bCs/>
        </w:rPr>
        <w:t>完成危险源的辨识、分级与防范对策制定，制订应急预案，准备好相应的应急物资。</w:t>
      </w:r>
    </w:p>
    <w:p w14:paraId="349D1680">
      <w:pPr>
        <w:ind w:firstLine="0"/>
        <w:rPr>
          <w:bCs/>
        </w:rPr>
      </w:pPr>
      <w:r>
        <w:rPr>
          <w:b/>
          <w:bCs/>
        </w:rPr>
        <w:t>6.1.4　</w:t>
      </w:r>
      <w:r>
        <w:rPr>
          <w:bCs/>
        </w:rPr>
        <w:t>综合管廊岩土工程施工时应做好文明施工和环境保护工作，必须采取有效措施，控制施工现场噪声、废气、建筑垃圾、扬尘、污水等对环境造成的污染和危害。</w:t>
      </w:r>
    </w:p>
    <w:p w14:paraId="13DD98C0">
      <w:pPr>
        <w:ind w:firstLine="0"/>
        <w:rPr>
          <w:b/>
          <w:bCs/>
        </w:rPr>
      </w:pPr>
      <w:r>
        <w:rPr>
          <w:b/>
          <w:bCs/>
        </w:rPr>
        <w:t>6.1.5　</w:t>
      </w:r>
      <w:r>
        <w:rPr>
          <w:bCs/>
        </w:rPr>
        <w:t>综合管廊岩土工程施工过程中，当发现地质、场地、工程等条件与勘察报告和岩土设计文件不相符时，或周边环境情况出现异常，应暂停施工，及时会同岩土工程设计单位进行处理，出现危险征兆，应立刻启动应急预案，妥善处置。</w:t>
      </w:r>
    </w:p>
    <w:p w14:paraId="103190A5">
      <w:pPr>
        <w:ind w:firstLine="0"/>
        <w:rPr>
          <w:bCs/>
        </w:rPr>
      </w:pPr>
      <w:r>
        <w:rPr>
          <w:b/>
          <w:bCs/>
        </w:rPr>
        <w:t>6.1.6　</w:t>
      </w:r>
      <w:r>
        <w:rPr>
          <w:bCs/>
        </w:rPr>
        <w:t>城市综合管廊基坑多为狭长的线性结构，施工宜采用分段、流水施工作业，基坑开挖应遵循“分层、分段、分块、对称、平衡、限时”和“先撑后挖、限时支撑、严禁超挖”的原则。</w:t>
      </w:r>
    </w:p>
    <w:p w14:paraId="049CF199">
      <w:pPr>
        <w:ind w:firstLine="0"/>
        <w:rPr>
          <w:bCs/>
        </w:rPr>
      </w:pPr>
      <w:r>
        <w:rPr>
          <w:b/>
          <w:bCs/>
        </w:rPr>
        <w:t>6.1.7　</w:t>
      </w:r>
      <w:r>
        <w:rPr>
          <w:bCs/>
        </w:rPr>
        <w:t>综合管廊岩土工程施工过程中，严禁在综合管廊基坑边坡坡顶2m范围内堆放建筑材料、土方、其他重物，在2m范围外堆载时不应超过设计荷载值。</w:t>
      </w:r>
    </w:p>
    <w:p w14:paraId="404440FF">
      <w:pPr>
        <w:keepNext/>
        <w:spacing w:before="328" w:beforeLines="100" w:after="328" w:afterLines="100" w:line="240" w:lineRule="auto"/>
        <w:ind w:firstLine="0"/>
        <w:jc w:val="center"/>
        <w:outlineLvl w:val="1"/>
        <w:rPr>
          <w:rFonts w:eastAsia="黑体"/>
          <w:b/>
          <w:bCs/>
          <w:sz w:val="28"/>
          <w:szCs w:val="28"/>
        </w:rPr>
      </w:pPr>
      <w:bookmarkStart w:id="320" w:name="_Toc193392083"/>
      <w:bookmarkStart w:id="321" w:name="_Toc12019"/>
      <w:bookmarkStart w:id="322" w:name="_Toc20160"/>
      <w:bookmarkStart w:id="323" w:name="_Toc406"/>
      <w:bookmarkStart w:id="324" w:name="_Toc12452"/>
      <w:bookmarkStart w:id="325" w:name="_Toc29172"/>
      <w:bookmarkStart w:id="326" w:name="_Toc22898"/>
      <w:bookmarkStart w:id="327" w:name="_Toc31330"/>
      <w:bookmarkStart w:id="328" w:name="_Toc27038"/>
      <w:bookmarkStart w:id="329" w:name="_Toc20157"/>
      <w:bookmarkStart w:id="330" w:name="_Toc16993"/>
      <w:bookmarkStart w:id="331" w:name="_Toc27522"/>
      <w:r>
        <w:rPr>
          <w:rFonts w:eastAsia="黑体"/>
          <w:b/>
          <w:bCs/>
          <w:sz w:val="28"/>
          <w:szCs w:val="28"/>
        </w:rPr>
        <w:t>6.2　基坑支护工程施工</w:t>
      </w:r>
      <w:bookmarkEnd w:id="320"/>
      <w:bookmarkEnd w:id="321"/>
      <w:bookmarkEnd w:id="322"/>
      <w:bookmarkEnd w:id="323"/>
      <w:bookmarkEnd w:id="324"/>
      <w:bookmarkEnd w:id="325"/>
      <w:bookmarkEnd w:id="326"/>
      <w:bookmarkEnd w:id="327"/>
      <w:bookmarkEnd w:id="328"/>
      <w:bookmarkEnd w:id="329"/>
      <w:bookmarkEnd w:id="330"/>
    </w:p>
    <w:p w14:paraId="11A22965">
      <w:pPr>
        <w:spacing w:before="164" w:beforeLines="50" w:after="164" w:afterLines="50"/>
        <w:ind w:firstLine="0"/>
        <w:jc w:val="center"/>
        <w:outlineLvl w:val="2"/>
        <w:rPr>
          <w:rFonts w:eastAsia="仿宋"/>
          <w:b/>
          <w:bCs/>
          <w:color w:val="auto"/>
          <w:sz w:val="28"/>
          <w:szCs w:val="28"/>
        </w:rPr>
      </w:pPr>
      <w:bookmarkStart w:id="332" w:name="_Toc25876"/>
      <w:bookmarkStart w:id="333" w:name="_Toc3676"/>
      <w:bookmarkStart w:id="334" w:name="_Toc6843"/>
      <w:bookmarkStart w:id="335" w:name="_Toc14251"/>
      <w:bookmarkStart w:id="336" w:name="_Toc19146"/>
      <w:bookmarkStart w:id="337" w:name="_Toc32482"/>
      <w:bookmarkStart w:id="338" w:name="_Toc2460"/>
      <w:bookmarkStart w:id="339" w:name="_Toc26549"/>
      <w:r>
        <w:rPr>
          <w:rFonts w:eastAsia="仿宋"/>
          <w:b/>
          <w:bCs/>
          <w:color w:val="auto"/>
          <w:sz w:val="28"/>
          <w:szCs w:val="28"/>
        </w:rPr>
        <w:t>Ⅰ</w:t>
      </w:r>
      <w:bookmarkEnd w:id="332"/>
      <w:bookmarkEnd w:id="333"/>
      <w:bookmarkEnd w:id="334"/>
      <w:r>
        <w:rPr>
          <w:rFonts w:eastAsia="仿宋"/>
          <w:b/>
          <w:bCs/>
          <w:color w:val="auto"/>
          <w:sz w:val="28"/>
          <w:szCs w:val="28"/>
        </w:rPr>
        <w:t xml:space="preserve">  坡率法施工</w:t>
      </w:r>
      <w:bookmarkEnd w:id="331"/>
      <w:bookmarkEnd w:id="335"/>
      <w:bookmarkEnd w:id="336"/>
      <w:bookmarkEnd w:id="337"/>
      <w:bookmarkEnd w:id="338"/>
      <w:bookmarkEnd w:id="339"/>
    </w:p>
    <w:p w14:paraId="20BC1821">
      <w:pPr>
        <w:ind w:firstLine="0"/>
        <w:rPr>
          <w:bCs/>
        </w:rPr>
      </w:pPr>
      <w:r>
        <w:rPr>
          <w:b/>
          <w:bCs/>
        </w:rPr>
        <w:t>6.2.1　</w:t>
      </w:r>
      <w:r>
        <w:t>坡率法</w:t>
      </w:r>
      <w:r>
        <w:rPr>
          <w:bCs/>
        </w:rPr>
        <w:t>放坡开挖可根据情况，采用一级或多级放坡，其施工内容包括：截（排）水沟施工、土方开挖、土坡护面。</w:t>
      </w:r>
    </w:p>
    <w:p w14:paraId="6503EC34">
      <w:pPr>
        <w:ind w:firstLine="0"/>
        <w:rPr>
          <w:bCs/>
        </w:rPr>
      </w:pPr>
      <w:r>
        <w:rPr>
          <w:b/>
          <w:bCs/>
        </w:rPr>
        <w:t>6.2.2　</w:t>
      </w:r>
      <w:r>
        <w:rPr>
          <w:bCs/>
        </w:rPr>
        <w:t>坡率法放坡开挖施工应符合以下规定：</w:t>
      </w:r>
    </w:p>
    <w:p w14:paraId="4FDC02F0">
      <w:pPr>
        <w:widowControl/>
        <w:ind w:firstLine="482" w:firstLineChars="200"/>
        <w:rPr>
          <w:bCs/>
        </w:rPr>
      </w:pPr>
      <w:r>
        <w:rPr>
          <w:b/>
        </w:rPr>
        <w:t>1　</w:t>
      </w:r>
      <w:r>
        <w:rPr>
          <w:bCs/>
        </w:rPr>
        <w:t>开挖前做好防、排、截水工作，防止雨水等地表水进入土体，保持基底和边坡的干燥；</w:t>
      </w:r>
    </w:p>
    <w:p w14:paraId="11012D39">
      <w:pPr>
        <w:ind w:firstLine="482" w:firstLineChars="200"/>
        <w:rPr>
          <w:bCs/>
        </w:rPr>
      </w:pPr>
      <w:r>
        <w:rPr>
          <w:b/>
        </w:rPr>
        <w:t>2　</w:t>
      </w:r>
      <w:r>
        <w:rPr>
          <w:bCs/>
        </w:rPr>
        <w:t>开挖时严格按照设计坡率进行放坡开挖，及时做好护面，严禁挖反坡；</w:t>
      </w:r>
    </w:p>
    <w:p w14:paraId="4C49D247">
      <w:pPr>
        <w:ind w:firstLine="482" w:firstLineChars="200"/>
        <w:rPr>
          <w:bCs/>
        </w:rPr>
      </w:pPr>
      <w:r>
        <w:rPr>
          <w:b/>
        </w:rPr>
        <w:t>3　</w:t>
      </w:r>
      <w:r>
        <w:rPr>
          <w:bCs/>
        </w:rPr>
        <w:t>基坑顶部宜做硬化和防渗处理，四周应做好硬质防护，设置连续封闭的防护栏杆和可靠的人员上下及逃生通道，悬挂明显的安全警示标牌；</w:t>
      </w:r>
    </w:p>
    <w:p w14:paraId="08CAC4F5">
      <w:pPr>
        <w:ind w:firstLine="482" w:firstLineChars="200"/>
        <w:rPr>
          <w:bCs/>
        </w:rPr>
      </w:pPr>
      <w:r>
        <w:rPr>
          <w:b/>
        </w:rPr>
        <w:t>4　</w:t>
      </w:r>
      <w:r>
        <w:rPr>
          <w:bCs/>
        </w:rPr>
        <w:t>当开挖深度超过3m时应分层开挖、每层开挖深度不超过2m；</w:t>
      </w:r>
    </w:p>
    <w:p w14:paraId="6BD3952A">
      <w:pPr>
        <w:ind w:firstLine="482" w:firstLineChars="200"/>
        <w:rPr>
          <w:b/>
          <w:bCs/>
          <w:szCs w:val="21"/>
        </w:rPr>
      </w:pPr>
      <w:bookmarkStart w:id="340" w:name="_Toc27612"/>
      <w:bookmarkStart w:id="341" w:name="_Toc17932"/>
      <w:bookmarkStart w:id="342" w:name="_Toc13610"/>
      <w:r>
        <w:rPr>
          <w:b/>
        </w:rPr>
        <w:t>5　</w:t>
      </w:r>
      <w:r>
        <w:t>开挖完成后坡脚应及时设置排水沟、集水井。</w:t>
      </w:r>
      <w:bookmarkEnd w:id="340"/>
      <w:bookmarkEnd w:id="341"/>
      <w:bookmarkEnd w:id="342"/>
      <w:bookmarkStart w:id="343" w:name="_Toc26328"/>
      <w:bookmarkStart w:id="344" w:name="_Toc26073"/>
    </w:p>
    <w:p w14:paraId="7513B706">
      <w:pPr>
        <w:spacing w:before="164" w:beforeLines="50" w:after="164" w:afterLines="50"/>
        <w:ind w:firstLine="0"/>
        <w:jc w:val="center"/>
        <w:outlineLvl w:val="2"/>
        <w:rPr>
          <w:rFonts w:eastAsia="仿宋"/>
          <w:b/>
          <w:bCs/>
          <w:color w:val="auto"/>
          <w:sz w:val="28"/>
          <w:szCs w:val="28"/>
        </w:rPr>
      </w:pPr>
      <w:bookmarkStart w:id="345" w:name="_Toc22605"/>
      <w:bookmarkStart w:id="346" w:name="_Toc3271"/>
      <w:bookmarkStart w:id="347" w:name="_Toc25552"/>
      <w:bookmarkStart w:id="348" w:name="_Toc13132"/>
      <w:bookmarkStart w:id="349" w:name="_Toc21418"/>
      <w:bookmarkStart w:id="350" w:name="_Toc16562"/>
      <w:r>
        <w:rPr>
          <w:rFonts w:eastAsia="仿宋"/>
          <w:b/>
          <w:bCs/>
          <w:color w:val="auto"/>
          <w:sz w:val="28"/>
          <w:szCs w:val="28"/>
        </w:rPr>
        <w:t>Ⅱ  土钉墙与复合土钉墙</w:t>
      </w:r>
      <w:bookmarkEnd w:id="343"/>
      <w:bookmarkEnd w:id="344"/>
      <w:bookmarkEnd w:id="345"/>
      <w:bookmarkEnd w:id="346"/>
      <w:bookmarkEnd w:id="347"/>
      <w:bookmarkEnd w:id="348"/>
      <w:bookmarkEnd w:id="349"/>
      <w:bookmarkEnd w:id="350"/>
      <w:bookmarkStart w:id="351" w:name="_Toc23437"/>
      <w:bookmarkStart w:id="352" w:name="_Toc11740"/>
    </w:p>
    <w:p w14:paraId="2338E8C3">
      <w:pPr>
        <w:ind w:firstLine="0"/>
        <w:rPr>
          <w:bCs/>
        </w:rPr>
      </w:pPr>
      <w:bookmarkStart w:id="353" w:name="_Toc3443"/>
      <w:r>
        <w:rPr>
          <w:b/>
          <w:bCs/>
        </w:rPr>
        <w:t>6.2.3　</w:t>
      </w:r>
      <w:r>
        <w:rPr>
          <w:bCs/>
        </w:rPr>
        <w:t>土钉墙施工流程应按下列步骤进行：</w:t>
      </w:r>
      <w:bookmarkEnd w:id="351"/>
      <w:bookmarkEnd w:id="352"/>
      <w:bookmarkEnd w:id="353"/>
    </w:p>
    <w:p w14:paraId="598D65EA">
      <w:pPr>
        <w:ind w:firstLine="482" w:firstLineChars="200"/>
      </w:pPr>
      <w:r>
        <w:rPr>
          <w:b/>
          <w:bCs/>
        </w:rPr>
        <w:t>1　</w:t>
      </w:r>
      <w:r>
        <w:t>开挖工作面，修整坡面；</w:t>
      </w:r>
    </w:p>
    <w:p w14:paraId="79E569E4">
      <w:pPr>
        <w:ind w:firstLine="482" w:firstLineChars="200"/>
      </w:pPr>
      <w:r>
        <w:rPr>
          <w:b/>
          <w:bCs/>
        </w:rPr>
        <w:t>2　</w:t>
      </w:r>
      <w:r>
        <w:t>初喷底层混凝土；</w:t>
      </w:r>
    </w:p>
    <w:p w14:paraId="4007FA85">
      <w:pPr>
        <w:ind w:firstLine="482" w:firstLineChars="200"/>
      </w:pPr>
      <w:r>
        <w:rPr>
          <w:b/>
          <w:bCs/>
        </w:rPr>
        <w:t>3　</w:t>
      </w:r>
      <w:r>
        <w:t>土钉成孔、安放、注浆；</w:t>
      </w:r>
    </w:p>
    <w:p w14:paraId="76B58B8A">
      <w:pPr>
        <w:ind w:firstLine="482" w:firstLineChars="200"/>
      </w:pPr>
      <w:r>
        <w:rPr>
          <w:b/>
          <w:bCs/>
        </w:rPr>
        <w:t>4　</w:t>
      </w:r>
      <w:r>
        <w:t>挂钢筋网并与土钉端部焊接；</w:t>
      </w:r>
    </w:p>
    <w:p w14:paraId="7F873F08">
      <w:pPr>
        <w:ind w:firstLine="482" w:firstLineChars="200"/>
      </w:pPr>
      <w:r>
        <w:rPr>
          <w:b/>
          <w:bCs/>
        </w:rPr>
        <w:t>5　</w:t>
      </w:r>
      <w:r>
        <w:t>安装泄水孔；</w:t>
      </w:r>
    </w:p>
    <w:p w14:paraId="42080C3B">
      <w:pPr>
        <w:ind w:firstLine="482" w:firstLineChars="200"/>
      </w:pPr>
      <w:r>
        <w:rPr>
          <w:b/>
          <w:bCs/>
        </w:rPr>
        <w:t>6　</w:t>
      </w:r>
      <w:r>
        <w:t>复喷表层混凝土至设计厚度；</w:t>
      </w:r>
    </w:p>
    <w:p w14:paraId="27688C8C">
      <w:pPr>
        <w:ind w:firstLine="482" w:firstLineChars="200"/>
      </w:pPr>
      <w:r>
        <w:rPr>
          <w:b/>
          <w:bCs/>
        </w:rPr>
        <w:t>7　</w:t>
      </w:r>
      <w:r>
        <w:t>进入下一层施工，重复第2款至第6款施工步骤，直至完成。</w:t>
      </w:r>
    </w:p>
    <w:p w14:paraId="25A0BB59">
      <w:pPr>
        <w:ind w:firstLine="0"/>
      </w:pPr>
      <w:r>
        <w:rPr>
          <w:b/>
          <w:bCs/>
        </w:rPr>
        <w:t>6.2.4　</w:t>
      </w:r>
      <w:r>
        <w:t>土钉墙施工应按设计图纸随土方开挖分层进行，并应符合下列规定：</w:t>
      </w:r>
    </w:p>
    <w:p w14:paraId="6709F13A">
      <w:pPr>
        <w:ind w:firstLine="482" w:firstLineChars="200"/>
      </w:pPr>
      <w:r>
        <w:rPr>
          <w:b/>
          <w:bCs/>
        </w:rPr>
        <w:t>1　</w:t>
      </w:r>
      <w:r>
        <w:t>土钉墙施工应遵循“自上而下、分层开挖、分层锚固、分层喷护”的原则；</w:t>
      </w:r>
    </w:p>
    <w:p w14:paraId="73B67494">
      <w:pPr>
        <w:ind w:firstLine="482" w:firstLineChars="200"/>
      </w:pPr>
      <w:r>
        <w:rPr>
          <w:b/>
          <w:bCs/>
        </w:rPr>
        <w:t>2　</w:t>
      </w:r>
      <w:r>
        <w:t>土方开挖后，土钉安装、喷射混凝土护面应及时完成，一般土层应在24h内完成，软弱土层应在12h内完成；</w:t>
      </w:r>
    </w:p>
    <w:p w14:paraId="6B57E6DA">
      <w:pPr>
        <w:ind w:firstLine="482" w:firstLineChars="200"/>
      </w:pPr>
      <w:r>
        <w:rPr>
          <w:b/>
          <w:bCs/>
        </w:rPr>
        <w:t>3　</w:t>
      </w:r>
      <w:r>
        <w:t>喷射混凝土完成，终凝2h后应及时喷水养护，养护时间大于2d后，方可开挖下层土方；</w:t>
      </w:r>
    </w:p>
    <w:p w14:paraId="43EB9663">
      <w:pPr>
        <w:ind w:firstLine="482" w:firstLineChars="200"/>
      </w:pPr>
      <w:bookmarkStart w:id="354" w:name="_Toc26206"/>
      <w:bookmarkStart w:id="355" w:name="_Toc11156"/>
      <w:bookmarkStart w:id="356" w:name="_Toc31268"/>
      <w:r>
        <w:rPr>
          <w:b/>
          <w:bCs/>
        </w:rPr>
        <w:t>4　</w:t>
      </w:r>
      <w:r>
        <w:t>钢筋网宜在底层混凝土初喷完成后铺设；</w:t>
      </w:r>
      <w:bookmarkEnd w:id="354"/>
      <w:bookmarkEnd w:id="355"/>
      <w:bookmarkEnd w:id="356"/>
    </w:p>
    <w:p w14:paraId="23C99153">
      <w:pPr>
        <w:ind w:firstLine="482" w:firstLineChars="200"/>
      </w:pPr>
      <w:r>
        <w:rPr>
          <w:b/>
          <w:bCs/>
        </w:rPr>
        <w:t>5　</w:t>
      </w:r>
      <w:r>
        <w:t>施工过程中应对土钉位置、钻孔直径、孔深、钻孔角度，浆液配比、注浆量、注浆压力，喷锚厚度等进行检查。</w:t>
      </w:r>
    </w:p>
    <w:p w14:paraId="47B83386">
      <w:pPr>
        <w:ind w:firstLine="0"/>
      </w:pPr>
      <w:r>
        <w:rPr>
          <w:b/>
          <w:bCs/>
        </w:rPr>
        <w:t>6.2.5　</w:t>
      </w:r>
      <w:r>
        <w:rPr>
          <w:rFonts w:hint="eastAsia"/>
          <w:b w:val="0"/>
          <w:bCs w:val="0"/>
          <w:lang w:val="en-US" w:eastAsia="zh-CN"/>
        </w:rPr>
        <w:t>土</w:t>
      </w:r>
      <w:r>
        <w:rPr>
          <w:bCs/>
        </w:rPr>
        <w:t>钉墙施工还应符合现行行业标准《建筑基坑支护技术规程》JGJ 120的有关规定。</w:t>
      </w:r>
      <w:r>
        <w:t>复合土钉墙施工还应符合现行国家标准《复合土钉墙基坑支护技术规范》GB 50739的有关规定。</w:t>
      </w:r>
    </w:p>
    <w:p w14:paraId="76A93139">
      <w:pPr>
        <w:spacing w:before="164" w:beforeLines="50" w:after="164" w:afterLines="50"/>
        <w:ind w:firstLine="0"/>
        <w:jc w:val="center"/>
        <w:outlineLvl w:val="2"/>
        <w:rPr>
          <w:rFonts w:eastAsia="仿宋"/>
          <w:b/>
          <w:bCs/>
          <w:color w:val="auto"/>
          <w:sz w:val="28"/>
          <w:szCs w:val="28"/>
        </w:rPr>
      </w:pPr>
      <w:bookmarkStart w:id="357" w:name="_Toc8609"/>
      <w:bookmarkStart w:id="358" w:name="_Toc2583"/>
      <w:bookmarkStart w:id="359" w:name="_Toc6763"/>
      <w:bookmarkStart w:id="360" w:name="_Toc18316"/>
      <w:bookmarkStart w:id="361" w:name="_Toc25191"/>
      <w:bookmarkStart w:id="362" w:name="_Toc28863"/>
      <w:bookmarkStart w:id="363" w:name="_Toc20843"/>
      <w:bookmarkStart w:id="364" w:name="_Toc17265"/>
      <w:r>
        <w:rPr>
          <w:rFonts w:eastAsia="仿宋"/>
          <w:b/>
          <w:bCs/>
          <w:color w:val="auto"/>
          <w:sz w:val="28"/>
          <w:szCs w:val="28"/>
        </w:rPr>
        <w:t>Ⅲ</w:t>
      </w:r>
      <w:bookmarkEnd w:id="357"/>
      <w:bookmarkEnd w:id="358"/>
      <w:bookmarkEnd w:id="359"/>
      <w:r>
        <w:rPr>
          <w:rFonts w:eastAsia="仿宋"/>
          <w:b/>
          <w:bCs/>
          <w:color w:val="auto"/>
          <w:sz w:val="28"/>
          <w:szCs w:val="28"/>
        </w:rPr>
        <w:t xml:space="preserve">  组合钢连续墙</w:t>
      </w:r>
      <w:bookmarkEnd w:id="360"/>
      <w:bookmarkEnd w:id="361"/>
      <w:bookmarkEnd w:id="362"/>
      <w:bookmarkEnd w:id="363"/>
      <w:bookmarkEnd w:id="364"/>
    </w:p>
    <w:p w14:paraId="0AA16A95">
      <w:pPr>
        <w:ind w:firstLine="0"/>
        <w:jc w:val="left"/>
        <w:rPr>
          <w:bCs/>
        </w:rPr>
      </w:pPr>
      <w:r>
        <w:rPr>
          <w:b/>
          <w:bCs/>
        </w:rPr>
        <w:t>6.2.6　</w:t>
      </w:r>
      <w:r>
        <w:t>组合钢连续墙</w:t>
      </w:r>
      <w:r>
        <w:rPr>
          <w:bCs/>
        </w:rPr>
        <w:t>施工宜跟随综合管廊结构施工一同分段进行。</w:t>
      </w:r>
    </w:p>
    <w:p w14:paraId="49C215BF">
      <w:pPr>
        <w:ind w:firstLine="0"/>
        <w:rPr>
          <w:bCs/>
        </w:rPr>
      </w:pPr>
      <w:bookmarkStart w:id="365" w:name="_Toc7354"/>
      <w:bookmarkStart w:id="366" w:name="_Toc12004"/>
      <w:bookmarkStart w:id="367" w:name="_Toc16040"/>
      <w:r>
        <w:rPr>
          <w:b/>
          <w:bCs/>
        </w:rPr>
        <w:t>6.2.7　</w:t>
      </w:r>
      <w:r>
        <w:rPr>
          <w:bCs/>
        </w:rPr>
        <w:t>组合钢连续墙施工流程宜按下列步骤进行：</w:t>
      </w:r>
      <w:bookmarkEnd w:id="365"/>
      <w:bookmarkEnd w:id="366"/>
      <w:bookmarkEnd w:id="367"/>
    </w:p>
    <w:p w14:paraId="01791370">
      <w:pPr>
        <w:ind w:firstLine="482" w:firstLineChars="200"/>
        <w:jc w:val="left"/>
      </w:pPr>
      <w:r>
        <w:rPr>
          <w:b/>
          <w:bCs/>
        </w:rPr>
        <w:t>1　</w:t>
      </w:r>
      <w:r>
        <w:t>施工准备；</w:t>
      </w:r>
    </w:p>
    <w:p w14:paraId="58238182">
      <w:pPr>
        <w:ind w:firstLine="482" w:firstLineChars="200"/>
        <w:jc w:val="left"/>
      </w:pPr>
      <w:r>
        <w:rPr>
          <w:b/>
          <w:bCs/>
        </w:rPr>
        <w:t>2　</w:t>
      </w:r>
      <w:r>
        <w:t>沉桩；</w:t>
      </w:r>
    </w:p>
    <w:p w14:paraId="49A45F5B">
      <w:pPr>
        <w:ind w:firstLine="482" w:firstLineChars="200"/>
        <w:jc w:val="left"/>
      </w:pPr>
      <w:r>
        <w:rPr>
          <w:b/>
          <w:bCs/>
        </w:rPr>
        <w:t>3　</w:t>
      </w:r>
      <w:r>
        <w:t>土方开挖，支撑设置；</w:t>
      </w:r>
    </w:p>
    <w:p w14:paraId="396DDE0C">
      <w:pPr>
        <w:ind w:firstLine="482" w:firstLineChars="200"/>
        <w:jc w:val="left"/>
      </w:pPr>
      <w:r>
        <w:rPr>
          <w:b/>
          <w:bCs/>
        </w:rPr>
        <w:t>4　</w:t>
      </w:r>
      <w:r>
        <w:t>主体结构施工；</w:t>
      </w:r>
    </w:p>
    <w:p w14:paraId="7C92F941">
      <w:pPr>
        <w:ind w:firstLine="482" w:firstLineChars="200"/>
        <w:jc w:val="left"/>
      </w:pPr>
      <w:r>
        <w:rPr>
          <w:b/>
          <w:bCs/>
        </w:rPr>
        <w:t>5　</w:t>
      </w:r>
      <w:r>
        <w:t>支撑拆除；</w:t>
      </w:r>
    </w:p>
    <w:p w14:paraId="31733E4E">
      <w:pPr>
        <w:ind w:firstLine="482" w:firstLineChars="200"/>
        <w:jc w:val="left"/>
      </w:pPr>
      <w:r>
        <w:rPr>
          <w:b/>
          <w:bCs/>
        </w:rPr>
        <w:t>6　</w:t>
      </w:r>
      <w:r>
        <w:t>土方回填；</w:t>
      </w:r>
    </w:p>
    <w:p w14:paraId="2239B3CF">
      <w:pPr>
        <w:ind w:firstLine="482" w:firstLineChars="200"/>
        <w:jc w:val="left"/>
      </w:pPr>
      <w:r>
        <w:rPr>
          <w:b/>
          <w:bCs/>
        </w:rPr>
        <w:t>7　</w:t>
      </w:r>
      <w:r>
        <w:t>回收。</w:t>
      </w:r>
    </w:p>
    <w:p w14:paraId="0B7A2758">
      <w:pPr>
        <w:ind w:firstLine="0"/>
        <w:jc w:val="left"/>
        <w:rPr>
          <w:bCs/>
        </w:rPr>
      </w:pPr>
      <w:r>
        <w:rPr>
          <w:b/>
          <w:bCs/>
        </w:rPr>
        <w:t>6.2.8　</w:t>
      </w:r>
      <w:r>
        <w:rPr>
          <w:bCs/>
        </w:rPr>
        <w:t>钢板桩运至现场时应检查其长度、厚度，板桩立面应平直，锁口应符合标准规定。打设时，应保证竖直、位置准确。</w:t>
      </w:r>
    </w:p>
    <w:p w14:paraId="3CAA4E58">
      <w:pPr>
        <w:ind w:firstLine="0"/>
        <w:rPr>
          <w:bCs/>
        </w:rPr>
      </w:pPr>
      <w:r>
        <w:rPr>
          <w:b/>
          <w:bCs/>
        </w:rPr>
        <w:t>6.2.9　</w:t>
      </w:r>
      <w:r>
        <w:rPr>
          <w:bCs/>
        </w:rPr>
        <w:t>组合钢连续墙沉桩施工应根据桩的截面类型、沉桩深度、地层情况、周边环境和地方经验等，选择沉桩工艺、设备及方法。常用的沉桩方式有锤击、振动、静压或射水辅助等。沉桩工艺及设备特点见表6.2.9。</w:t>
      </w:r>
    </w:p>
    <w:p w14:paraId="2FA9A6CD">
      <w:pPr>
        <w:jc w:val="center"/>
        <w:rPr>
          <w:b/>
          <w:bCs/>
          <w:color w:val="auto"/>
          <w:sz w:val="21"/>
          <w:szCs w:val="21"/>
        </w:rPr>
      </w:pPr>
      <w:r>
        <w:rPr>
          <w:b/>
          <w:bCs/>
          <w:color w:val="auto"/>
          <w:sz w:val="21"/>
          <w:szCs w:val="21"/>
        </w:rPr>
        <w:t>表6.2.9　组合钢连续墙沉桩工艺及设备特点</w:t>
      </w:r>
    </w:p>
    <w:tbl>
      <w:tblPr>
        <w:tblStyle w:val="29"/>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603"/>
        <w:gridCol w:w="1071"/>
        <w:gridCol w:w="1007"/>
        <w:gridCol w:w="878"/>
        <w:gridCol w:w="1021"/>
        <w:gridCol w:w="1097"/>
        <w:gridCol w:w="1307"/>
        <w:gridCol w:w="1520"/>
      </w:tblGrid>
      <w:tr w14:paraId="3CB8B6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454" w:hRule="atLeast"/>
          <w:tblHeader/>
          <w:jc w:val="center"/>
        </w:trPr>
        <w:tc>
          <w:tcPr>
            <w:tcW w:w="1674" w:type="dxa"/>
            <w:gridSpan w:val="2"/>
            <w:vMerge w:val="restart"/>
            <w:tcBorders>
              <w:tl2br w:val="nil"/>
              <w:tr2bl w:val="nil"/>
            </w:tcBorders>
            <w:vAlign w:val="center"/>
          </w:tcPr>
          <w:p w14:paraId="2FD9B9D8">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2"/>
                <w:sz w:val="21"/>
                <w:szCs w:val="21"/>
              </w:rPr>
              <w:t>沉桩条件</w:t>
            </w:r>
          </w:p>
        </w:tc>
        <w:tc>
          <w:tcPr>
            <w:tcW w:w="6830" w:type="dxa"/>
            <w:gridSpan w:val="6"/>
            <w:tcBorders>
              <w:tl2br w:val="nil"/>
              <w:tr2bl w:val="nil"/>
            </w:tcBorders>
            <w:vAlign w:val="center"/>
          </w:tcPr>
          <w:p w14:paraId="24FF0D66">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7"/>
                <w:sz w:val="21"/>
                <w:szCs w:val="21"/>
              </w:rPr>
              <w:t>沉</w:t>
            </w:r>
            <w:r>
              <w:rPr>
                <w:rFonts w:ascii="Times New Roman" w:hAnsi="Times New Roman" w:cs="Times New Roman"/>
                <w:spacing w:val="19"/>
                <w:sz w:val="21"/>
                <w:szCs w:val="21"/>
              </w:rPr>
              <w:t xml:space="preserve">  </w:t>
            </w:r>
            <w:r>
              <w:rPr>
                <w:rFonts w:ascii="Times New Roman" w:hAnsi="Times New Roman" w:cs="Times New Roman"/>
                <w:spacing w:val="-7"/>
                <w:sz w:val="21"/>
                <w:szCs w:val="21"/>
              </w:rPr>
              <w:t>桩</w:t>
            </w:r>
            <w:r>
              <w:rPr>
                <w:rFonts w:ascii="Times New Roman" w:hAnsi="Times New Roman" w:cs="Times New Roman"/>
                <w:spacing w:val="20"/>
                <w:sz w:val="21"/>
                <w:szCs w:val="21"/>
              </w:rPr>
              <w:t xml:space="preserve">  </w:t>
            </w:r>
            <w:r>
              <w:rPr>
                <w:rFonts w:ascii="Times New Roman" w:hAnsi="Times New Roman" w:cs="Times New Roman"/>
                <w:spacing w:val="-7"/>
                <w:sz w:val="21"/>
                <w:szCs w:val="21"/>
              </w:rPr>
              <w:t>工</w:t>
            </w:r>
            <w:r>
              <w:rPr>
                <w:rFonts w:ascii="Times New Roman" w:hAnsi="Times New Roman" w:cs="Times New Roman"/>
                <w:spacing w:val="21"/>
                <w:sz w:val="21"/>
                <w:szCs w:val="21"/>
              </w:rPr>
              <w:t xml:space="preserve">  </w:t>
            </w:r>
            <w:r>
              <w:rPr>
                <w:rFonts w:ascii="Times New Roman" w:hAnsi="Times New Roman" w:cs="Times New Roman"/>
                <w:spacing w:val="-7"/>
                <w:sz w:val="21"/>
                <w:szCs w:val="21"/>
              </w:rPr>
              <w:t>艺</w:t>
            </w:r>
          </w:p>
        </w:tc>
      </w:tr>
      <w:tr w14:paraId="71CF1D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454" w:hRule="atLeast"/>
          <w:tblHeader/>
          <w:jc w:val="center"/>
        </w:trPr>
        <w:tc>
          <w:tcPr>
            <w:tcW w:w="1674" w:type="dxa"/>
            <w:gridSpan w:val="2"/>
            <w:vMerge w:val="continue"/>
            <w:tcBorders>
              <w:tl2br w:val="nil"/>
              <w:tr2bl w:val="nil"/>
            </w:tcBorders>
            <w:vAlign w:val="center"/>
          </w:tcPr>
          <w:p w14:paraId="68432459">
            <w:pPr>
              <w:autoSpaceDE w:val="0"/>
              <w:autoSpaceDN w:val="0"/>
              <w:spacing w:line="240" w:lineRule="auto"/>
              <w:ind w:firstLine="0"/>
              <w:jc w:val="center"/>
              <w:rPr>
                <w:sz w:val="21"/>
                <w:szCs w:val="21"/>
                <w:lang w:eastAsia="en-US"/>
              </w:rPr>
            </w:pPr>
          </w:p>
        </w:tc>
        <w:tc>
          <w:tcPr>
            <w:tcW w:w="4003" w:type="dxa"/>
            <w:gridSpan w:val="4"/>
            <w:tcBorders>
              <w:tl2br w:val="nil"/>
              <w:tr2bl w:val="nil"/>
            </w:tcBorders>
            <w:vAlign w:val="center"/>
          </w:tcPr>
          <w:p w14:paraId="5B3A6728">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5"/>
                <w:sz w:val="21"/>
                <w:szCs w:val="21"/>
              </w:rPr>
              <w:t>锤</w:t>
            </w:r>
            <w:r>
              <w:rPr>
                <w:rFonts w:ascii="Times New Roman" w:hAnsi="Times New Roman" w:cs="Times New Roman"/>
                <w:spacing w:val="3"/>
                <w:sz w:val="21"/>
                <w:szCs w:val="21"/>
              </w:rPr>
              <w:t xml:space="preserve">  </w:t>
            </w:r>
            <w:r>
              <w:rPr>
                <w:rFonts w:ascii="Times New Roman" w:hAnsi="Times New Roman" w:cs="Times New Roman"/>
                <w:spacing w:val="-5"/>
                <w:sz w:val="21"/>
                <w:szCs w:val="21"/>
              </w:rPr>
              <w:t>击</w:t>
            </w:r>
            <w:r>
              <w:rPr>
                <w:rFonts w:ascii="Times New Roman" w:hAnsi="Times New Roman" w:cs="Times New Roman"/>
                <w:spacing w:val="4"/>
                <w:sz w:val="21"/>
                <w:szCs w:val="21"/>
              </w:rPr>
              <w:t xml:space="preserve">  </w:t>
            </w:r>
            <w:r>
              <w:rPr>
                <w:rFonts w:ascii="Times New Roman" w:hAnsi="Times New Roman" w:cs="Times New Roman"/>
                <w:spacing w:val="-5"/>
                <w:sz w:val="21"/>
                <w:szCs w:val="21"/>
              </w:rPr>
              <w:t>法</w:t>
            </w:r>
          </w:p>
        </w:tc>
        <w:tc>
          <w:tcPr>
            <w:tcW w:w="1307" w:type="dxa"/>
            <w:tcBorders>
              <w:tl2br w:val="nil"/>
              <w:tr2bl w:val="nil"/>
            </w:tcBorders>
            <w:vAlign w:val="center"/>
          </w:tcPr>
          <w:p w14:paraId="2203794B">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2"/>
                <w:sz w:val="21"/>
                <w:szCs w:val="21"/>
              </w:rPr>
              <w:t>振动法</w:t>
            </w:r>
          </w:p>
        </w:tc>
        <w:tc>
          <w:tcPr>
            <w:tcW w:w="1520" w:type="dxa"/>
            <w:tcBorders>
              <w:tl2br w:val="nil"/>
              <w:tr2bl w:val="nil"/>
            </w:tcBorders>
            <w:vAlign w:val="center"/>
          </w:tcPr>
          <w:p w14:paraId="10E35195">
            <w:pPr>
              <w:pStyle w:val="30"/>
              <w:autoSpaceDE w:val="0"/>
              <w:autoSpaceDN w:val="0"/>
              <w:spacing w:line="240" w:lineRule="auto"/>
              <w:ind w:firstLine="0"/>
              <w:jc w:val="center"/>
              <w:rPr>
                <w:rFonts w:ascii="Times New Roman" w:hAnsi="Times New Roman" w:cs="Times New Roman"/>
                <w:spacing w:val="-2"/>
                <w:sz w:val="21"/>
                <w:szCs w:val="21"/>
                <w:lang w:eastAsia="zh-CN"/>
              </w:rPr>
            </w:pPr>
            <w:r>
              <w:rPr>
                <w:rFonts w:ascii="Times New Roman" w:hAnsi="Times New Roman" w:cs="Times New Roman"/>
                <w:spacing w:val="-2"/>
                <w:sz w:val="21"/>
                <w:szCs w:val="21"/>
              </w:rPr>
              <w:t>静压法</w:t>
            </w:r>
          </w:p>
        </w:tc>
      </w:tr>
      <w:tr w14:paraId="5D4231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454" w:hRule="atLeast"/>
          <w:tblHeader/>
          <w:jc w:val="center"/>
        </w:trPr>
        <w:tc>
          <w:tcPr>
            <w:tcW w:w="1674" w:type="dxa"/>
            <w:gridSpan w:val="2"/>
            <w:vMerge w:val="continue"/>
            <w:tcBorders>
              <w:tl2br w:val="nil"/>
              <w:tr2bl w:val="nil"/>
            </w:tcBorders>
            <w:vAlign w:val="center"/>
          </w:tcPr>
          <w:p w14:paraId="52C28669">
            <w:pPr>
              <w:autoSpaceDE w:val="0"/>
              <w:autoSpaceDN w:val="0"/>
              <w:spacing w:line="240" w:lineRule="auto"/>
              <w:ind w:firstLine="0"/>
              <w:jc w:val="center"/>
              <w:rPr>
                <w:sz w:val="21"/>
                <w:szCs w:val="21"/>
                <w:lang w:eastAsia="en-US"/>
              </w:rPr>
            </w:pPr>
          </w:p>
        </w:tc>
        <w:tc>
          <w:tcPr>
            <w:tcW w:w="1007" w:type="dxa"/>
            <w:tcBorders>
              <w:tl2br w:val="nil"/>
              <w:tr2bl w:val="nil"/>
            </w:tcBorders>
            <w:vAlign w:val="center"/>
          </w:tcPr>
          <w:p w14:paraId="53DC9DBF">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2"/>
                <w:sz w:val="21"/>
                <w:szCs w:val="21"/>
              </w:rPr>
              <w:t>柴油锤</w:t>
            </w:r>
          </w:p>
        </w:tc>
        <w:tc>
          <w:tcPr>
            <w:tcW w:w="878" w:type="dxa"/>
            <w:tcBorders>
              <w:tl2br w:val="nil"/>
              <w:tr2bl w:val="nil"/>
            </w:tcBorders>
            <w:vAlign w:val="center"/>
          </w:tcPr>
          <w:p w14:paraId="5D8C4EE5">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3"/>
                <w:sz w:val="21"/>
                <w:szCs w:val="21"/>
              </w:rPr>
              <w:t>蒸汽锤</w:t>
            </w:r>
          </w:p>
        </w:tc>
        <w:tc>
          <w:tcPr>
            <w:tcW w:w="1021" w:type="dxa"/>
            <w:tcBorders>
              <w:tl2br w:val="nil"/>
              <w:tr2bl w:val="nil"/>
            </w:tcBorders>
            <w:vAlign w:val="center"/>
          </w:tcPr>
          <w:p w14:paraId="52B51DE2">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2"/>
                <w:sz w:val="21"/>
                <w:szCs w:val="21"/>
              </w:rPr>
              <w:t>液压锤</w:t>
            </w:r>
          </w:p>
        </w:tc>
        <w:tc>
          <w:tcPr>
            <w:tcW w:w="1097" w:type="dxa"/>
            <w:tcBorders>
              <w:tl2br w:val="nil"/>
              <w:tr2bl w:val="nil"/>
            </w:tcBorders>
            <w:vAlign w:val="center"/>
          </w:tcPr>
          <w:p w14:paraId="7362976A">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3"/>
                <w:sz w:val="21"/>
                <w:szCs w:val="21"/>
              </w:rPr>
              <w:t>落锤</w:t>
            </w:r>
          </w:p>
        </w:tc>
        <w:tc>
          <w:tcPr>
            <w:tcW w:w="1307" w:type="dxa"/>
            <w:tcBorders>
              <w:tl2br w:val="nil"/>
              <w:tr2bl w:val="nil"/>
            </w:tcBorders>
            <w:vAlign w:val="center"/>
          </w:tcPr>
          <w:p w14:paraId="25FCEF7B">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2"/>
                <w:sz w:val="21"/>
                <w:szCs w:val="21"/>
              </w:rPr>
              <w:t>振动锤</w:t>
            </w:r>
          </w:p>
        </w:tc>
        <w:tc>
          <w:tcPr>
            <w:tcW w:w="1520" w:type="dxa"/>
            <w:tcBorders>
              <w:tl2br w:val="nil"/>
              <w:tr2bl w:val="nil"/>
            </w:tcBorders>
            <w:vAlign w:val="center"/>
          </w:tcPr>
          <w:p w14:paraId="0E8B5856">
            <w:pPr>
              <w:pStyle w:val="30"/>
              <w:autoSpaceDE w:val="0"/>
              <w:autoSpaceDN w:val="0"/>
              <w:spacing w:line="240" w:lineRule="auto"/>
              <w:ind w:firstLine="0"/>
              <w:jc w:val="center"/>
              <w:rPr>
                <w:rFonts w:ascii="Times New Roman" w:hAnsi="Times New Roman" w:cs="Times New Roman"/>
                <w:spacing w:val="-2"/>
                <w:sz w:val="21"/>
                <w:szCs w:val="21"/>
              </w:rPr>
            </w:pPr>
            <w:r>
              <w:rPr>
                <w:rFonts w:ascii="Times New Roman" w:hAnsi="Times New Roman" w:cs="Times New Roman"/>
                <w:spacing w:val="-2"/>
                <w:sz w:val="21"/>
                <w:szCs w:val="21"/>
              </w:rPr>
              <w:t>液压静压机</w:t>
            </w:r>
          </w:p>
        </w:tc>
      </w:tr>
      <w:tr w14:paraId="6A4376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603" w:type="dxa"/>
            <w:vMerge w:val="restart"/>
            <w:tcBorders>
              <w:tl2br w:val="nil"/>
              <w:tr2bl w:val="nil"/>
            </w:tcBorders>
            <w:textDirection w:val="tbRlV"/>
            <w:vAlign w:val="center"/>
          </w:tcPr>
          <w:p w14:paraId="139F65B6">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1"/>
                <w:sz w:val="21"/>
                <w:szCs w:val="21"/>
                <w:lang w:eastAsia="zh-CN"/>
              </w:rPr>
              <w:t>土层条件</w:t>
            </w:r>
          </w:p>
        </w:tc>
        <w:tc>
          <w:tcPr>
            <w:tcW w:w="1071" w:type="dxa"/>
            <w:tcBorders>
              <w:tl2br w:val="nil"/>
              <w:tr2bl w:val="nil"/>
            </w:tcBorders>
            <w:vAlign w:val="center"/>
          </w:tcPr>
          <w:p w14:paraId="4B2E5C27">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3"/>
                <w:sz w:val="21"/>
                <w:szCs w:val="21"/>
              </w:rPr>
              <w:t>软</w:t>
            </w:r>
            <w:r>
              <w:rPr>
                <w:rFonts w:ascii="Times New Roman" w:hAnsi="Times New Roman" w:cs="Times New Roman"/>
                <w:spacing w:val="-3"/>
                <w:sz w:val="21"/>
                <w:szCs w:val="21"/>
                <w:lang w:eastAsia="zh-CN"/>
              </w:rPr>
              <w:t>弱</w:t>
            </w:r>
            <w:r>
              <w:rPr>
                <w:rFonts w:ascii="Times New Roman" w:hAnsi="Times New Roman" w:cs="Times New Roman"/>
                <w:spacing w:val="-3"/>
                <w:sz w:val="21"/>
                <w:szCs w:val="21"/>
              </w:rPr>
              <w:t>土</w:t>
            </w:r>
          </w:p>
        </w:tc>
        <w:tc>
          <w:tcPr>
            <w:tcW w:w="1007" w:type="dxa"/>
            <w:tcBorders>
              <w:tl2br w:val="nil"/>
              <w:tr2bl w:val="nil"/>
            </w:tcBorders>
            <w:vAlign w:val="center"/>
          </w:tcPr>
          <w:p w14:paraId="73BFF633">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3"/>
                <w:sz w:val="21"/>
                <w:szCs w:val="21"/>
              </w:rPr>
              <w:t>不适合</w:t>
            </w:r>
          </w:p>
        </w:tc>
        <w:tc>
          <w:tcPr>
            <w:tcW w:w="878" w:type="dxa"/>
            <w:tcBorders>
              <w:tl2br w:val="nil"/>
              <w:tr2bl w:val="nil"/>
            </w:tcBorders>
            <w:vAlign w:val="center"/>
          </w:tcPr>
          <w:p w14:paraId="6EF79B19">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3"/>
                <w:sz w:val="21"/>
                <w:szCs w:val="21"/>
              </w:rPr>
              <w:t>不适合</w:t>
            </w:r>
          </w:p>
        </w:tc>
        <w:tc>
          <w:tcPr>
            <w:tcW w:w="1021" w:type="dxa"/>
            <w:tcBorders>
              <w:tl2br w:val="nil"/>
              <w:tr2bl w:val="nil"/>
            </w:tcBorders>
            <w:vAlign w:val="center"/>
          </w:tcPr>
          <w:p w14:paraId="432C8BE7">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3"/>
                <w:sz w:val="21"/>
                <w:szCs w:val="21"/>
              </w:rPr>
              <w:t>不适合</w:t>
            </w:r>
          </w:p>
        </w:tc>
        <w:tc>
          <w:tcPr>
            <w:tcW w:w="1097" w:type="dxa"/>
            <w:tcBorders>
              <w:tl2br w:val="nil"/>
              <w:tr2bl w:val="nil"/>
            </w:tcBorders>
            <w:vAlign w:val="center"/>
          </w:tcPr>
          <w:p w14:paraId="349C9DEF">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2"/>
                <w:sz w:val="21"/>
                <w:szCs w:val="21"/>
              </w:rPr>
              <w:t>适合</w:t>
            </w:r>
          </w:p>
        </w:tc>
        <w:tc>
          <w:tcPr>
            <w:tcW w:w="1307" w:type="dxa"/>
            <w:tcBorders>
              <w:tl2br w:val="nil"/>
              <w:tr2bl w:val="nil"/>
            </w:tcBorders>
            <w:vAlign w:val="center"/>
          </w:tcPr>
          <w:p w14:paraId="43BEA28D">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2"/>
                <w:sz w:val="21"/>
                <w:szCs w:val="21"/>
              </w:rPr>
              <w:t>适合</w:t>
            </w:r>
          </w:p>
        </w:tc>
        <w:tc>
          <w:tcPr>
            <w:tcW w:w="1520" w:type="dxa"/>
            <w:tcBorders>
              <w:tl2br w:val="nil"/>
              <w:tr2bl w:val="nil"/>
            </w:tcBorders>
            <w:vAlign w:val="center"/>
          </w:tcPr>
          <w:p w14:paraId="4F2D5D40">
            <w:pPr>
              <w:pStyle w:val="30"/>
              <w:autoSpaceDE w:val="0"/>
              <w:autoSpaceDN w:val="0"/>
              <w:spacing w:line="240" w:lineRule="auto"/>
              <w:ind w:firstLine="0"/>
              <w:jc w:val="center"/>
              <w:rPr>
                <w:rFonts w:ascii="Times New Roman" w:hAnsi="Times New Roman" w:cs="Times New Roman"/>
                <w:spacing w:val="-2"/>
                <w:sz w:val="21"/>
                <w:szCs w:val="21"/>
              </w:rPr>
            </w:pPr>
            <w:r>
              <w:rPr>
                <w:rFonts w:ascii="Times New Roman" w:hAnsi="Times New Roman" w:cs="Times New Roman"/>
                <w:spacing w:val="-2"/>
                <w:sz w:val="21"/>
                <w:szCs w:val="21"/>
              </w:rPr>
              <w:t>适合</w:t>
            </w:r>
          </w:p>
        </w:tc>
      </w:tr>
      <w:tr w14:paraId="698835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603" w:type="dxa"/>
            <w:vMerge w:val="continue"/>
            <w:tcBorders>
              <w:tl2br w:val="nil"/>
              <w:tr2bl w:val="nil"/>
            </w:tcBorders>
            <w:textDirection w:val="tbRlV"/>
            <w:vAlign w:val="center"/>
          </w:tcPr>
          <w:p w14:paraId="5C33C9E3">
            <w:pPr>
              <w:autoSpaceDE w:val="0"/>
              <w:autoSpaceDN w:val="0"/>
              <w:spacing w:line="240" w:lineRule="auto"/>
              <w:ind w:firstLine="0"/>
              <w:jc w:val="center"/>
              <w:rPr>
                <w:sz w:val="21"/>
                <w:szCs w:val="21"/>
                <w:lang w:eastAsia="en-US"/>
              </w:rPr>
            </w:pPr>
          </w:p>
        </w:tc>
        <w:tc>
          <w:tcPr>
            <w:tcW w:w="1071" w:type="dxa"/>
            <w:tcBorders>
              <w:tl2br w:val="nil"/>
              <w:tr2bl w:val="nil"/>
            </w:tcBorders>
            <w:vAlign w:val="center"/>
          </w:tcPr>
          <w:p w14:paraId="40CA6D42">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2"/>
                <w:sz w:val="21"/>
                <w:szCs w:val="21"/>
              </w:rPr>
              <w:t>一般土层</w:t>
            </w:r>
          </w:p>
        </w:tc>
        <w:tc>
          <w:tcPr>
            <w:tcW w:w="1007" w:type="dxa"/>
            <w:tcBorders>
              <w:tl2br w:val="nil"/>
              <w:tr2bl w:val="nil"/>
            </w:tcBorders>
            <w:vAlign w:val="center"/>
          </w:tcPr>
          <w:p w14:paraId="358017FC">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2"/>
                <w:sz w:val="21"/>
                <w:szCs w:val="21"/>
              </w:rPr>
              <w:t>适合</w:t>
            </w:r>
          </w:p>
        </w:tc>
        <w:tc>
          <w:tcPr>
            <w:tcW w:w="878" w:type="dxa"/>
            <w:tcBorders>
              <w:tl2br w:val="nil"/>
              <w:tr2bl w:val="nil"/>
            </w:tcBorders>
            <w:vAlign w:val="center"/>
          </w:tcPr>
          <w:p w14:paraId="42D9D6F6">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2"/>
                <w:sz w:val="21"/>
                <w:szCs w:val="21"/>
              </w:rPr>
              <w:t>适合</w:t>
            </w:r>
          </w:p>
        </w:tc>
        <w:tc>
          <w:tcPr>
            <w:tcW w:w="1021" w:type="dxa"/>
            <w:tcBorders>
              <w:tl2br w:val="nil"/>
              <w:tr2bl w:val="nil"/>
            </w:tcBorders>
            <w:vAlign w:val="center"/>
          </w:tcPr>
          <w:p w14:paraId="616F9963">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2"/>
                <w:sz w:val="21"/>
                <w:szCs w:val="21"/>
              </w:rPr>
              <w:t>适合</w:t>
            </w:r>
          </w:p>
        </w:tc>
        <w:tc>
          <w:tcPr>
            <w:tcW w:w="1097" w:type="dxa"/>
            <w:tcBorders>
              <w:tl2br w:val="nil"/>
              <w:tr2bl w:val="nil"/>
            </w:tcBorders>
            <w:vAlign w:val="center"/>
          </w:tcPr>
          <w:p w14:paraId="5115BCA5">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2"/>
                <w:sz w:val="21"/>
                <w:szCs w:val="21"/>
              </w:rPr>
              <w:t>适合</w:t>
            </w:r>
          </w:p>
        </w:tc>
        <w:tc>
          <w:tcPr>
            <w:tcW w:w="1307" w:type="dxa"/>
            <w:tcBorders>
              <w:tl2br w:val="nil"/>
              <w:tr2bl w:val="nil"/>
            </w:tcBorders>
            <w:vAlign w:val="center"/>
          </w:tcPr>
          <w:p w14:paraId="4F8EF09D">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2"/>
                <w:sz w:val="21"/>
                <w:szCs w:val="21"/>
              </w:rPr>
              <w:t>适合</w:t>
            </w:r>
          </w:p>
        </w:tc>
        <w:tc>
          <w:tcPr>
            <w:tcW w:w="1520" w:type="dxa"/>
            <w:tcBorders>
              <w:tl2br w:val="nil"/>
              <w:tr2bl w:val="nil"/>
            </w:tcBorders>
            <w:vAlign w:val="center"/>
          </w:tcPr>
          <w:p w14:paraId="24DFC77D">
            <w:pPr>
              <w:pStyle w:val="30"/>
              <w:autoSpaceDE w:val="0"/>
              <w:autoSpaceDN w:val="0"/>
              <w:spacing w:line="240" w:lineRule="auto"/>
              <w:ind w:firstLine="0"/>
              <w:jc w:val="center"/>
              <w:rPr>
                <w:rFonts w:ascii="Times New Roman" w:hAnsi="Times New Roman" w:cs="Times New Roman"/>
                <w:spacing w:val="-2"/>
                <w:sz w:val="21"/>
                <w:szCs w:val="21"/>
              </w:rPr>
            </w:pPr>
            <w:r>
              <w:rPr>
                <w:rFonts w:ascii="Times New Roman" w:hAnsi="Times New Roman" w:cs="Times New Roman"/>
                <w:spacing w:val="-2"/>
                <w:sz w:val="21"/>
                <w:szCs w:val="21"/>
              </w:rPr>
              <w:t>适合</w:t>
            </w:r>
          </w:p>
        </w:tc>
      </w:tr>
      <w:tr w14:paraId="7C7084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603" w:type="dxa"/>
            <w:vMerge w:val="continue"/>
            <w:tcBorders>
              <w:tl2br w:val="nil"/>
              <w:tr2bl w:val="nil"/>
            </w:tcBorders>
            <w:textDirection w:val="tbRlV"/>
            <w:vAlign w:val="center"/>
          </w:tcPr>
          <w:p w14:paraId="14DBE66E">
            <w:pPr>
              <w:autoSpaceDE w:val="0"/>
              <w:autoSpaceDN w:val="0"/>
              <w:spacing w:line="240" w:lineRule="auto"/>
              <w:ind w:firstLine="0"/>
              <w:jc w:val="center"/>
              <w:rPr>
                <w:sz w:val="21"/>
                <w:szCs w:val="21"/>
                <w:lang w:eastAsia="en-US"/>
              </w:rPr>
            </w:pPr>
          </w:p>
        </w:tc>
        <w:tc>
          <w:tcPr>
            <w:tcW w:w="1071" w:type="dxa"/>
            <w:tcBorders>
              <w:tl2br w:val="nil"/>
              <w:tr2bl w:val="nil"/>
            </w:tcBorders>
            <w:vAlign w:val="center"/>
          </w:tcPr>
          <w:p w14:paraId="365F05DE">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2"/>
                <w:sz w:val="21"/>
                <w:szCs w:val="21"/>
              </w:rPr>
              <w:t>硬质土</w:t>
            </w:r>
          </w:p>
        </w:tc>
        <w:tc>
          <w:tcPr>
            <w:tcW w:w="1007" w:type="dxa"/>
            <w:tcBorders>
              <w:tl2br w:val="nil"/>
              <w:tr2bl w:val="nil"/>
            </w:tcBorders>
            <w:vAlign w:val="center"/>
          </w:tcPr>
          <w:p w14:paraId="4D4C7733">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8"/>
                <w:sz w:val="21"/>
                <w:szCs w:val="21"/>
              </w:rPr>
              <w:t>可以</w:t>
            </w:r>
          </w:p>
        </w:tc>
        <w:tc>
          <w:tcPr>
            <w:tcW w:w="878" w:type="dxa"/>
            <w:tcBorders>
              <w:tl2br w:val="nil"/>
              <w:tr2bl w:val="nil"/>
            </w:tcBorders>
            <w:vAlign w:val="center"/>
          </w:tcPr>
          <w:p w14:paraId="41A3423D">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8"/>
                <w:sz w:val="21"/>
                <w:szCs w:val="21"/>
              </w:rPr>
              <w:t>可以</w:t>
            </w:r>
          </w:p>
        </w:tc>
        <w:tc>
          <w:tcPr>
            <w:tcW w:w="1021" w:type="dxa"/>
            <w:tcBorders>
              <w:tl2br w:val="nil"/>
              <w:tr2bl w:val="nil"/>
            </w:tcBorders>
            <w:vAlign w:val="center"/>
          </w:tcPr>
          <w:p w14:paraId="7D8758EE">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8"/>
                <w:sz w:val="21"/>
                <w:szCs w:val="21"/>
              </w:rPr>
              <w:t>可以</w:t>
            </w:r>
          </w:p>
        </w:tc>
        <w:tc>
          <w:tcPr>
            <w:tcW w:w="1097" w:type="dxa"/>
            <w:tcBorders>
              <w:tl2br w:val="nil"/>
              <w:tr2bl w:val="nil"/>
            </w:tcBorders>
            <w:vAlign w:val="center"/>
          </w:tcPr>
          <w:p w14:paraId="711FEA60">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3"/>
                <w:sz w:val="21"/>
                <w:szCs w:val="21"/>
              </w:rPr>
              <w:t>不适合</w:t>
            </w:r>
          </w:p>
        </w:tc>
        <w:tc>
          <w:tcPr>
            <w:tcW w:w="1307" w:type="dxa"/>
            <w:tcBorders>
              <w:tl2br w:val="nil"/>
              <w:tr2bl w:val="nil"/>
            </w:tcBorders>
            <w:vAlign w:val="center"/>
          </w:tcPr>
          <w:p w14:paraId="1F9E2A3A">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8"/>
                <w:sz w:val="21"/>
                <w:szCs w:val="21"/>
              </w:rPr>
              <w:t>可以</w:t>
            </w:r>
          </w:p>
        </w:tc>
        <w:tc>
          <w:tcPr>
            <w:tcW w:w="1520" w:type="dxa"/>
            <w:tcBorders>
              <w:tl2br w:val="nil"/>
              <w:tr2bl w:val="nil"/>
            </w:tcBorders>
            <w:vAlign w:val="center"/>
          </w:tcPr>
          <w:p w14:paraId="33D0A979">
            <w:pPr>
              <w:pStyle w:val="30"/>
              <w:autoSpaceDE w:val="0"/>
              <w:autoSpaceDN w:val="0"/>
              <w:spacing w:line="240" w:lineRule="auto"/>
              <w:ind w:firstLine="0"/>
              <w:jc w:val="center"/>
              <w:rPr>
                <w:rFonts w:ascii="Times New Roman" w:hAnsi="Times New Roman" w:cs="Times New Roman"/>
                <w:spacing w:val="-3"/>
                <w:sz w:val="21"/>
                <w:szCs w:val="21"/>
              </w:rPr>
            </w:pPr>
            <w:r>
              <w:rPr>
                <w:rFonts w:ascii="Times New Roman" w:hAnsi="Times New Roman" w:cs="Times New Roman"/>
                <w:spacing w:val="-3"/>
                <w:sz w:val="21"/>
                <w:szCs w:val="21"/>
              </w:rPr>
              <w:t>不适合</w:t>
            </w:r>
          </w:p>
        </w:tc>
      </w:tr>
      <w:tr w14:paraId="7AEE4E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jc w:val="center"/>
        </w:trPr>
        <w:tc>
          <w:tcPr>
            <w:tcW w:w="603" w:type="dxa"/>
            <w:vMerge w:val="restart"/>
            <w:tcBorders>
              <w:tl2br w:val="nil"/>
              <w:tr2bl w:val="nil"/>
            </w:tcBorders>
            <w:textDirection w:val="tbRlV"/>
            <w:vAlign w:val="center"/>
          </w:tcPr>
          <w:p w14:paraId="3E9EC854">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11"/>
                <w:sz w:val="21"/>
                <w:szCs w:val="21"/>
              </w:rPr>
              <w:t>场地条件</w:t>
            </w:r>
          </w:p>
        </w:tc>
        <w:tc>
          <w:tcPr>
            <w:tcW w:w="1071" w:type="dxa"/>
            <w:tcBorders>
              <w:tl2br w:val="nil"/>
              <w:tr2bl w:val="nil"/>
            </w:tcBorders>
            <w:vAlign w:val="center"/>
          </w:tcPr>
          <w:p w14:paraId="3ED1E1BC">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2"/>
                <w:sz w:val="21"/>
                <w:szCs w:val="21"/>
              </w:rPr>
              <w:t>设施规模</w:t>
            </w:r>
          </w:p>
        </w:tc>
        <w:tc>
          <w:tcPr>
            <w:tcW w:w="1007" w:type="dxa"/>
            <w:tcBorders>
              <w:tl2br w:val="nil"/>
              <w:tr2bl w:val="nil"/>
            </w:tcBorders>
            <w:vAlign w:val="center"/>
          </w:tcPr>
          <w:p w14:paraId="59367011">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大</w:t>
            </w:r>
          </w:p>
        </w:tc>
        <w:tc>
          <w:tcPr>
            <w:tcW w:w="878" w:type="dxa"/>
            <w:tcBorders>
              <w:tl2br w:val="nil"/>
              <w:tr2bl w:val="nil"/>
            </w:tcBorders>
            <w:vAlign w:val="center"/>
          </w:tcPr>
          <w:p w14:paraId="6BC81D33">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大</w:t>
            </w:r>
          </w:p>
        </w:tc>
        <w:tc>
          <w:tcPr>
            <w:tcW w:w="1021" w:type="dxa"/>
            <w:tcBorders>
              <w:tl2br w:val="nil"/>
              <w:tr2bl w:val="nil"/>
            </w:tcBorders>
            <w:vAlign w:val="center"/>
          </w:tcPr>
          <w:p w14:paraId="256FF2C6">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大</w:t>
            </w:r>
          </w:p>
        </w:tc>
        <w:tc>
          <w:tcPr>
            <w:tcW w:w="1097" w:type="dxa"/>
            <w:tcBorders>
              <w:tl2br w:val="nil"/>
              <w:tr2bl w:val="nil"/>
            </w:tcBorders>
            <w:vAlign w:val="center"/>
          </w:tcPr>
          <w:p w14:paraId="7ED184BF">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小</w:t>
            </w:r>
          </w:p>
        </w:tc>
        <w:tc>
          <w:tcPr>
            <w:tcW w:w="1307" w:type="dxa"/>
            <w:tcBorders>
              <w:tl2br w:val="nil"/>
              <w:tr2bl w:val="nil"/>
            </w:tcBorders>
            <w:vAlign w:val="center"/>
          </w:tcPr>
          <w:p w14:paraId="65A37A86">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大</w:t>
            </w:r>
          </w:p>
        </w:tc>
        <w:tc>
          <w:tcPr>
            <w:tcW w:w="1520" w:type="dxa"/>
            <w:tcBorders>
              <w:tl2br w:val="nil"/>
              <w:tr2bl w:val="nil"/>
            </w:tcBorders>
            <w:vAlign w:val="center"/>
          </w:tcPr>
          <w:p w14:paraId="78E24892">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中</w:t>
            </w:r>
          </w:p>
        </w:tc>
      </w:tr>
      <w:tr w14:paraId="6BFEE8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603" w:type="dxa"/>
            <w:vMerge w:val="continue"/>
            <w:tcBorders>
              <w:tl2br w:val="nil"/>
              <w:tr2bl w:val="nil"/>
            </w:tcBorders>
            <w:textDirection w:val="tbRlV"/>
            <w:vAlign w:val="center"/>
          </w:tcPr>
          <w:p w14:paraId="6F741DFA">
            <w:pPr>
              <w:autoSpaceDE w:val="0"/>
              <w:autoSpaceDN w:val="0"/>
              <w:spacing w:line="240" w:lineRule="auto"/>
              <w:ind w:firstLine="0"/>
              <w:jc w:val="center"/>
              <w:rPr>
                <w:sz w:val="21"/>
                <w:szCs w:val="21"/>
                <w:lang w:eastAsia="en-US"/>
              </w:rPr>
            </w:pPr>
          </w:p>
        </w:tc>
        <w:tc>
          <w:tcPr>
            <w:tcW w:w="1071" w:type="dxa"/>
            <w:tcBorders>
              <w:tl2br w:val="nil"/>
              <w:tr2bl w:val="nil"/>
            </w:tcBorders>
            <w:vAlign w:val="center"/>
          </w:tcPr>
          <w:p w14:paraId="5733360A">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6"/>
                <w:sz w:val="21"/>
                <w:szCs w:val="21"/>
              </w:rPr>
              <w:t>噪声</w:t>
            </w:r>
          </w:p>
        </w:tc>
        <w:tc>
          <w:tcPr>
            <w:tcW w:w="1007" w:type="dxa"/>
            <w:tcBorders>
              <w:tl2br w:val="nil"/>
              <w:tr2bl w:val="nil"/>
            </w:tcBorders>
            <w:vAlign w:val="center"/>
          </w:tcPr>
          <w:p w14:paraId="38EA88E9">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大</w:t>
            </w:r>
          </w:p>
        </w:tc>
        <w:tc>
          <w:tcPr>
            <w:tcW w:w="878" w:type="dxa"/>
            <w:tcBorders>
              <w:tl2br w:val="nil"/>
              <w:tr2bl w:val="nil"/>
            </w:tcBorders>
            <w:vAlign w:val="center"/>
          </w:tcPr>
          <w:p w14:paraId="08FFDE5A">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大</w:t>
            </w:r>
          </w:p>
        </w:tc>
        <w:tc>
          <w:tcPr>
            <w:tcW w:w="1021" w:type="dxa"/>
            <w:tcBorders>
              <w:tl2br w:val="nil"/>
              <w:tr2bl w:val="nil"/>
            </w:tcBorders>
            <w:vAlign w:val="center"/>
          </w:tcPr>
          <w:p w14:paraId="4721A214">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中</w:t>
            </w:r>
          </w:p>
        </w:tc>
        <w:tc>
          <w:tcPr>
            <w:tcW w:w="1097" w:type="dxa"/>
            <w:tcBorders>
              <w:tl2br w:val="nil"/>
              <w:tr2bl w:val="nil"/>
            </w:tcBorders>
            <w:vAlign w:val="center"/>
          </w:tcPr>
          <w:p w14:paraId="2D703E2F">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中</w:t>
            </w:r>
          </w:p>
        </w:tc>
        <w:tc>
          <w:tcPr>
            <w:tcW w:w="1307" w:type="dxa"/>
            <w:tcBorders>
              <w:tl2br w:val="nil"/>
              <w:tr2bl w:val="nil"/>
            </w:tcBorders>
            <w:vAlign w:val="center"/>
          </w:tcPr>
          <w:p w14:paraId="209F3D44">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中</w:t>
            </w:r>
          </w:p>
        </w:tc>
        <w:tc>
          <w:tcPr>
            <w:tcW w:w="1520" w:type="dxa"/>
            <w:tcBorders>
              <w:tl2br w:val="nil"/>
              <w:tr2bl w:val="nil"/>
            </w:tcBorders>
            <w:vAlign w:val="center"/>
          </w:tcPr>
          <w:p w14:paraId="17EFBFE8">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小</w:t>
            </w:r>
          </w:p>
        </w:tc>
      </w:tr>
      <w:tr w14:paraId="0545EE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603" w:type="dxa"/>
            <w:vMerge w:val="continue"/>
            <w:tcBorders>
              <w:tl2br w:val="nil"/>
              <w:tr2bl w:val="nil"/>
            </w:tcBorders>
            <w:textDirection w:val="tbRlV"/>
            <w:vAlign w:val="center"/>
          </w:tcPr>
          <w:p w14:paraId="15CD02CE">
            <w:pPr>
              <w:autoSpaceDE w:val="0"/>
              <w:autoSpaceDN w:val="0"/>
              <w:spacing w:line="240" w:lineRule="auto"/>
              <w:ind w:firstLine="0"/>
              <w:jc w:val="center"/>
              <w:rPr>
                <w:sz w:val="21"/>
                <w:szCs w:val="21"/>
                <w:lang w:eastAsia="en-US"/>
              </w:rPr>
            </w:pPr>
          </w:p>
        </w:tc>
        <w:tc>
          <w:tcPr>
            <w:tcW w:w="1071" w:type="dxa"/>
            <w:tcBorders>
              <w:tl2br w:val="nil"/>
              <w:tr2bl w:val="nil"/>
            </w:tcBorders>
            <w:vAlign w:val="center"/>
          </w:tcPr>
          <w:p w14:paraId="32175FCE">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2"/>
                <w:sz w:val="21"/>
                <w:szCs w:val="21"/>
              </w:rPr>
              <w:t>振动</w:t>
            </w:r>
          </w:p>
        </w:tc>
        <w:tc>
          <w:tcPr>
            <w:tcW w:w="1007" w:type="dxa"/>
            <w:tcBorders>
              <w:tl2br w:val="nil"/>
              <w:tr2bl w:val="nil"/>
            </w:tcBorders>
            <w:vAlign w:val="center"/>
          </w:tcPr>
          <w:p w14:paraId="0D2DFC28">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大</w:t>
            </w:r>
          </w:p>
        </w:tc>
        <w:tc>
          <w:tcPr>
            <w:tcW w:w="878" w:type="dxa"/>
            <w:tcBorders>
              <w:tl2br w:val="nil"/>
              <w:tr2bl w:val="nil"/>
            </w:tcBorders>
            <w:vAlign w:val="center"/>
          </w:tcPr>
          <w:p w14:paraId="20F77742">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大</w:t>
            </w:r>
          </w:p>
        </w:tc>
        <w:tc>
          <w:tcPr>
            <w:tcW w:w="1021" w:type="dxa"/>
            <w:tcBorders>
              <w:tl2br w:val="nil"/>
              <w:tr2bl w:val="nil"/>
            </w:tcBorders>
            <w:vAlign w:val="center"/>
          </w:tcPr>
          <w:p w14:paraId="1040CED5">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大</w:t>
            </w:r>
          </w:p>
        </w:tc>
        <w:tc>
          <w:tcPr>
            <w:tcW w:w="1097" w:type="dxa"/>
            <w:tcBorders>
              <w:tl2br w:val="nil"/>
              <w:tr2bl w:val="nil"/>
            </w:tcBorders>
            <w:vAlign w:val="center"/>
          </w:tcPr>
          <w:p w14:paraId="4C7AB109">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中</w:t>
            </w:r>
          </w:p>
        </w:tc>
        <w:tc>
          <w:tcPr>
            <w:tcW w:w="1307" w:type="dxa"/>
            <w:tcBorders>
              <w:tl2br w:val="nil"/>
              <w:tr2bl w:val="nil"/>
            </w:tcBorders>
            <w:vAlign w:val="center"/>
          </w:tcPr>
          <w:p w14:paraId="281AFD50">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大</w:t>
            </w:r>
          </w:p>
        </w:tc>
        <w:tc>
          <w:tcPr>
            <w:tcW w:w="1520" w:type="dxa"/>
            <w:tcBorders>
              <w:tl2br w:val="nil"/>
              <w:tr2bl w:val="nil"/>
            </w:tcBorders>
            <w:vAlign w:val="center"/>
          </w:tcPr>
          <w:p w14:paraId="1A49FD12">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小</w:t>
            </w:r>
          </w:p>
        </w:tc>
      </w:tr>
      <w:tr w14:paraId="3F3326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603" w:type="dxa"/>
            <w:vMerge w:val="continue"/>
            <w:tcBorders>
              <w:tl2br w:val="nil"/>
              <w:tr2bl w:val="nil"/>
            </w:tcBorders>
            <w:textDirection w:val="tbRlV"/>
            <w:vAlign w:val="center"/>
          </w:tcPr>
          <w:p w14:paraId="3C6FF9A6">
            <w:pPr>
              <w:autoSpaceDE w:val="0"/>
              <w:autoSpaceDN w:val="0"/>
              <w:spacing w:line="240" w:lineRule="auto"/>
              <w:ind w:firstLine="0"/>
              <w:jc w:val="center"/>
              <w:rPr>
                <w:sz w:val="21"/>
                <w:szCs w:val="21"/>
                <w:lang w:eastAsia="en-US"/>
              </w:rPr>
            </w:pPr>
          </w:p>
        </w:tc>
        <w:tc>
          <w:tcPr>
            <w:tcW w:w="1071" w:type="dxa"/>
            <w:tcBorders>
              <w:tl2br w:val="nil"/>
              <w:tr2bl w:val="nil"/>
            </w:tcBorders>
            <w:vAlign w:val="center"/>
          </w:tcPr>
          <w:p w14:paraId="0EBD308B">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3"/>
                <w:sz w:val="21"/>
                <w:szCs w:val="21"/>
              </w:rPr>
              <w:t>耗能</w:t>
            </w:r>
          </w:p>
        </w:tc>
        <w:tc>
          <w:tcPr>
            <w:tcW w:w="1007" w:type="dxa"/>
            <w:tcBorders>
              <w:tl2br w:val="nil"/>
              <w:tr2bl w:val="nil"/>
            </w:tcBorders>
            <w:vAlign w:val="center"/>
          </w:tcPr>
          <w:p w14:paraId="6120954C">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大</w:t>
            </w:r>
          </w:p>
        </w:tc>
        <w:tc>
          <w:tcPr>
            <w:tcW w:w="878" w:type="dxa"/>
            <w:tcBorders>
              <w:tl2br w:val="nil"/>
              <w:tr2bl w:val="nil"/>
            </w:tcBorders>
            <w:vAlign w:val="center"/>
          </w:tcPr>
          <w:p w14:paraId="4E17A24E">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大</w:t>
            </w:r>
          </w:p>
        </w:tc>
        <w:tc>
          <w:tcPr>
            <w:tcW w:w="1021" w:type="dxa"/>
            <w:tcBorders>
              <w:tl2br w:val="nil"/>
              <w:tr2bl w:val="nil"/>
            </w:tcBorders>
            <w:vAlign w:val="center"/>
          </w:tcPr>
          <w:p w14:paraId="468222D2">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大</w:t>
            </w:r>
          </w:p>
        </w:tc>
        <w:tc>
          <w:tcPr>
            <w:tcW w:w="1097" w:type="dxa"/>
            <w:tcBorders>
              <w:tl2br w:val="nil"/>
              <w:tr2bl w:val="nil"/>
            </w:tcBorders>
            <w:vAlign w:val="center"/>
          </w:tcPr>
          <w:p w14:paraId="4C90DF8B">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小</w:t>
            </w:r>
          </w:p>
        </w:tc>
        <w:tc>
          <w:tcPr>
            <w:tcW w:w="1307" w:type="dxa"/>
            <w:tcBorders>
              <w:tl2br w:val="nil"/>
              <w:tr2bl w:val="nil"/>
            </w:tcBorders>
            <w:vAlign w:val="center"/>
          </w:tcPr>
          <w:p w14:paraId="4C9DC761">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大</w:t>
            </w:r>
          </w:p>
        </w:tc>
        <w:tc>
          <w:tcPr>
            <w:tcW w:w="1520" w:type="dxa"/>
            <w:tcBorders>
              <w:tl2br w:val="nil"/>
              <w:tr2bl w:val="nil"/>
            </w:tcBorders>
            <w:vAlign w:val="center"/>
          </w:tcPr>
          <w:p w14:paraId="532E0B34">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中</w:t>
            </w:r>
          </w:p>
        </w:tc>
      </w:tr>
      <w:tr w14:paraId="5E482B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603" w:type="dxa"/>
            <w:vMerge w:val="continue"/>
            <w:tcBorders>
              <w:tl2br w:val="nil"/>
              <w:tr2bl w:val="nil"/>
            </w:tcBorders>
            <w:textDirection w:val="tbRlV"/>
            <w:vAlign w:val="center"/>
          </w:tcPr>
          <w:p w14:paraId="4A378295">
            <w:pPr>
              <w:autoSpaceDE w:val="0"/>
              <w:autoSpaceDN w:val="0"/>
              <w:spacing w:line="240" w:lineRule="auto"/>
              <w:ind w:firstLine="0"/>
              <w:jc w:val="center"/>
              <w:rPr>
                <w:sz w:val="21"/>
                <w:szCs w:val="21"/>
                <w:lang w:eastAsia="en-US"/>
              </w:rPr>
            </w:pPr>
          </w:p>
        </w:tc>
        <w:tc>
          <w:tcPr>
            <w:tcW w:w="1071" w:type="dxa"/>
            <w:tcBorders>
              <w:tl2br w:val="nil"/>
              <w:tr2bl w:val="nil"/>
            </w:tcBorders>
            <w:vAlign w:val="center"/>
          </w:tcPr>
          <w:p w14:paraId="0AA7C888">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2"/>
                <w:sz w:val="21"/>
                <w:szCs w:val="21"/>
              </w:rPr>
              <w:t>施工速度</w:t>
            </w:r>
          </w:p>
        </w:tc>
        <w:tc>
          <w:tcPr>
            <w:tcW w:w="1007" w:type="dxa"/>
            <w:tcBorders>
              <w:tl2br w:val="nil"/>
              <w:tr2bl w:val="nil"/>
            </w:tcBorders>
            <w:vAlign w:val="center"/>
          </w:tcPr>
          <w:p w14:paraId="7A94A033">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快</w:t>
            </w:r>
          </w:p>
        </w:tc>
        <w:tc>
          <w:tcPr>
            <w:tcW w:w="878" w:type="dxa"/>
            <w:tcBorders>
              <w:tl2br w:val="nil"/>
              <w:tr2bl w:val="nil"/>
            </w:tcBorders>
            <w:vAlign w:val="center"/>
          </w:tcPr>
          <w:p w14:paraId="686F49CA">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快</w:t>
            </w:r>
          </w:p>
        </w:tc>
        <w:tc>
          <w:tcPr>
            <w:tcW w:w="1021" w:type="dxa"/>
            <w:tcBorders>
              <w:tl2br w:val="nil"/>
              <w:tr2bl w:val="nil"/>
            </w:tcBorders>
            <w:vAlign w:val="center"/>
          </w:tcPr>
          <w:p w14:paraId="765F0C5F">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快</w:t>
            </w:r>
          </w:p>
        </w:tc>
        <w:tc>
          <w:tcPr>
            <w:tcW w:w="1097" w:type="dxa"/>
            <w:tcBorders>
              <w:tl2br w:val="nil"/>
              <w:tr2bl w:val="nil"/>
            </w:tcBorders>
            <w:vAlign w:val="center"/>
          </w:tcPr>
          <w:p w14:paraId="6E12B31E">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慢</w:t>
            </w:r>
          </w:p>
        </w:tc>
        <w:tc>
          <w:tcPr>
            <w:tcW w:w="1307" w:type="dxa"/>
            <w:tcBorders>
              <w:tl2br w:val="nil"/>
              <w:tr2bl w:val="nil"/>
            </w:tcBorders>
            <w:vAlign w:val="center"/>
          </w:tcPr>
          <w:p w14:paraId="37AAAADA">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中</w:t>
            </w:r>
          </w:p>
        </w:tc>
        <w:tc>
          <w:tcPr>
            <w:tcW w:w="1520" w:type="dxa"/>
            <w:tcBorders>
              <w:tl2br w:val="nil"/>
              <w:tr2bl w:val="nil"/>
            </w:tcBorders>
            <w:vAlign w:val="center"/>
          </w:tcPr>
          <w:p w14:paraId="28F1B80A">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慢</w:t>
            </w:r>
          </w:p>
        </w:tc>
      </w:tr>
      <w:tr w14:paraId="7CFD2E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079" w:hRule="atLeast"/>
          <w:jc w:val="center"/>
        </w:trPr>
        <w:tc>
          <w:tcPr>
            <w:tcW w:w="603" w:type="dxa"/>
            <w:vMerge w:val="restart"/>
            <w:tcBorders>
              <w:tl2br w:val="nil"/>
              <w:tr2bl w:val="nil"/>
            </w:tcBorders>
            <w:textDirection w:val="tbRlV"/>
            <w:vAlign w:val="center"/>
          </w:tcPr>
          <w:p w14:paraId="468DB34A">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特</w:t>
            </w:r>
            <w:r>
              <w:rPr>
                <w:rFonts w:ascii="Times New Roman" w:hAnsi="Times New Roman" w:cs="Times New Roman"/>
                <w:spacing w:val="53"/>
                <w:sz w:val="21"/>
                <w:szCs w:val="21"/>
              </w:rPr>
              <w:t xml:space="preserve"> </w:t>
            </w:r>
            <w:r>
              <w:rPr>
                <w:rFonts w:ascii="Times New Roman" w:hAnsi="Times New Roman" w:cs="Times New Roman"/>
                <w:sz w:val="21"/>
                <w:szCs w:val="21"/>
              </w:rPr>
              <w:t>点</w:t>
            </w:r>
          </w:p>
        </w:tc>
        <w:tc>
          <w:tcPr>
            <w:tcW w:w="1071" w:type="dxa"/>
            <w:tcBorders>
              <w:tl2br w:val="nil"/>
              <w:tr2bl w:val="nil"/>
            </w:tcBorders>
            <w:vAlign w:val="center"/>
          </w:tcPr>
          <w:p w14:paraId="6BAC8183">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8"/>
                <w:sz w:val="21"/>
                <w:szCs w:val="21"/>
              </w:rPr>
              <w:t>优点</w:t>
            </w:r>
          </w:p>
        </w:tc>
        <w:tc>
          <w:tcPr>
            <w:tcW w:w="1007" w:type="dxa"/>
            <w:tcBorders>
              <w:tl2br w:val="nil"/>
              <w:tr2bl w:val="nil"/>
            </w:tcBorders>
            <w:vAlign w:val="center"/>
          </w:tcPr>
          <w:p w14:paraId="70521057">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2"/>
                <w:sz w:val="21"/>
                <w:szCs w:val="21"/>
              </w:rPr>
              <w:t>效率高</w:t>
            </w:r>
          </w:p>
        </w:tc>
        <w:tc>
          <w:tcPr>
            <w:tcW w:w="878" w:type="dxa"/>
            <w:tcBorders>
              <w:tl2br w:val="nil"/>
              <w:tr2bl w:val="nil"/>
            </w:tcBorders>
            <w:vAlign w:val="center"/>
          </w:tcPr>
          <w:p w14:paraId="093EAA30">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5"/>
                <w:sz w:val="21"/>
                <w:szCs w:val="21"/>
              </w:rPr>
              <w:t>沉桩力</w:t>
            </w:r>
          </w:p>
          <w:p w14:paraId="13901D13">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7"/>
                <w:sz w:val="21"/>
                <w:szCs w:val="21"/>
              </w:rPr>
              <w:t>可调</w:t>
            </w:r>
          </w:p>
        </w:tc>
        <w:tc>
          <w:tcPr>
            <w:tcW w:w="1021" w:type="dxa"/>
            <w:tcBorders>
              <w:tl2br w:val="nil"/>
              <w:tr2bl w:val="nil"/>
            </w:tcBorders>
            <w:vAlign w:val="center"/>
          </w:tcPr>
          <w:p w14:paraId="71EF1EAE">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5"/>
                <w:sz w:val="21"/>
                <w:szCs w:val="21"/>
              </w:rPr>
              <w:t>沉桩力</w:t>
            </w:r>
            <w:r>
              <w:rPr>
                <w:rFonts w:ascii="Times New Roman" w:hAnsi="Times New Roman" w:cs="Times New Roman"/>
                <w:spacing w:val="5"/>
                <w:sz w:val="21"/>
                <w:szCs w:val="21"/>
              </w:rPr>
              <w:br w:type="textWrapping"/>
            </w:r>
            <w:r>
              <w:rPr>
                <w:rFonts w:ascii="Times New Roman" w:hAnsi="Times New Roman" w:cs="Times New Roman"/>
                <w:spacing w:val="5"/>
                <w:sz w:val="21"/>
                <w:szCs w:val="21"/>
              </w:rPr>
              <w:t>可调</w:t>
            </w:r>
          </w:p>
        </w:tc>
        <w:tc>
          <w:tcPr>
            <w:tcW w:w="1097" w:type="dxa"/>
            <w:tcBorders>
              <w:tl2br w:val="nil"/>
              <w:tr2bl w:val="nil"/>
            </w:tcBorders>
            <w:vAlign w:val="center"/>
          </w:tcPr>
          <w:p w14:paraId="5699D41B">
            <w:pPr>
              <w:pStyle w:val="30"/>
              <w:autoSpaceDE w:val="0"/>
              <w:autoSpaceDN w:val="0"/>
              <w:spacing w:line="240" w:lineRule="auto"/>
              <w:ind w:firstLine="0"/>
              <w:jc w:val="center"/>
              <w:rPr>
                <w:rFonts w:ascii="Times New Roman" w:hAnsi="Times New Roman" w:cs="Times New Roman"/>
                <w:sz w:val="21"/>
                <w:szCs w:val="21"/>
                <w:lang w:eastAsia="zh-CN"/>
              </w:rPr>
            </w:pPr>
            <w:r>
              <w:rPr>
                <w:rFonts w:ascii="Times New Roman" w:hAnsi="Times New Roman" w:cs="Times New Roman"/>
                <w:spacing w:val="-15"/>
                <w:sz w:val="21"/>
                <w:szCs w:val="21"/>
                <w:lang w:eastAsia="zh-CN"/>
              </w:rPr>
              <w:t>沉</w:t>
            </w:r>
            <w:r>
              <w:rPr>
                <w:rFonts w:ascii="Times New Roman" w:hAnsi="Times New Roman" w:cs="Times New Roman"/>
                <w:spacing w:val="-14"/>
                <w:sz w:val="21"/>
                <w:szCs w:val="21"/>
                <w:lang w:eastAsia="zh-CN"/>
              </w:rPr>
              <w:t>桩力</w:t>
            </w:r>
            <w:r>
              <w:rPr>
                <w:rFonts w:ascii="Times New Roman" w:hAnsi="Times New Roman" w:cs="Times New Roman"/>
                <w:spacing w:val="-9"/>
                <w:sz w:val="21"/>
                <w:szCs w:val="21"/>
                <w:lang w:eastAsia="zh-CN"/>
              </w:rPr>
              <w:t>可</w:t>
            </w:r>
            <w:r>
              <w:rPr>
                <w:rFonts w:ascii="Times New Roman" w:hAnsi="Times New Roman" w:cs="Times New Roman"/>
                <w:spacing w:val="-15"/>
                <w:sz w:val="21"/>
                <w:szCs w:val="21"/>
                <w:lang w:eastAsia="zh-CN"/>
              </w:rPr>
              <w:t>调</w:t>
            </w:r>
            <w:r>
              <w:rPr>
                <w:rFonts w:ascii="Times New Roman" w:hAnsi="Times New Roman" w:cs="Times New Roman"/>
                <w:spacing w:val="-14"/>
                <w:sz w:val="21"/>
                <w:szCs w:val="21"/>
                <w:lang w:eastAsia="zh-CN"/>
              </w:rPr>
              <w:t>；沉</w:t>
            </w:r>
            <w:r>
              <w:rPr>
                <w:rFonts w:ascii="Times New Roman" w:hAnsi="Times New Roman" w:cs="Times New Roman"/>
                <w:spacing w:val="-9"/>
                <w:sz w:val="21"/>
                <w:szCs w:val="21"/>
                <w:lang w:eastAsia="zh-CN"/>
              </w:rPr>
              <w:t>桩</w:t>
            </w:r>
            <w:r>
              <w:rPr>
                <w:rFonts w:ascii="Times New Roman" w:hAnsi="Times New Roman" w:cs="Times New Roman"/>
                <w:spacing w:val="-15"/>
                <w:sz w:val="21"/>
                <w:szCs w:val="21"/>
                <w:lang w:eastAsia="zh-CN"/>
              </w:rPr>
              <w:t>设</w:t>
            </w:r>
            <w:r>
              <w:rPr>
                <w:rFonts w:ascii="Times New Roman" w:hAnsi="Times New Roman" w:cs="Times New Roman"/>
                <w:spacing w:val="-14"/>
                <w:sz w:val="21"/>
                <w:szCs w:val="21"/>
                <w:lang w:eastAsia="zh-CN"/>
              </w:rPr>
              <w:t>施简</w:t>
            </w:r>
            <w:r>
              <w:rPr>
                <w:rFonts w:ascii="Times New Roman" w:hAnsi="Times New Roman" w:cs="Times New Roman"/>
                <w:spacing w:val="-9"/>
                <w:sz w:val="21"/>
                <w:szCs w:val="21"/>
                <w:lang w:eastAsia="zh-CN"/>
              </w:rPr>
              <w:t>单</w:t>
            </w:r>
          </w:p>
        </w:tc>
        <w:tc>
          <w:tcPr>
            <w:tcW w:w="1307" w:type="dxa"/>
            <w:tcBorders>
              <w:tl2br w:val="nil"/>
              <w:tr2bl w:val="nil"/>
            </w:tcBorders>
            <w:vAlign w:val="center"/>
          </w:tcPr>
          <w:p w14:paraId="3F4ED2CC">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5"/>
                <w:sz w:val="21"/>
                <w:szCs w:val="21"/>
              </w:rPr>
              <w:t>沉桩和</w:t>
            </w:r>
            <w:r>
              <w:rPr>
                <w:rFonts w:ascii="Times New Roman" w:hAnsi="Times New Roman" w:cs="Times New Roman"/>
                <w:spacing w:val="-4"/>
                <w:sz w:val="21"/>
                <w:szCs w:val="21"/>
              </w:rPr>
              <w:t>拔桩</w:t>
            </w:r>
            <w:r>
              <w:rPr>
                <w:rFonts w:ascii="Times New Roman" w:hAnsi="Times New Roman" w:cs="Times New Roman"/>
                <w:spacing w:val="-3"/>
                <w:sz w:val="21"/>
                <w:szCs w:val="21"/>
              </w:rPr>
              <w:t>均可</w:t>
            </w:r>
          </w:p>
        </w:tc>
        <w:tc>
          <w:tcPr>
            <w:tcW w:w="1520" w:type="dxa"/>
            <w:tcBorders>
              <w:tl2br w:val="nil"/>
              <w:tr2bl w:val="nil"/>
            </w:tcBorders>
            <w:vAlign w:val="center"/>
          </w:tcPr>
          <w:p w14:paraId="35005115">
            <w:pPr>
              <w:pStyle w:val="30"/>
              <w:autoSpaceDE w:val="0"/>
              <w:autoSpaceDN w:val="0"/>
              <w:spacing w:line="240" w:lineRule="auto"/>
              <w:ind w:firstLine="0"/>
              <w:jc w:val="center"/>
              <w:rPr>
                <w:rFonts w:ascii="Times New Roman" w:hAnsi="Times New Roman" w:cs="Times New Roman"/>
                <w:spacing w:val="-2"/>
                <w:sz w:val="21"/>
                <w:szCs w:val="21"/>
                <w:lang w:eastAsia="zh-CN"/>
              </w:rPr>
            </w:pPr>
            <w:r>
              <w:rPr>
                <w:rFonts w:ascii="Times New Roman" w:hAnsi="Times New Roman" w:cs="Times New Roman"/>
                <w:spacing w:val="-2"/>
                <w:sz w:val="21"/>
                <w:szCs w:val="21"/>
                <w:lang w:eastAsia="zh-CN"/>
              </w:rPr>
              <w:t>低噪音、低振动；沉桩和拔桩均可</w:t>
            </w:r>
          </w:p>
        </w:tc>
      </w:tr>
      <w:tr w14:paraId="460622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1552" w:hRule="atLeast"/>
          <w:jc w:val="center"/>
        </w:trPr>
        <w:tc>
          <w:tcPr>
            <w:tcW w:w="603" w:type="dxa"/>
            <w:vMerge w:val="continue"/>
            <w:tcBorders>
              <w:tl2br w:val="nil"/>
              <w:tr2bl w:val="nil"/>
            </w:tcBorders>
            <w:textDirection w:val="tbRlV"/>
            <w:vAlign w:val="center"/>
          </w:tcPr>
          <w:p w14:paraId="324F4D40">
            <w:pPr>
              <w:autoSpaceDE w:val="0"/>
              <w:autoSpaceDN w:val="0"/>
              <w:spacing w:line="240" w:lineRule="auto"/>
              <w:ind w:firstLine="0"/>
              <w:jc w:val="center"/>
              <w:rPr>
                <w:sz w:val="21"/>
                <w:szCs w:val="21"/>
                <w:lang w:eastAsia="zh-CN"/>
              </w:rPr>
            </w:pPr>
          </w:p>
        </w:tc>
        <w:tc>
          <w:tcPr>
            <w:tcW w:w="1071" w:type="dxa"/>
            <w:tcBorders>
              <w:tl2br w:val="nil"/>
              <w:tr2bl w:val="nil"/>
            </w:tcBorders>
            <w:vAlign w:val="center"/>
          </w:tcPr>
          <w:p w14:paraId="481820FF">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8"/>
                <w:sz w:val="21"/>
                <w:szCs w:val="21"/>
              </w:rPr>
              <w:t>缺点</w:t>
            </w:r>
          </w:p>
        </w:tc>
        <w:tc>
          <w:tcPr>
            <w:tcW w:w="1007" w:type="dxa"/>
            <w:tcBorders>
              <w:tl2br w:val="nil"/>
              <w:tr2bl w:val="nil"/>
            </w:tcBorders>
            <w:vAlign w:val="center"/>
          </w:tcPr>
          <w:p w14:paraId="337B9BD5">
            <w:pPr>
              <w:pStyle w:val="30"/>
              <w:autoSpaceDE w:val="0"/>
              <w:autoSpaceDN w:val="0"/>
              <w:spacing w:line="240" w:lineRule="auto"/>
              <w:ind w:firstLine="0"/>
              <w:jc w:val="center"/>
              <w:rPr>
                <w:rFonts w:ascii="Times New Roman" w:hAnsi="Times New Roman" w:cs="Times New Roman"/>
                <w:sz w:val="21"/>
                <w:szCs w:val="21"/>
                <w:lang w:eastAsia="zh-CN"/>
              </w:rPr>
            </w:pPr>
            <w:r>
              <w:rPr>
                <w:rFonts w:ascii="Times New Roman" w:hAnsi="Times New Roman" w:cs="Times New Roman"/>
                <w:spacing w:val="5"/>
                <w:sz w:val="21"/>
                <w:szCs w:val="21"/>
                <w:lang w:eastAsia="zh-CN"/>
              </w:rPr>
              <w:t>噪音和振 动较大；润 滑油飞散</w:t>
            </w:r>
          </w:p>
        </w:tc>
        <w:tc>
          <w:tcPr>
            <w:tcW w:w="878" w:type="dxa"/>
            <w:tcBorders>
              <w:tl2br w:val="nil"/>
              <w:tr2bl w:val="nil"/>
            </w:tcBorders>
            <w:vAlign w:val="center"/>
          </w:tcPr>
          <w:p w14:paraId="6A137554">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5"/>
                <w:sz w:val="21"/>
                <w:szCs w:val="21"/>
              </w:rPr>
              <w:t>噪和</w:t>
            </w:r>
            <w:r>
              <w:rPr>
                <w:rFonts w:ascii="Times New Roman" w:hAnsi="Times New Roman" w:cs="Times New Roman"/>
                <w:spacing w:val="-2"/>
                <w:sz w:val="21"/>
                <w:szCs w:val="21"/>
              </w:rPr>
              <w:t>振动较大</w:t>
            </w:r>
          </w:p>
        </w:tc>
        <w:tc>
          <w:tcPr>
            <w:tcW w:w="1021" w:type="dxa"/>
            <w:tcBorders>
              <w:tl2br w:val="nil"/>
              <w:tr2bl w:val="nil"/>
            </w:tcBorders>
            <w:vAlign w:val="center"/>
          </w:tcPr>
          <w:p w14:paraId="41077839">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4"/>
                <w:sz w:val="21"/>
                <w:szCs w:val="21"/>
              </w:rPr>
              <w:t>振动较大</w:t>
            </w:r>
          </w:p>
        </w:tc>
        <w:tc>
          <w:tcPr>
            <w:tcW w:w="1097" w:type="dxa"/>
            <w:tcBorders>
              <w:tl2br w:val="nil"/>
              <w:tr2bl w:val="nil"/>
            </w:tcBorders>
            <w:vAlign w:val="center"/>
          </w:tcPr>
          <w:p w14:paraId="3A389736">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4"/>
                <w:sz w:val="21"/>
                <w:szCs w:val="21"/>
              </w:rPr>
              <w:t>效率低</w:t>
            </w:r>
          </w:p>
        </w:tc>
        <w:tc>
          <w:tcPr>
            <w:tcW w:w="1307" w:type="dxa"/>
            <w:tcBorders>
              <w:tl2br w:val="nil"/>
              <w:tr2bl w:val="nil"/>
            </w:tcBorders>
            <w:vAlign w:val="center"/>
          </w:tcPr>
          <w:p w14:paraId="0A02B3C3">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5"/>
                <w:sz w:val="21"/>
                <w:szCs w:val="21"/>
              </w:rPr>
              <w:t>噪音和</w:t>
            </w:r>
            <w:r>
              <w:rPr>
                <w:rFonts w:ascii="Times New Roman" w:hAnsi="Times New Roman" w:cs="Times New Roman"/>
                <w:spacing w:val="-4"/>
                <w:sz w:val="21"/>
                <w:szCs w:val="21"/>
              </w:rPr>
              <w:t>振动</w:t>
            </w:r>
            <w:r>
              <w:rPr>
                <w:rFonts w:ascii="Times New Roman" w:hAnsi="Times New Roman" w:cs="Times New Roman"/>
                <w:spacing w:val="-2"/>
                <w:sz w:val="21"/>
                <w:szCs w:val="21"/>
              </w:rPr>
              <w:t>较大</w:t>
            </w:r>
          </w:p>
        </w:tc>
        <w:tc>
          <w:tcPr>
            <w:tcW w:w="1520" w:type="dxa"/>
            <w:tcBorders>
              <w:tl2br w:val="nil"/>
              <w:tr2bl w:val="nil"/>
            </w:tcBorders>
            <w:vAlign w:val="center"/>
          </w:tcPr>
          <w:p w14:paraId="12CFB79E">
            <w:pPr>
              <w:pStyle w:val="30"/>
              <w:autoSpaceDE w:val="0"/>
              <w:autoSpaceDN w:val="0"/>
              <w:spacing w:line="240" w:lineRule="auto"/>
              <w:ind w:firstLine="0"/>
              <w:jc w:val="center"/>
              <w:rPr>
                <w:rFonts w:ascii="Times New Roman" w:hAnsi="Times New Roman" w:cs="Times New Roman"/>
                <w:spacing w:val="4"/>
                <w:sz w:val="21"/>
                <w:szCs w:val="21"/>
              </w:rPr>
            </w:pPr>
            <w:r>
              <w:rPr>
                <w:rFonts w:ascii="Times New Roman" w:hAnsi="Times New Roman" w:cs="Times New Roman"/>
                <w:spacing w:val="4"/>
                <w:sz w:val="21"/>
                <w:szCs w:val="21"/>
              </w:rPr>
              <w:t>效率低</w:t>
            </w:r>
          </w:p>
        </w:tc>
      </w:tr>
    </w:tbl>
    <w:p w14:paraId="6A02CC98">
      <w:pPr>
        <w:ind w:firstLine="0"/>
      </w:pPr>
      <w:bookmarkStart w:id="368" w:name="_Toc5441"/>
      <w:bookmarkStart w:id="369" w:name="_Toc31418"/>
    </w:p>
    <w:p w14:paraId="35802FCA">
      <w:pPr>
        <w:ind w:firstLine="0"/>
        <w:rPr>
          <w:bCs/>
        </w:rPr>
      </w:pPr>
      <w:bookmarkStart w:id="370" w:name="_Toc31576"/>
      <w:r>
        <w:rPr>
          <w:b/>
          <w:bCs/>
        </w:rPr>
        <w:t>6.2.10　</w:t>
      </w:r>
      <w:r>
        <w:rPr>
          <w:bCs/>
        </w:rPr>
        <w:t>组合钢连续墙沉桩施工应符合下列规定：</w:t>
      </w:r>
      <w:bookmarkEnd w:id="368"/>
      <w:bookmarkEnd w:id="369"/>
      <w:bookmarkEnd w:id="370"/>
    </w:p>
    <w:p w14:paraId="2FB9D968">
      <w:pPr>
        <w:ind w:firstLine="482" w:firstLineChars="200"/>
        <w:rPr>
          <w:bCs/>
        </w:rPr>
      </w:pPr>
      <w:bookmarkStart w:id="371" w:name="_Toc32178"/>
      <w:bookmarkStart w:id="372" w:name="_Toc26769"/>
      <w:bookmarkStart w:id="373" w:name="_Toc11199"/>
      <w:r>
        <w:rPr>
          <w:b/>
        </w:rPr>
        <w:t>1　</w:t>
      </w:r>
      <w:r>
        <w:rPr>
          <w:bCs/>
        </w:rPr>
        <w:t>沉桩深度不应小于设计桩底标高；</w:t>
      </w:r>
      <w:bookmarkEnd w:id="371"/>
      <w:bookmarkEnd w:id="372"/>
      <w:bookmarkEnd w:id="373"/>
    </w:p>
    <w:p w14:paraId="3835BB16">
      <w:pPr>
        <w:ind w:firstLine="482" w:firstLineChars="200"/>
        <w:rPr>
          <w:bCs/>
        </w:rPr>
      </w:pPr>
      <w:r>
        <w:rPr>
          <w:b/>
        </w:rPr>
        <w:t>2　</w:t>
      </w:r>
      <w:r>
        <w:rPr>
          <w:bCs/>
        </w:rPr>
        <w:t>单纯钢板桩的沉桩方法包括逐根沉桩法、屏风式沉桩法，对于沉桩精度要求较高的部位，宜采用屏风式沉桩法；</w:t>
      </w:r>
    </w:p>
    <w:p w14:paraId="3935F617">
      <w:pPr>
        <w:ind w:firstLine="482" w:firstLineChars="200"/>
        <w:rPr>
          <w:bCs/>
        </w:rPr>
      </w:pPr>
      <w:r>
        <w:rPr>
          <w:b/>
        </w:rPr>
        <w:t>3　</w:t>
      </w:r>
      <w:r>
        <w:rPr>
          <w:bCs/>
        </w:rPr>
        <w:t>沉桩宜设置导向架，导向架宜采用双边式，土层松软、桩长较短时，可采用单边式；</w:t>
      </w:r>
    </w:p>
    <w:p w14:paraId="3618F152">
      <w:pPr>
        <w:ind w:firstLine="480" w:firstLineChars="200"/>
        <w:rPr>
          <w:bCs/>
        </w:rPr>
      </w:pPr>
      <w:r>
        <w:rPr>
          <w:bCs/>
        </w:rPr>
        <w:t>4　采用锤击沉桩时应设置桩帽，桩帽应与桩锤相匹配，且与桩身中心线重合，桩帽与钢板桩的间隙宜为5mm</w:t>
      </w:r>
      <w:r>
        <w:rPr>
          <w:color w:val="auto"/>
        </w:rPr>
        <w:t>～</w:t>
      </w:r>
      <w:r>
        <w:rPr>
          <w:bCs/>
        </w:rPr>
        <w:t>10mm；</w:t>
      </w:r>
    </w:p>
    <w:p w14:paraId="5413CEFB">
      <w:pPr>
        <w:ind w:firstLine="482" w:firstLineChars="200"/>
        <w:rPr>
          <w:bCs/>
        </w:rPr>
      </w:pPr>
      <w:r>
        <w:rPr>
          <w:b/>
        </w:rPr>
        <w:t>5　</w:t>
      </w:r>
      <w:r>
        <w:rPr>
          <w:bCs/>
        </w:rPr>
        <w:t>振动锤夹桩起吊就位后应进行初打，待校正好桩身垂直度后正式振动沉桩；</w:t>
      </w:r>
    </w:p>
    <w:p w14:paraId="3145C3D9">
      <w:pPr>
        <w:ind w:firstLine="482" w:firstLineChars="200"/>
        <w:rPr>
          <w:bCs/>
        </w:rPr>
      </w:pPr>
      <w:bookmarkStart w:id="374" w:name="_Toc11441"/>
      <w:bookmarkStart w:id="375" w:name="_Toc16849"/>
      <w:bookmarkStart w:id="376" w:name="_Toc6965"/>
      <w:r>
        <w:rPr>
          <w:b/>
        </w:rPr>
        <w:t>6　</w:t>
      </w:r>
      <w:r>
        <w:rPr>
          <w:bCs/>
        </w:rPr>
        <w:t>黏土层不宜采用射水法沉桩。</w:t>
      </w:r>
      <w:bookmarkEnd w:id="374"/>
      <w:bookmarkEnd w:id="375"/>
      <w:bookmarkEnd w:id="376"/>
    </w:p>
    <w:p w14:paraId="7C2DB00E">
      <w:pPr>
        <w:ind w:firstLine="0"/>
      </w:pPr>
      <w:r>
        <w:rPr>
          <w:b/>
          <w:bCs/>
        </w:rPr>
        <w:t>6.2.11　</w:t>
      </w:r>
      <w:r>
        <w:rPr>
          <w:bCs/>
        </w:rPr>
        <w:t>设支撑体系时，支撑应随着挖土及时安装；拆除时支撑体系应分层、分段拆除，待基坑回填至一定高度后方可拆除支撑。</w:t>
      </w:r>
    </w:p>
    <w:p w14:paraId="36A87507">
      <w:pPr>
        <w:ind w:firstLine="0"/>
        <w:rPr>
          <w:bCs/>
        </w:rPr>
      </w:pPr>
      <w:r>
        <w:rPr>
          <w:b/>
          <w:bCs/>
        </w:rPr>
        <w:t>6.2.12　</w:t>
      </w:r>
      <w:r>
        <w:rPr>
          <w:bCs/>
        </w:rPr>
        <w:t>待全部地下工程完成并回填后进行组合钢连续墙的拔出，拔出时可采取以下措施：</w:t>
      </w:r>
    </w:p>
    <w:p w14:paraId="4BDFE42B">
      <w:pPr>
        <w:ind w:firstLine="482" w:firstLineChars="200"/>
        <w:rPr>
          <w:bCs/>
        </w:rPr>
      </w:pPr>
      <w:bookmarkStart w:id="377" w:name="_Toc14598"/>
      <w:bookmarkStart w:id="378" w:name="_Toc25230"/>
      <w:bookmarkStart w:id="379" w:name="_Toc10190"/>
      <w:r>
        <w:rPr>
          <w:b/>
        </w:rPr>
        <w:t>1　</w:t>
      </w:r>
      <w:r>
        <w:rPr>
          <w:bCs/>
        </w:rPr>
        <w:t>根据土质情况，可在拔桩前靠桩边沿灌入清水，减少摩阻力；</w:t>
      </w:r>
      <w:bookmarkEnd w:id="377"/>
      <w:bookmarkEnd w:id="378"/>
      <w:bookmarkEnd w:id="379"/>
    </w:p>
    <w:p w14:paraId="2C1F2DBD">
      <w:pPr>
        <w:ind w:firstLine="482" w:firstLineChars="200"/>
        <w:rPr>
          <w:bCs/>
        </w:rPr>
      </w:pPr>
      <w:r>
        <w:rPr>
          <w:b/>
        </w:rPr>
        <w:t>2　</w:t>
      </w:r>
      <w:r>
        <w:rPr>
          <w:bCs/>
        </w:rPr>
        <w:t>拔出后出现的空隙，应立即灌砂或注浆。</w:t>
      </w:r>
    </w:p>
    <w:p w14:paraId="5C34AA21">
      <w:pPr>
        <w:spacing w:before="164" w:beforeLines="50" w:after="164" w:afterLines="50"/>
        <w:ind w:firstLine="0"/>
        <w:jc w:val="center"/>
        <w:outlineLvl w:val="2"/>
        <w:rPr>
          <w:rFonts w:eastAsia="仿宋"/>
          <w:b/>
          <w:bCs/>
          <w:color w:val="auto"/>
          <w:sz w:val="28"/>
          <w:szCs w:val="28"/>
        </w:rPr>
      </w:pPr>
      <w:bookmarkStart w:id="380" w:name="_Toc26009"/>
      <w:bookmarkStart w:id="381" w:name="_Toc4407"/>
      <w:bookmarkStart w:id="382" w:name="_Toc31864"/>
      <w:bookmarkStart w:id="383" w:name="_Toc29646"/>
      <w:bookmarkStart w:id="384" w:name="_Toc9129"/>
      <w:bookmarkStart w:id="385" w:name="_Toc24445"/>
      <w:bookmarkStart w:id="386" w:name="_Toc13772"/>
      <w:bookmarkStart w:id="387" w:name="_Toc31058"/>
      <w:r>
        <w:rPr>
          <w:rFonts w:eastAsia="仿宋"/>
          <w:b/>
          <w:bCs/>
          <w:color w:val="auto"/>
          <w:sz w:val="28"/>
          <w:szCs w:val="28"/>
        </w:rPr>
        <w:t xml:space="preserve">Ⅳ  </w:t>
      </w:r>
      <w:bookmarkEnd w:id="380"/>
      <w:bookmarkEnd w:id="381"/>
      <w:bookmarkEnd w:id="382"/>
      <w:r>
        <w:rPr>
          <w:rFonts w:eastAsia="仿宋"/>
          <w:b/>
          <w:bCs/>
          <w:color w:val="auto"/>
          <w:sz w:val="28"/>
          <w:szCs w:val="28"/>
        </w:rPr>
        <w:t>劲芯水泥土连续墙</w:t>
      </w:r>
      <w:bookmarkEnd w:id="383"/>
      <w:bookmarkEnd w:id="384"/>
      <w:bookmarkEnd w:id="385"/>
      <w:bookmarkEnd w:id="386"/>
      <w:bookmarkEnd w:id="387"/>
      <w:bookmarkStart w:id="388" w:name="_Toc12294"/>
      <w:bookmarkStart w:id="389" w:name="_Toc20742"/>
    </w:p>
    <w:p w14:paraId="7C5070AF">
      <w:pPr>
        <w:ind w:firstLine="0"/>
      </w:pPr>
      <w:bookmarkStart w:id="390" w:name="_Toc6690"/>
      <w:r>
        <w:rPr>
          <w:b/>
          <w:bCs/>
        </w:rPr>
        <w:t>6.2.13　</w:t>
      </w:r>
      <w:r>
        <w:t>劲芯水泥土墙的水泥土墙可采用单轴大直径搅拌桩、三轴搅拌桩、渠式切割水泥土搅拌墙（TRD工法）和铣削深搅水泥土搅拌墙（CSM工法）。</w:t>
      </w:r>
    </w:p>
    <w:p w14:paraId="397E603D">
      <w:pPr>
        <w:ind w:firstLine="0"/>
        <w:rPr>
          <w:bCs/>
        </w:rPr>
      </w:pPr>
      <w:r>
        <w:rPr>
          <w:b/>
          <w:bCs/>
        </w:rPr>
        <w:t>6.2.14　</w:t>
      </w:r>
      <w:r>
        <w:rPr>
          <w:bCs/>
        </w:rPr>
        <w:t>水泥土搅拌墙施工过程应符合下列规定：</w:t>
      </w:r>
      <w:bookmarkEnd w:id="388"/>
      <w:bookmarkEnd w:id="389"/>
      <w:bookmarkEnd w:id="390"/>
    </w:p>
    <w:p w14:paraId="6E8574E0">
      <w:pPr>
        <w:ind w:firstLine="482" w:firstLineChars="200"/>
        <w:rPr>
          <w:bCs/>
        </w:rPr>
      </w:pPr>
      <w:r>
        <w:rPr>
          <w:b/>
        </w:rPr>
        <w:t>1　</w:t>
      </w:r>
      <w:r>
        <w:rPr>
          <w:bCs/>
        </w:rPr>
        <w:t>施工前应对场地进行平整和硬化，地基土承载能力应能满足桩机行走要求；</w:t>
      </w:r>
    </w:p>
    <w:p w14:paraId="0B649B01">
      <w:pPr>
        <w:ind w:firstLine="482" w:firstLineChars="200"/>
        <w:rPr>
          <w:bCs/>
        </w:rPr>
      </w:pPr>
      <w:r>
        <w:rPr>
          <w:b/>
        </w:rPr>
        <w:t>2　</w:t>
      </w:r>
      <w:r>
        <w:rPr>
          <w:bCs/>
        </w:rPr>
        <w:t>搅拌墙施工前应进行试成桩，</w:t>
      </w:r>
      <w:r>
        <w:t>单轴搅拌桩不得少于3根，多轴不得少于3幅；</w:t>
      </w:r>
      <w:r>
        <w:rPr>
          <w:bCs/>
        </w:rPr>
        <w:t>通过试验确定浆液的水灰比、下沉（提升）速度、浆泵的压送能力、每米桩墙或每幅墙的注浆量等技术参数，当地层差异较大时，应分层确定以上技术参数；</w:t>
      </w:r>
    </w:p>
    <w:p w14:paraId="76D2B85C">
      <w:pPr>
        <w:ind w:firstLine="482" w:firstLineChars="200"/>
        <w:rPr>
          <w:bCs/>
        </w:rPr>
      </w:pPr>
      <w:r>
        <w:rPr>
          <w:b/>
        </w:rPr>
        <w:t>3　</w:t>
      </w:r>
      <w:r>
        <w:rPr>
          <w:bCs/>
        </w:rPr>
        <w:t>三轴搅拌桩应采用套接一孔施工，在土质较差或周边环境复杂的地段底部宜复搅；搅拌下沉速度与提升速度宜根据土层情况，结合地区经验和试验确定，各土层的下沉和提升速度应符合表6.2.14的规定，下沉和提升过程应保持匀速进行；</w:t>
      </w:r>
    </w:p>
    <w:p w14:paraId="788647B1">
      <w:pPr>
        <w:ind w:firstLine="488"/>
        <w:jc w:val="center"/>
        <w:rPr>
          <w:b/>
          <w:bCs/>
          <w:color w:val="auto"/>
          <w:sz w:val="21"/>
          <w:szCs w:val="21"/>
        </w:rPr>
      </w:pPr>
      <w:r>
        <w:rPr>
          <w:b/>
          <w:bCs/>
          <w:color w:val="auto"/>
          <w:sz w:val="21"/>
          <w:szCs w:val="21"/>
        </w:rPr>
        <w:t>表6.2.14　搅拌下沉与提升速度</w:t>
      </w:r>
      <w:r>
        <w:rPr>
          <w:bCs/>
          <w:sz w:val="21"/>
          <w:szCs w:val="21"/>
        </w:rPr>
        <w:t>（m/min）</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63"/>
        <w:gridCol w:w="2856"/>
        <w:gridCol w:w="2858"/>
      </w:tblGrid>
      <w:tr w14:paraId="19BDC3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63" w:type="dxa"/>
            <w:tcBorders>
              <w:tl2br w:val="nil"/>
              <w:tr2bl w:val="nil"/>
            </w:tcBorders>
            <w:vAlign w:val="center"/>
          </w:tcPr>
          <w:p w14:paraId="330293BF">
            <w:pPr>
              <w:ind w:firstLine="0"/>
              <w:jc w:val="center"/>
              <w:rPr>
                <w:bCs/>
                <w:sz w:val="21"/>
                <w:szCs w:val="21"/>
              </w:rPr>
            </w:pPr>
            <w:r>
              <w:rPr>
                <w:bCs/>
                <w:sz w:val="21"/>
                <w:szCs w:val="21"/>
              </w:rPr>
              <w:t>土质类型</w:t>
            </w:r>
          </w:p>
        </w:tc>
        <w:tc>
          <w:tcPr>
            <w:tcW w:w="2856" w:type="dxa"/>
            <w:tcBorders>
              <w:tl2br w:val="nil"/>
              <w:tr2bl w:val="nil"/>
            </w:tcBorders>
            <w:vAlign w:val="center"/>
          </w:tcPr>
          <w:p w14:paraId="07EFB6CB">
            <w:pPr>
              <w:ind w:firstLine="0"/>
              <w:jc w:val="center"/>
              <w:rPr>
                <w:bCs/>
                <w:sz w:val="21"/>
                <w:szCs w:val="21"/>
              </w:rPr>
            </w:pPr>
            <w:r>
              <w:rPr>
                <w:bCs/>
                <w:sz w:val="21"/>
                <w:szCs w:val="21"/>
              </w:rPr>
              <w:t>下沉速度</w:t>
            </w:r>
          </w:p>
        </w:tc>
        <w:tc>
          <w:tcPr>
            <w:tcW w:w="2858" w:type="dxa"/>
            <w:tcBorders>
              <w:tl2br w:val="nil"/>
              <w:tr2bl w:val="nil"/>
            </w:tcBorders>
            <w:vAlign w:val="center"/>
          </w:tcPr>
          <w:p w14:paraId="49068FDF">
            <w:pPr>
              <w:ind w:firstLine="0"/>
              <w:jc w:val="center"/>
              <w:rPr>
                <w:bCs/>
                <w:sz w:val="21"/>
                <w:szCs w:val="21"/>
              </w:rPr>
            </w:pPr>
            <w:r>
              <w:rPr>
                <w:bCs/>
                <w:sz w:val="21"/>
                <w:szCs w:val="21"/>
              </w:rPr>
              <w:t>提升速度</w:t>
            </w:r>
          </w:p>
        </w:tc>
      </w:tr>
      <w:tr w14:paraId="133061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63" w:type="dxa"/>
            <w:tcBorders>
              <w:tl2br w:val="nil"/>
              <w:tr2bl w:val="nil"/>
            </w:tcBorders>
            <w:vAlign w:val="center"/>
          </w:tcPr>
          <w:p w14:paraId="2F9BF194">
            <w:pPr>
              <w:ind w:firstLine="0"/>
              <w:jc w:val="center"/>
              <w:rPr>
                <w:bCs/>
                <w:sz w:val="21"/>
                <w:szCs w:val="21"/>
              </w:rPr>
            </w:pPr>
            <w:r>
              <w:rPr>
                <w:bCs/>
                <w:sz w:val="21"/>
                <w:szCs w:val="21"/>
              </w:rPr>
              <w:t>黏性土</w:t>
            </w:r>
          </w:p>
        </w:tc>
        <w:tc>
          <w:tcPr>
            <w:tcW w:w="2856" w:type="dxa"/>
            <w:tcBorders>
              <w:tl2br w:val="nil"/>
              <w:tr2bl w:val="nil"/>
            </w:tcBorders>
            <w:vAlign w:val="center"/>
          </w:tcPr>
          <w:p w14:paraId="6476F273">
            <w:pPr>
              <w:ind w:firstLine="0"/>
              <w:jc w:val="center"/>
              <w:rPr>
                <w:bCs/>
                <w:sz w:val="21"/>
                <w:szCs w:val="21"/>
              </w:rPr>
            </w:pPr>
            <w:r>
              <w:rPr>
                <w:bCs/>
                <w:sz w:val="21"/>
                <w:szCs w:val="21"/>
              </w:rPr>
              <w:t>0.3</w:t>
            </w:r>
            <w:r>
              <w:rPr>
                <w:color w:val="auto"/>
              </w:rPr>
              <w:t>～1.0</w:t>
            </w:r>
          </w:p>
        </w:tc>
        <w:tc>
          <w:tcPr>
            <w:tcW w:w="2858" w:type="dxa"/>
            <w:vMerge w:val="restart"/>
            <w:tcBorders>
              <w:tl2br w:val="nil"/>
              <w:tr2bl w:val="nil"/>
            </w:tcBorders>
            <w:vAlign w:val="center"/>
          </w:tcPr>
          <w:p w14:paraId="638D988C">
            <w:pPr>
              <w:ind w:firstLine="0"/>
              <w:jc w:val="center"/>
              <w:rPr>
                <w:bCs/>
                <w:sz w:val="21"/>
                <w:szCs w:val="21"/>
              </w:rPr>
            </w:pPr>
            <w:r>
              <w:rPr>
                <w:bCs/>
                <w:sz w:val="21"/>
                <w:szCs w:val="21"/>
              </w:rPr>
              <w:t>1.0</w:t>
            </w:r>
            <w:r>
              <w:rPr>
                <w:color w:val="auto"/>
              </w:rPr>
              <w:t>～2.0</w:t>
            </w:r>
          </w:p>
        </w:tc>
      </w:tr>
      <w:tr w14:paraId="7042CE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63" w:type="dxa"/>
            <w:tcBorders>
              <w:tl2br w:val="nil"/>
              <w:tr2bl w:val="nil"/>
            </w:tcBorders>
            <w:vAlign w:val="center"/>
          </w:tcPr>
          <w:p w14:paraId="49DA20BE">
            <w:pPr>
              <w:ind w:firstLine="0"/>
              <w:jc w:val="center"/>
              <w:rPr>
                <w:bCs/>
                <w:sz w:val="21"/>
                <w:szCs w:val="21"/>
              </w:rPr>
            </w:pPr>
            <w:r>
              <w:rPr>
                <w:bCs/>
                <w:sz w:val="21"/>
                <w:szCs w:val="21"/>
              </w:rPr>
              <w:t>砂性土</w:t>
            </w:r>
          </w:p>
        </w:tc>
        <w:tc>
          <w:tcPr>
            <w:tcW w:w="2856" w:type="dxa"/>
            <w:tcBorders>
              <w:tl2br w:val="nil"/>
              <w:tr2bl w:val="nil"/>
            </w:tcBorders>
            <w:vAlign w:val="center"/>
          </w:tcPr>
          <w:p w14:paraId="339031BC">
            <w:pPr>
              <w:ind w:firstLine="0"/>
              <w:jc w:val="center"/>
              <w:rPr>
                <w:bCs/>
                <w:sz w:val="21"/>
                <w:szCs w:val="21"/>
              </w:rPr>
            </w:pPr>
            <w:r>
              <w:rPr>
                <w:bCs/>
                <w:sz w:val="21"/>
                <w:szCs w:val="21"/>
              </w:rPr>
              <w:t>0.5</w:t>
            </w:r>
            <w:r>
              <w:rPr>
                <w:color w:val="auto"/>
              </w:rPr>
              <w:t>～1.0</w:t>
            </w:r>
          </w:p>
        </w:tc>
        <w:tc>
          <w:tcPr>
            <w:tcW w:w="2858" w:type="dxa"/>
            <w:vMerge w:val="continue"/>
            <w:tcBorders>
              <w:tl2br w:val="nil"/>
              <w:tr2bl w:val="nil"/>
            </w:tcBorders>
            <w:vAlign w:val="center"/>
          </w:tcPr>
          <w:p w14:paraId="7A43541A">
            <w:pPr>
              <w:jc w:val="center"/>
              <w:rPr>
                <w:bCs/>
                <w:sz w:val="21"/>
                <w:szCs w:val="21"/>
              </w:rPr>
            </w:pPr>
          </w:p>
        </w:tc>
      </w:tr>
      <w:tr w14:paraId="033865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63" w:type="dxa"/>
            <w:tcBorders>
              <w:tl2br w:val="nil"/>
              <w:tr2bl w:val="nil"/>
            </w:tcBorders>
            <w:vAlign w:val="center"/>
          </w:tcPr>
          <w:p w14:paraId="05F34036">
            <w:pPr>
              <w:ind w:firstLine="0"/>
              <w:jc w:val="center"/>
              <w:rPr>
                <w:bCs/>
                <w:sz w:val="21"/>
                <w:szCs w:val="21"/>
              </w:rPr>
            </w:pPr>
            <w:r>
              <w:rPr>
                <w:bCs/>
                <w:sz w:val="21"/>
                <w:szCs w:val="21"/>
              </w:rPr>
              <w:t>砂砾土</w:t>
            </w:r>
          </w:p>
        </w:tc>
        <w:tc>
          <w:tcPr>
            <w:tcW w:w="2856" w:type="dxa"/>
            <w:vMerge w:val="restart"/>
            <w:tcBorders>
              <w:tl2br w:val="nil"/>
              <w:tr2bl w:val="nil"/>
            </w:tcBorders>
            <w:vAlign w:val="center"/>
          </w:tcPr>
          <w:p w14:paraId="24965A9E">
            <w:pPr>
              <w:ind w:firstLine="0"/>
              <w:jc w:val="center"/>
              <w:rPr>
                <w:bCs/>
                <w:sz w:val="21"/>
                <w:szCs w:val="21"/>
              </w:rPr>
            </w:pPr>
            <w:r>
              <w:rPr>
                <w:bCs/>
                <w:sz w:val="21"/>
                <w:szCs w:val="21"/>
              </w:rPr>
              <w:t>根据现场试验</w:t>
            </w:r>
          </w:p>
        </w:tc>
        <w:tc>
          <w:tcPr>
            <w:tcW w:w="2858" w:type="dxa"/>
            <w:vMerge w:val="continue"/>
            <w:tcBorders>
              <w:tl2br w:val="nil"/>
              <w:tr2bl w:val="nil"/>
            </w:tcBorders>
            <w:vAlign w:val="center"/>
          </w:tcPr>
          <w:p w14:paraId="7B5A740F">
            <w:pPr>
              <w:jc w:val="center"/>
              <w:rPr>
                <w:bCs/>
                <w:sz w:val="21"/>
                <w:szCs w:val="21"/>
              </w:rPr>
            </w:pPr>
          </w:p>
        </w:tc>
      </w:tr>
      <w:tr w14:paraId="7EF149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63" w:type="dxa"/>
            <w:tcBorders>
              <w:tl2br w:val="nil"/>
              <w:tr2bl w:val="nil"/>
            </w:tcBorders>
            <w:vAlign w:val="center"/>
          </w:tcPr>
          <w:p w14:paraId="57DBAF79">
            <w:pPr>
              <w:ind w:firstLine="0"/>
              <w:jc w:val="center"/>
              <w:rPr>
                <w:bCs/>
                <w:sz w:val="21"/>
                <w:szCs w:val="21"/>
              </w:rPr>
            </w:pPr>
            <w:r>
              <w:rPr>
                <w:bCs/>
                <w:sz w:val="21"/>
                <w:szCs w:val="21"/>
              </w:rPr>
              <w:t>特殊性土</w:t>
            </w:r>
          </w:p>
        </w:tc>
        <w:tc>
          <w:tcPr>
            <w:tcW w:w="2856" w:type="dxa"/>
            <w:vMerge w:val="continue"/>
            <w:tcBorders>
              <w:tl2br w:val="nil"/>
              <w:tr2bl w:val="nil"/>
            </w:tcBorders>
            <w:vAlign w:val="center"/>
          </w:tcPr>
          <w:p w14:paraId="2B1810B2">
            <w:pPr>
              <w:jc w:val="center"/>
              <w:rPr>
                <w:bCs/>
                <w:sz w:val="21"/>
                <w:szCs w:val="21"/>
              </w:rPr>
            </w:pPr>
          </w:p>
        </w:tc>
        <w:tc>
          <w:tcPr>
            <w:tcW w:w="2858" w:type="dxa"/>
            <w:vMerge w:val="continue"/>
            <w:tcBorders>
              <w:tl2br w:val="nil"/>
              <w:tr2bl w:val="nil"/>
            </w:tcBorders>
            <w:vAlign w:val="center"/>
          </w:tcPr>
          <w:p w14:paraId="29A3DB86">
            <w:pPr>
              <w:jc w:val="center"/>
              <w:rPr>
                <w:bCs/>
                <w:sz w:val="21"/>
                <w:szCs w:val="21"/>
              </w:rPr>
            </w:pPr>
          </w:p>
        </w:tc>
      </w:tr>
    </w:tbl>
    <w:p w14:paraId="775BFB9B">
      <w:pPr>
        <w:ind w:firstLine="0"/>
      </w:pPr>
    </w:p>
    <w:p w14:paraId="157E1D21">
      <w:pPr>
        <w:ind w:firstLine="482" w:firstLineChars="200"/>
        <w:rPr>
          <w:bCs/>
        </w:rPr>
      </w:pPr>
      <w:r>
        <w:rPr>
          <w:b/>
        </w:rPr>
        <w:t>4　</w:t>
      </w:r>
      <w:r>
        <w:rPr>
          <w:bCs/>
        </w:rPr>
        <w:t>如因特殊原因造成搅拌桩不能连续施工，时间超过24h的，应采取补救措施；</w:t>
      </w:r>
    </w:p>
    <w:p w14:paraId="5526013E">
      <w:pPr>
        <w:ind w:firstLine="482" w:firstLineChars="200"/>
        <w:rPr>
          <w:bCs/>
        </w:rPr>
      </w:pPr>
      <w:r>
        <w:rPr>
          <w:b/>
        </w:rPr>
        <w:t>5　</w:t>
      </w:r>
      <w:r>
        <w:rPr>
          <w:bCs/>
        </w:rPr>
        <w:t>TRD工法施工前应清除地下障碍物，并对施工场地采取加固处理措施，施工中应通过安装在切割箱体内部的多段式随钻测斜仪，实时监测墙体的垂直度，发现超差应及时停机处理，等处理好后再进行施工；</w:t>
      </w:r>
    </w:p>
    <w:p w14:paraId="3E6E17DB">
      <w:pPr>
        <w:ind w:firstLine="482" w:firstLineChars="200"/>
        <w:rPr>
          <w:bCs/>
        </w:rPr>
      </w:pPr>
      <w:bookmarkStart w:id="391" w:name="_Toc14499"/>
      <w:bookmarkStart w:id="392" w:name="_Toc28778"/>
      <w:bookmarkStart w:id="393" w:name="_Toc10682"/>
      <w:r>
        <w:rPr>
          <w:b/>
        </w:rPr>
        <w:t>6　</w:t>
      </w:r>
      <w:r>
        <w:rPr>
          <w:bCs/>
        </w:rPr>
        <w:t>CSM工法施工场地应严格加固平整处理，避免钻机倾覆；</w:t>
      </w:r>
      <w:bookmarkEnd w:id="391"/>
      <w:bookmarkEnd w:id="392"/>
      <w:bookmarkEnd w:id="393"/>
    </w:p>
    <w:p w14:paraId="3D2F9987">
      <w:pPr>
        <w:ind w:firstLine="482" w:firstLineChars="200"/>
        <w:rPr>
          <w:bCs/>
        </w:rPr>
      </w:pPr>
      <w:r>
        <w:rPr>
          <w:b/>
        </w:rPr>
        <w:t>7　</w:t>
      </w:r>
      <w:r>
        <w:rPr>
          <w:bCs/>
        </w:rPr>
        <w:t>水泥土桩身28d无侧限抗压强度不应小于设计要求，且不宜小于0.5MPa。</w:t>
      </w:r>
    </w:p>
    <w:p w14:paraId="6486FBC7">
      <w:pPr>
        <w:ind w:firstLine="0"/>
        <w:rPr>
          <w:bCs/>
        </w:rPr>
      </w:pPr>
      <w:bookmarkStart w:id="394" w:name="_Toc19488"/>
      <w:bookmarkStart w:id="395" w:name="_Toc31336"/>
      <w:bookmarkStart w:id="396" w:name="_Toc16706"/>
      <w:r>
        <w:rPr>
          <w:b/>
          <w:bCs/>
        </w:rPr>
        <w:t>6.2.15　</w:t>
      </w:r>
      <w:r>
        <w:rPr>
          <w:bCs/>
        </w:rPr>
        <w:t>型钢插入和回收应符合下列规定：</w:t>
      </w:r>
      <w:bookmarkEnd w:id="394"/>
      <w:bookmarkEnd w:id="395"/>
      <w:bookmarkEnd w:id="396"/>
    </w:p>
    <w:p w14:paraId="31D8DD45">
      <w:pPr>
        <w:ind w:firstLine="482" w:firstLineChars="200"/>
        <w:rPr>
          <w:bCs/>
        </w:rPr>
      </w:pPr>
      <w:r>
        <w:rPr>
          <w:b/>
        </w:rPr>
        <w:t>1　</w:t>
      </w:r>
      <w:r>
        <w:rPr>
          <w:bCs/>
        </w:rPr>
        <w:t>型钢宜在搅拌桩施工结束后30min内插入，插入前应检查型钢的焊缝质量和表面平整度，检查记录时可按本规程附录C的样式进行填写；</w:t>
      </w:r>
    </w:p>
    <w:p w14:paraId="6F0EE06D">
      <w:pPr>
        <w:ind w:firstLine="482" w:firstLineChars="200"/>
        <w:rPr>
          <w:bCs/>
        </w:rPr>
      </w:pPr>
      <w:r>
        <w:rPr>
          <w:b/>
        </w:rPr>
        <w:t>2　</w:t>
      </w:r>
      <w:r>
        <w:rPr>
          <w:bCs/>
        </w:rPr>
        <w:t>单根型钢的接头不宜超过2个，相邻接头位置应错开1m以上，接头距离基坑底面宜大于2m，接头位置应避开支撑位置、开挖面附近等受力较大部位；</w:t>
      </w:r>
    </w:p>
    <w:p w14:paraId="1BA20E26">
      <w:pPr>
        <w:ind w:firstLine="482" w:firstLineChars="200"/>
        <w:rPr>
          <w:bCs/>
        </w:rPr>
      </w:pPr>
      <w:r>
        <w:rPr>
          <w:b/>
        </w:rPr>
        <w:t>3　</w:t>
      </w:r>
      <w:r>
        <w:rPr>
          <w:bCs/>
        </w:rPr>
        <w:t>拟拔出的型钢在插入之前应在干燥情况下除锈，再涂刷减摩材料，型钢在冠梁范围内的部份应包裹塑料或油毡；</w:t>
      </w:r>
    </w:p>
    <w:p w14:paraId="432B0703">
      <w:pPr>
        <w:ind w:firstLine="482" w:firstLineChars="200"/>
        <w:rPr>
          <w:bCs/>
        </w:rPr>
      </w:pPr>
      <w:r>
        <w:rPr>
          <w:b/>
        </w:rPr>
        <w:t>4　</w:t>
      </w:r>
      <w:r>
        <w:rPr>
          <w:bCs/>
        </w:rPr>
        <w:t>型钢拔除回收时，宜采用跳拔，并及时对型钢拔出后形成的空隙注浆充填。</w:t>
      </w:r>
    </w:p>
    <w:p w14:paraId="76415FE4">
      <w:pPr>
        <w:ind w:firstLine="0"/>
        <w:rPr>
          <w:bCs/>
        </w:rPr>
      </w:pPr>
      <w:r>
        <w:rPr>
          <w:b/>
          <w:bCs/>
        </w:rPr>
        <w:t>6.2.16　</w:t>
      </w:r>
      <w:r>
        <w:rPr>
          <w:bCs/>
        </w:rPr>
        <w:t>劲芯水泥土墙施工还应符合现行行业标准《型钢水泥土搅拌墙技术规程》JGJ/T 199的有关规定。</w:t>
      </w:r>
    </w:p>
    <w:p w14:paraId="72CE44D7">
      <w:pPr>
        <w:spacing w:before="164" w:beforeLines="50" w:after="164" w:afterLines="50"/>
        <w:ind w:firstLine="0"/>
        <w:jc w:val="center"/>
        <w:outlineLvl w:val="2"/>
        <w:rPr>
          <w:rFonts w:eastAsia="仿宋"/>
          <w:b/>
          <w:bCs/>
          <w:color w:val="auto"/>
          <w:sz w:val="28"/>
          <w:szCs w:val="28"/>
        </w:rPr>
      </w:pPr>
      <w:bookmarkStart w:id="397" w:name="_Toc13404"/>
      <w:bookmarkStart w:id="398" w:name="_Toc18478"/>
      <w:bookmarkStart w:id="399" w:name="_Toc24316"/>
      <w:bookmarkStart w:id="400" w:name="_Toc28449"/>
      <w:bookmarkStart w:id="401" w:name="_Toc2115"/>
      <w:bookmarkStart w:id="402" w:name="_Toc27478"/>
      <w:bookmarkStart w:id="403" w:name="_Toc26376"/>
      <w:bookmarkStart w:id="404" w:name="_Toc11353"/>
      <w:r>
        <w:rPr>
          <w:rFonts w:eastAsia="仿宋"/>
          <w:b/>
          <w:bCs/>
          <w:color w:val="auto"/>
          <w:sz w:val="28"/>
          <w:szCs w:val="28"/>
        </w:rPr>
        <w:t>Ⅴ  排桩</w:t>
      </w:r>
      <w:bookmarkEnd w:id="397"/>
      <w:bookmarkEnd w:id="398"/>
      <w:bookmarkEnd w:id="399"/>
      <w:bookmarkEnd w:id="400"/>
      <w:bookmarkEnd w:id="401"/>
      <w:bookmarkEnd w:id="402"/>
      <w:bookmarkEnd w:id="403"/>
      <w:bookmarkEnd w:id="404"/>
    </w:p>
    <w:p w14:paraId="6515E73D">
      <w:pPr>
        <w:ind w:firstLine="0"/>
        <w:rPr>
          <w:bCs/>
        </w:rPr>
      </w:pPr>
      <w:r>
        <w:rPr>
          <w:b/>
          <w:bCs/>
        </w:rPr>
        <w:t>6.2.17　</w:t>
      </w:r>
      <w:r>
        <w:rPr>
          <w:bCs/>
        </w:rPr>
        <w:t>排桩包括单排桩、双排桩、咬合桩，排桩支护施工应符合下列规定：</w:t>
      </w:r>
    </w:p>
    <w:p w14:paraId="56963B6A">
      <w:pPr>
        <w:ind w:firstLine="482" w:firstLineChars="200"/>
        <w:rPr>
          <w:bCs/>
        </w:rPr>
      </w:pPr>
      <w:r>
        <w:rPr>
          <w:b/>
        </w:rPr>
        <w:t>1　</w:t>
      </w:r>
      <w:r>
        <w:rPr>
          <w:bCs/>
        </w:rPr>
        <w:t>排桩结构可包括混凝土灌注桩和预制桩。灌注桩排桩成桩应采用跳打的施工顺序，间隔距离应大于桩径的4倍，预制排桩成桩应从一端向另一端进行；</w:t>
      </w:r>
    </w:p>
    <w:p w14:paraId="2DD47D92">
      <w:pPr>
        <w:ind w:firstLine="482" w:firstLineChars="200"/>
        <w:rPr>
          <w:bCs/>
        </w:rPr>
      </w:pPr>
      <w:bookmarkStart w:id="405" w:name="_Toc20098"/>
      <w:bookmarkStart w:id="406" w:name="_Toc12394"/>
      <w:bookmarkStart w:id="407" w:name="_Toc16638"/>
      <w:r>
        <w:rPr>
          <w:b/>
        </w:rPr>
        <w:t>2　</w:t>
      </w:r>
      <w:r>
        <w:rPr>
          <w:bCs/>
        </w:rPr>
        <w:t>排桩施工过程中应做好施工记录；</w:t>
      </w:r>
      <w:bookmarkEnd w:id="405"/>
      <w:bookmarkEnd w:id="406"/>
      <w:bookmarkEnd w:id="407"/>
    </w:p>
    <w:p w14:paraId="097902F0">
      <w:pPr>
        <w:ind w:firstLine="482" w:firstLineChars="200"/>
        <w:rPr>
          <w:bCs/>
        </w:rPr>
      </w:pPr>
      <w:r>
        <w:rPr>
          <w:b/>
        </w:rPr>
        <w:t>3　</w:t>
      </w:r>
      <w:r>
        <w:rPr>
          <w:bCs/>
        </w:rPr>
        <w:t>钻孔灌注桩需泥浆护壁成孔时，采用黏性土造浆时，制造泥浆的黏土用量可按土的含水量、比重、密度等指标进行换算。</w:t>
      </w:r>
    </w:p>
    <w:p w14:paraId="63B998BD">
      <w:pPr>
        <w:ind w:firstLine="0"/>
        <w:rPr>
          <w:bCs/>
        </w:rPr>
      </w:pPr>
      <w:bookmarkStart w:id="408" w:name="_Toc17129"/>
      <w:bookmarkStart w:id="409" w:name="_Toc25330"/>
      <w:bookmarkStart w:id="410" w:name="_Toc5809"/>
      <w:r>
        <w:rPr>
          <w:b/>
          <w:bCs/>
        </w:rPr>
        <w:t>6.2.18　</w:t>
      </w:r>
      <w:r>
        <w:rPr>
          <w:bCs/>
        </w:rPr>
        <w:t>咬合式排桩施工应符合下列规定：</w:t>
      </w:r>
      <w:bookmarkEnd w:id="408"/>
      <w:bookmarkEnd w:id="409"/>
      <w:bookmarkEnd w:id="410"/>
    </w:p>
    <w:p w14:paraId="10EFAE58">
      <w:pPr>
        <w:ind w:firstLine="482" w:firstLineChars="200"/>
        <w:rPr>
          <w:bCs/>
        </w:rPr>
      </w:pPr>
      <w:r>
        <w:rPr>
          <w:b/>
        </w:rPr>
        <w:t>1　</w:t>
      </w:r>
      <w:r>
        <w:rPr>
          <w:bCs/>
        </w:rPr>
        <w:t>咬合桩桩顶应设置导墙，导墙宽度宜为3m～4m，厚度宜为0.3m～0.5m；</w:t>
      </w:r>
    </w:p>
    <w:p w14:paraId="488BDC17">
      <w:pPr>
        <w:ind w:firstLine="482" w:firstLineChars="200"/>
        <w:rPr>
          <w:bCs/>
        </w:rPr>
      </w:pPr>
      <w:r>
        <w:rPr>
          <w:b/>
        </w:rPr>
        <w:t>2　</w:t>
      </w:r>
      <w:r>
        <w:rPr>
          <w:bCs/>
        </w:rPr>
        <w:t>咬合桩施工前，应根据现场周边环境、工程地质和水文地质条件、设计要求、施工经验等选择施工设备和工艺，并进行工艺性成桩试验；</w:t>
      </w:r>
    </w:p>
    <w:p w14:paraId="18AB50D9">
      <w:pPr>
        <w:ind w:firstLine="482" w:firstLineChars="200"/>
        <w:rPr>
          <w:bCs/>
        </w:rPr>
      </w:pPr>
      <w:r>
        <w:rPr>
          <w:b/>
        </w:rPr>
        <w:t>3　</w:t>
      </w:r>
      <w:r>
        <w:rPr>
          <w:bCs/>
        </w:rPr>
        <w:t>咬合桩应先施工素混凝土桩后施工钢筋混凝土桩（图6.2.18）。可采用软切割和硬切割的施工方式，也可采用预埋接头管的方式；施工机械可采用全套管全回转钻机、搓管机、振动锤、旋挖钻机驱动护筒等；</w:t>
      </w:r>
    </w:p>
    <w:p w14:paraId="5115C07F">
      <w:pPr>
        <w:ind w:firstLine="482" w:firstLineChars="200"/>
        <w:rPr>
          <w:bCs/>
        </w:rPr>
      </w:pPr>
      <w:bookmarkStart w:id="411" w:name="_Toc3246"/>
      <w:bookmarkStart w:id="412" w:name="_Toc30930"/>
      <w:bookmarkStart w:id="413" w:name="_Toc10145"/>
      <w:r>
        <w:rPr>
          <w:b/>
        </w:rPr>
        <w:t>4　</w:t>
      </w:r>
      <w:r>
        <w:rPr>
          <w:bCs/>
        </w:rPr>
        <w:t>采用咬合桩+锚杆（索）的支护体系时，可预埋锚索施工架。</w:t>
      </w:r>
      <w:bookmarkEnd w:id="411"/>
      <w:bookmarkEnd w:id="412"/>
      <w:bookmarkEnd w:id="413"/>
    </w:p>
    <w:p w14:paraId="5F5C9AE6">
      <w:pPr>
        <w:ind w:firstLine="0"/>
        <w:jc w:val="center"/>
        <w:rPr>
          <w:bCs/>
        </w:rPr>
      </w:pPr>
      <w:r>
        <w:rPr>
          <w:bCs/>
        </w:rPr>
        <w:object>
          <v:shape id="_x0000_i1188" o:spt="75" type="#_x0000_t75" style="height:116.5pt;width:387.8pt;" o:ole="t" filled="f" o:preferrelative="t" stroked="f" coordsize="21600,21600">
            <v:path/>
            <v:fill on="f" focussize="0,0"/>
            <v:stroke on="f" joinstyle="miter"/>
            <v:imagedata r:id="rId350" cropleft="35502f" croptop="27563f" cropright="23315f" cropbottom="31475f" o:title=""/>
            <o:lock v:ext="edit" aspectratio="f"/>
            <w10:wrap type="none"/>
            <w10:anchorlock/>
          </v:shape>
          <o:OLEObject Type="Embed" ProgID="AutoCAD.Drawing.20" ShapeID="_x0000_i1188" DrawAspect="Content" ObjectID="_1468075888" r:id="rId349">
            <o:LockedField>false</o:LockedField>
          </o:OLEObject>
        </w:object>
      </w:r>
    </w:p>
    <w:p w14:paraId="0DE5C40B">
      <w:pPr>
        <w:ind w:firstLine="0"/>
        <w:jc w:val="center"/>
        <w:rPr>
          <w:b/>
          <w:bCs/>
          <w:color w:val="auto"/>
          <w:sz w:val="21"/>
          <w:szCs w:val="21"/>
        </w:rPr>
      </w:pPr>
      <w:r>
        <w:rPr>
          <w:b/>
          <w:bCs/>
          <w:color w:val="auto"/>
          <w:sz w:val="21"/>
          <w:szCs w:val="21"/>
        </w:rPr>
        <w:t>图6.2.18　咬合桩施工顺序示意图</w:t>
      </w:r>
    </w:p>
    <w:p w14:paraId="33D26285">
      <w:pPr>
        <w:pStyle w:val="19"/>
        <w:widowControl w:val="0"/>
        <w:spacing w:beforeLines="0" w:afterLines="0"/>
        <w:jc w:val="center"/>
        <w:outlineLvl w:val="9"/>
        <w:rPr>
          <w:rFonts w:ascii="Times New Roman" w:eastAsia="宋体"/>
          <w:b/>
          <w:bCs/>
          <w:szCs w:val="21"/>
        </w:rPr>
      </w:pPr>
    </w:p>
    <w:p w14:paraId="6E67AC28">
      <w:pPr>
        <w:ind w:firstLine="0"/>
        <w:rPr>
          <w:bCs/>
        </w:rPr>
      </w:pPr>
      <w:r>
        <w:rPr>
          <w:b/>
          <w:bCs/>
        </w:rPr>
        <w:t>6.2.19　</w:t>
      </w:r>
      <w:r>
        <w:rPr>
          <w:bCs/>
        </w:rPr>
        <w:t>排桩施工还应符合现行行业标准《建筑桩基技术规范》JGJ 94的有关规定。</w:t>
      </w:r>
    </w:p>
    <w:p w14:paraId="472CD7E0">
      <w:pPr>
        <w:spacing w:before="164" w:beforeLines="50" w:after="164" w:afterLines="50"/>
        <w:ind w:firstLine="0"/>
        <w:jc w:val="center"/>
        <w:outlineLvl w:val="2"/>
        <w:rPr>
          <w:rFonts w:eastAsia="仿宋"/>
          <w:b/>
          <w:bCs/>
          <w:color w:val="auto"/>
          <w:sz w:val="28"/>
          <w:szCs w:val="28"/>
        </w:rPr>
      </w:pPr>
      <w:bookmarkStart w:id="414" w:name="_Toc3742"/>
      <w:bookmarkStart w:id="415" w:name="_Toc915"/>
      <w:bookmarkStart w:id="416" w:name="_Toc12418"/>
      <w:bookmarkStart w:id="417" w:name="_Toc3169"/>
      <w:bookmarkStart w:id="418" w:name="_Toc13145"/>
      <w:bookmarkStart w:id="419" w:name="_Toc31021"/>
      <w:r>
        <w:rPr>
          <w:rFonts w:eastAsia="仿宋"/>
          <w:b/>
          <w:bCs/>
          <w:color w:val="auto"/>
          <w:sz w:val="28"/>
          <w:szCs w:val="28"/>
        </w:rPr>
        <w:t>Ⅵ  内支撑</w:t>
      </w:r>
      <w:bookmarkEnd w:id="414"/>
      <w:bookmarkEnd w:id="415"/>
      <w:bookmarkEnd w:id="416"/>
      <w:bookmarkEnd w:id="417"/>
      <w:bookmarkEnd w:id="418"/>
      <w:bookmarkEnd w:id="419"/>
      <w:bookmarkStart w:id="420" w:name="_Toc18378"/>
      <w:bookmarkStart w:id="421" w:name="_Toc32144"/>
    </w:p>
    <w:p w14:paraId="696C24E1">
      <w:pPr>
        <w:ind w:firstLine="0"/>
        <w:rPr>
          <w:bCs/>
        </w:rPr>
      </w:pPr>
      <w:bookmarkStart w:id="422" w:name="_Toc30447"/>
      <w:r>
        <w:rPr>
          <w:b/>
          <w:bCs/>
        </w:rPr>
        <w:t>6.2.20　</w:t>
      </w:r>
      <w:r>
        <w:t>钢筋</w:t>
      </w:r>
      <w:r>
        <w:rPr>
          <w:bCs/>
        </w:rPr>
        <w:t>混凝土支撑施工应符合下列规定：</w:t>
      </w:r>
      <w:bookmarkEnd w:id="420"/>
      <w:bookmarkEnd w:id="421"/>
      <w:bookmarkEnd w:id="422"/>
    </w:p>
    <w:p w14:paraId="42E6074B">
      <w:pPr>
        <w:rPr>
          <w:bCs/>
        </w:rPr>
      </w:pPr>
      <w:r>
        <w:rPr>
          <w:b/>
        </w:rPr>
        <w:t>1　</w:t>
      </w:r>
      <w:r>
        <w:rPr>
          <w:bCs/>
        </w:rPr>
        <w:t>支撑系统的施工应遵循先撑后挖的原则，内支撑结构的施工与拆除顺序应与设计工况保持一致；</w:t>
      </w:r>
    </w:p>
    <w:p w14:paraId="4495E478">
      <w:pPr>
        <w:rPr>
          <w:bCs/>
        </w:rPr>
      </w:pPr>
      <w:r>
        <w:rPr>
          <w:b/>
        </w:rPr>
        <w:t>2　</w:t>
      </w:r>
      <w:r>
        <w:rPr>
          <w:bCs/>
        </w:rPr>
        <w:t>支撑穿过管廊结构侧墙时，应做好结构防水措施；</w:t>
      </w:r>
    </w:p>
    <w:p w14:paraId="3FE3614E">
      <w:pPr>
        <w:rPr>
          <w:bCs/>
        </w:rPr>
      </w:pPr>
      <w:r>
        <w:rPr>
          <w:b/>
        </w:rPr>
        <w:t>3　</w:t>
      </w:r>
      <w:r>
        <w:rPr>
          <w:bCs/>
        </w:rPr>
        <w:t>支撑梁板底部绑扎钢筋前应采取可靠措施与底部土体隔离；</w:t>
      </w:r>
    </w:p>
    <w:p w14:paraId="41328E70">
      <w:pPr>
        <w:rPr>
          <w:bCs/>
        </w:rPr>
      </w:pPr>
      <w:r>
        <w:rPr>
          <w:b/>
        </w:rPr>
        <w:t>4　</w:t>
      </w:r>
      <w:r>
        <w:rPr>
          <w:bCs/>
        </w:rPr>
        <w:t>冠梁、腰梁和支撑混凝土应整体浇筑，杆件跨度较大时宜分段浇筑、养护；</w:t>
      </w:r>
    </w:p>
    <w:p w14:paraId="4B1681A7">
      <w:pPr>
        <w:rPr>
          <w:bCs/>
        </w:rPr>
      </w:pPr>
      <w:r>
        <w:rPr>
          <w:b/>
        </w:rPr>
        <w:t>5　</w:t>
      </w:r>
      <w:r>
        <w:rPr>
          <w:bCs/>
        </w:rPr>
        <w:t>支撑混凝土强度达到设计要求后方可开挖下层土方，支撑下方土方开挖应根据支撑下方净空高度选择设备，开挖时严禁触碰支撑结构；</w:t>
      </w:r>
    </w:p>
    <w:p w14:paraId="250062E7">
      <w:pPr>
        <w:rPr>
          <w:bCs/>
        </w:rPr>
      </w:pPr>
      <w:r>
        <w:rPr>
          <w:b/>
        </w:rPr>
        <w:t>6　</w:t>
      </w:r>
      <w:r>
        <w:rPr>
          <w:bCs/>
        </w:rPr>
        <w:t>混凝土支撑的施工还应符合现行国家标准《混凝土结构工程施工质量验收规范》GB 50204的规定。</w:t>
      </w:r>
    </w:p>
    <w:p w14:paraId="5649226B">
      <w:pPr>
        <w:widowControl/>
        <w:ind w:firstLine="0"/>
        <w:jc w:val="left"/>
      </w:pPr>
      <w:r>
        <w:rPr>
          <w:b/>
          <w:bCs/>
        </w:rPr>
        <w:t>6.2.21　</w:t>
      </w:r>
      <w:r>
        <w:t>在临近轨道交通、生命线工程、保护建筑和老旧居民小区等周边环境复杂的综合管廊明挖段，可采用</w:t>
      </w:r>
      <w:r>
        <w:rPr>
          <w:lang w:bidi="ar"/>
        </w:rPr>
        <w:t>轴力伺服混凝土支撑。</w:t>
      </w:r>
    </w:p>
    <w:p w14:paraId="4CD86C60">
      <w:pPr>
        <w:ind w:firstLine="0"/>
        <w:rPr>
          <w:bCs/>
        </w:rPr>
      </w:pPr>
      <w:bookmarkStart w:id="423" w:name="_Toc12186"/>
      <w:bookmarkStart w:id="424" w:name="_Toc23137"/>
      <w:bookmarkStart w:id="425" w:name="_Toc25907"/>
      <w:r>
        <w:rPr>
          <w:b/>
          <w:bCs/>
        </w:rPr>
        <w:t>6.2.22　</w:t>
      </w:r>
      <w:r>
        <w:t>钢</w:t>
      </w:r>
      <w:r>
        <w:rPr>
          <w:bCs/>
        </w:rPr>
        <w:t>支撑施工应符合下列规定：</w:t>
      </w:r>
      <w:bookmarkEnd w:id="423"/>
      <w:bookmarkEnd w:id="424"/>
      <w:bookmarkEnd w:id="425"/>
    </w:p>
    <w:p w14:paraId="41F48198">
      <w:pPr>
        <w:rPr>
          <w:bCs/>
        </w:rPr>
      </w:pPr>
      <w:r>
        <w:rPr>
          <w:b/>
        </w:rPr>
        <w:t>1　</w:t>
      </w:r>
      <w:r>
        <w:rPr>
          <w:bCs/>
        </w:rPr>
        <w:t>钢腰梁与围护墙体之间的空隙不宜大于100mm，超过时可在腰梁安装定位后，采用C30或以上等级的细石混凝土填充密实，或其他可靠连接措施；</w:t>
      </w:r>
    </w:p>
    <w:p w14:paraId="6FAFBEEB">
      <w:pPr>
        <w:rPr>
          <w:bCs/>
        </w:rPr>
      </w:pPr>
      <w:r>
        <w:rPr>
          <w:b/>
        </w:rPr>
        <w:t>2　</w:t>
      </w:r>
      <w:r>
        <w:rPr>
          <w:bCs/>
        </w:rPr>
        <w:t>对施加预应力的钢支撑，施加预应力前应检查各节点的连接状况，施加预应力过程中应均匀、对称、分级施加。</w:t>
      </w:r>
    </w:p>
    <w:p w14:paraId="44C5F1DC">
      <w:pPr>
        <w:ind w:firstLine="0"/>
        <w:rPr>
          <w:bCs/>
        </w:rPr>
      </w:pPr>
      <w:bookmarkStart w:id="426" w:name="_Toc32677"/>
      <w:bookmarkStart w:id="427" w:name="_Toc32157"/>
      <w:bookmarkStart w:id="428" w:name="_Toc28397"/>
      <w:r>
        <w:rPr>
          <w:b/>
          <w:bCs/>
        </w:rPr>
        <w:t>6.2.23　</w:t>
      </w:r>
      <w:r>
        <w:t>立柱</w:t>
      </w:r>
      <w:r>
        <w:rPr>
          <w:bCs/>
        </w:rPr>
        <w:t>施工应符合下列规定：</w:t>
      </w:r>
      <w:bookmarkEnd w:id="426"/>
      <w:bookmarkEnd w:id="427"/>
      <w:bookmarkEnd w:id="428"/>
    </w:p>
    <w:p w14:paraId="3BCEE2DD">
      <w:pPr>
        <w:rPr>
          <w:bCs/>
        </w:rPr>
      </w:pPr>
      <w:r>
        <w:rPr>
          <w:b/>
        </w:rPr>
        <w:t>1　</w:t>
      </w:r>
      <w:r>
        <w:rPr>
          <w:bCs/>
        </w:rPr>
        <w:t>立柱桩可选择钢筋混凝土灌注桩、型钢水泥土搅拌桩、预应力管桩等，施工应符合现行行业标准《建筑桩基技术规范》JGJ 94的有关规定；当采用钢筋混凝土灌注桩时孔底沉渣不应大于100mm；</w:t>
      </w:r>
    </w:p>
    <w:p w14:paraId="3CAD319E">
      <w:pPr>
        <w:rPr>
          <w:bCs/>
        </w:rPr>
      </w:pPr>
      <w:bookmarkStart w:id="429" w:name="_Toc14430"/>
      <w:bookmarkStart w:id="430" w:name="_Toc5633"/>
      <w:bookmarkStart w:id="431" w:name="_Toc331"/>
      <w:r>
        <w:rPr>
          <w:b/>
        </w:rPr>
        <w:t>2　</w:t>
      </w:r>
      <w:r>
        <w:t>立柱与支撑、立柱与立柱桩之间应采取可靠的连接措施；</w:t>
      </w:r>
    </w:p>
    <w:p w14:paraId="55F2BE61">
      <w:pPr>
        <w:rPr>
          <w:bCs/>
        </w:rPr>
      </w:pPr>
      <w:r>
        <w:t>3　立柱采用钢格构柱时，其制作加工、焊接与安装应符合现行国家标准《钢结构工程施工质量验收规范》GB 50205的有关规定；</w:t>
      </w:r>
    </w:p>
    <w:p w14:paraId="65551117">
      <w:pPr>
        <w:rPr>
          <w:bCs/>
        </w:rPr>
      </w:pPr>
      <w:r>
        <w:rPr>
          <w:bCs/>
        </w:rPr>
        <w:t>4　当立柱穿过管廊结构时，应采取可靠的止水措施。</w:t>
      </w:r>
      <w:bookmarkEnd w:id="429"/>
      <w:bookmarkEnd w:id="430"/>
      <w:bookmarkEnd w:id="431"/>
    </w:p>
    <w:p w14:paraId="10B1CCBA">
      <w:pPr>
        <w:ind w:firstLine="0"/>
        <w:rPr>
          <w:bCs/>
        </w:rPr>
      </w:pPr>
      <w:bookmarkStart w:id="432" w:name="_Toc31550"/>
      <w:bookmarkStart w:id="433" w:name="_Toc8616"/>
      <w:bookmarkStart w:id="434" w:name="_Toc26162"/>
      <w:r>
        <w:rPr>
          <w:b/>
          <w:bCs/>
        </w:rPr>
        <w:t>6.2.24　</w:t>
      </w:r>
      <w:r>
        <w:t>支撑体系换撑和拆除</w:t>
      </w:r>
      <w:r>
        <w:rPr>
          <w:bCs/>
        </w:rPr>
        <w:t>应符合下列规定：</w:t>
      </w:r>
      <w:bookmarkEnd w:id="432"/>
      <w:bookmarkEnd w:id="433"/>
      <w:bookmarkEnd w:id="434"/>
    </w:p>
    <w:p w14:paraId="137D8EBF">
      <w:bookmarkStart w:id="435" w:name="_Toc31538"/>
      <w:bookmarkStart w:id="436" w:name="_Toc12014"/>
      <w:bookmarkStart w:id="437" w:name="_Toc7456"/>
      <w:r>
        <w:rPr>
          <w:b/>
        </w:rPr>
        <w:t>1　</w:t>
      </w:r>
      <w:r>
        <w:rPr>
          <w:bCs/>
        </w:rPr>
        <w:t>支撑体系的</w:t>
      </w:r>
      <w:r>
        <w:t>换撑和拆除应与设计工况一致；</w:t>
      </w:r>
      <w:bookmarkEnd w:id="435"/>
      <w:bookmarkEnd w:id="436"/>
      <w:bookmarkEnd w:id="437"/>
    </w:p>
    <w:p w14:paraId="04351584">
      <w:r>
        <w:rPr>
          <w:b/>
          <w:bCs/>
        </w:rPr>
        <w:t>2　</w:t>
      </w:r>
      <w:r>
        <w:t>支撑体系拆除过程中，应加强基坑监测和现场巡视检查，发现隐患应立即排除。</w:t>
      </w:r>
    </w:p>
    <w:p w14:paraId="6D8B27CA">
      <w:pPr>
        <w:spacing w:before="164" w:beforeLines="50" w:after="164" w:afterLines="50"/>
        <w:ind w:firstLine="0"/>
        <w:jc w:val="center"/>
        <w:outlineLvl w:val="2"/>
        <w:rPr>
          <w:rFonts w:eastAsia="仿宋"/>
          <w:b/>
          <w:bCs/>
          <w:color w:val="auto"/>
          <w:sz w:val="28"/>
          <w:szCs w:val="28"/>
        </w:rPr>
      </w:pPr>
      <w:bookmarkStart w:id="438" w:name="_Toc5947"/>
      <w:bookmarkStart w:id="439" w:name="_Toc9850"/>
      <w:bookmarkStart w:id="440" w:name="_Toc28445"/>
      <w:bookmarkStart w:id="441" w:name="_Toc25642"/>
      <w:bookmarkStart w:id="442" w:name="_Toc15163"/>
      <w:bookmarkStart w:id="443" w:name="_Toc919"/>
      <w:bookmarkStart w:id="444" w:name="_Toc5124"/>
      <w:bookmarkStart w:id="445" w:name="_Toc26372"/>
      <w:r>
        <w:rPr>
          <w:rFonts w:eastAsia="仿宋"/>
          <w:b/>
          <w:bCs/>
          <w:color w:val="auto"/>
          <w:sz w:val="28"/>
          <w:szCs w:val="28"/>
        </w:rPr>
        <w:t>Ⅶ  锚杆（索）</w:t>
      </w:r>
      <w:bookmarkEnd w:id="438"/>
      <w:bookmarkEnd w:id="439"/>
      <w:bookmarkEnd w:id="440"/>
      <w:bookmarkEnd w:id="441"/>
      <w:bookmarkEnd w:id="442"/>
      <w:bookmarkEnd w:id="443"/>
      <w:bookmarkEnd w:id="444"/>
      <w:bookmarkEnd w:id="445"/>
    </w:p>
    <w:p w14:paraId="021DCF7D">
      <w:pPr>
        <w:ind w:firstLine="0"/>
        <w:rPr>
          <w:bCs/>
        </w:rPr>
      </w:pPr>
      <w:r>
        <w:rPr>
          <w:b/>
          <w:bCs/>
        </w:rPr>
        <w:t>6.2.25　</w:t>
      </w:r>
      <w:r>
        <w:rPr>
          <w:bCs/>
        </w:rPr>
        <w:t>锚杆（索）施工前宜进行试成锚试验，验证设计参数、确定施工工艺。</w:t>
      </w:r>
    </w:p>
    <w:p w14:paraId="52B7F2A1">
      <w:pPr>
        <w:ind w:firstLine="0"/>
        <w:rPr>
          <w:bCs/>
        </w:rPr>
      </w:pPr>
      <w:bookmarkStart w:id="446" w:name="_Toc28031"/>
      <w:bookmarkStart w:id="447" w:name="_Toc24860"/>
      <w:bookmarkStart w:id="448" w:name="_Toc16503"/>
      <w:r>
        <w:rPr>
          <w:b/>
          <w:bCs/>
        </w:rPr>
        <w:t>6.2.26　</w:t>
      </w:r>
      <w:r>
        <w:rPr>
          <w:bCs/>
        </w:rPr>
        <w:t>锚杆（索）成孔应符合下列规定：</w:t>
      </w:r>
      <w:bookmarkEnd w:id="446"/>
      <w:bookmarkEnd w:id="447"/>
      <w:bookmarkEnd w:id="448"/>
    </w:p>
    <w:p w14:paraId="634588C8">
      <w:pPr>
        <w:rPr>
          <w:bCs/>
        </w:rPr>
      </w:pPr>
      <w:r>
        <w:rPr>
          <w:b/>
        </w:rPr>
        <w:t>1　</w:t>
      </w:r>
      <w:r>
        <w:rPr>
          <w:bCs/>
        </w:rPr>
        <w:t>在易塌孔地层中成孔施工时，宜采取跟管钻进；</w:t>
      </w:r>
    </w:p>
    <w:p w14:paraId="4F5B9534">
      <w:pPr>
        <w:rPr>
          <w:bCs/>
        </w:rPr>
      </w:pPr>
      <w:r>
        <w:rPr>
          <w:b/>
        </w:rPr>
        <w:t>2　</w:t>
      </w:r>
      <w:r>
        <w:rPr>
          <w:bCs/>
        </w:rPr>
        <w:t>锚杆（索）施工钻穿止水帷幕，应及时进行堵漏、修补帷幕；</w:t>
      </w:r>
    </w:p>
    <w:p w14:paraId="48148104">
      <w:pPr>
        <w:rPr>
          <w:bCs/>
        </w:rPr>
      </w:pPr>
      <w:r>
        <w:rPr>
          <w:b/>
        </w:rPr>
        <w:t>3　</w:t>
      </w:r>
      <w:r>
        <w:rPr>
          <w:bCs/>
        </w:rPr>
        <w:t>锚杆（索）成孔深度应超过设计深度不小于0.5m；锚孔水平及垂直方向允许偏差应为±50mm，钻孔角度允许偏差应为±3</w:t>
      </w:r>
      <w:r>
        <w:rPr>
          <w:bCs/>
          <w:vertAlign w:val="superscript"/>
        </w:rPr>
        <w:t>o</w:t>
      </w:r>
      <w:r>
        <w:rPr>
          <w:bCs/>
        </w:rPr>
        <w:t>；</w:t>
      </w:r>
    </w:p>
    <w:p w14:paraId="616E462B">
      <w:pPr>
        <w:rPr>
          <w:bCs/>
        </w:rPr>
      </w:pPr>
      <w:bookmarkStart w:id="449" w:name="_Toc23821"/>
      <w:bookmarkStart w:id="450" w:name="_Toc27596"/>
      <w:bookmarkStart w:id="451" w:name="_Toc15491"/>
      <w:r>
        <w:rPr>
          <w:b/>
        </w:rPr>
        <w:t>4　</w:t>
      </w:r>
      <w:r>
        <w:rPr>
          <w:bCs/>
        </w:rPr>
        <w:t>采用旋喷锚杆（索）时，宜采用螺旋钻、三叶钻头预成孔；</w:t>
      </w:r>
      <w:bookmarkEnd w:id="449"/>
      <w:bookmarkEnd w:id="450"/>
      <w:bookmarkEnd w:id="451"/>
    </w:p>
    <w:p w14:paraId="507A052D">
      <w:pPr>
        <w:ind w:firstLine="0"/>
        <w:rPr>
          <w:bCs/>
        </w:rPr>
      </w:pPr>
      <w:bookmarkStart w:id="452" w:name="_Toc14097"/>
      <w:bookmarkStart w:id="453" w:name="_Toc5287"/>
      <w:bookmarkStart w:id="454" w:name="_Toc22421"/>
      <w:r>
        <w:rPr>
          <w:b/>
          <w:bCs/>
        </w:rPr>
        <w:t>6.2.27　</w:t>
      </w:r>
      <w:r>
        <w:rPr>
          <w:bCs/>
        </w:rPr>
        <w:t>锚杆（索）杆体制作、安装应符合下列规定：</w:t>
      </w:r>
      <w:bookmarkEnd w:id="452"/>
      <w:bookmarkEnd w:id="453"/>
      <w:bookmarkEnd w:id="454"/>
    </w:p>
    <w:p w14:paraId="1289E047">
      <w:pPr>
        <w:rPr>
          <w:bCs/>
        </w:rPr>
      </w:pPr>
      <w:r>
        <w:rPr>
          <w:b/>
        </w:rPr>
        <w:t>1　</w:t>
      </w:r>
      <w:r>
        <w:rPr>
          <w:bCs/>
        </w:rPr>
        <w:t>锚杆（索）杆体应全长设置定位架，定位架外径宜小于钻孔直径4mm</w:t>
      </w:r>
      <w:r>
        <w:rPr>
          <w:color w:val="auto"/>
        </w:rPr>
        <w:t>～</w:t>
      </w:r>
      <w:r>
        <w:rPr>
          <w:bCs/>
        </w:rPr>
        <w:t>6mm，间距宜为1.0m</w:t>
      </w:r>
      <w:r>
        <w:rPr>
          <w:color w:val="auto"/>
        </w:rPr>
        <w:t>～</w:t>
      </w:r>
      <w:r>
        <w:rPr>
          <w:bCs/>
        </w:rPr>
        <w:t>2.0m；</w:t>
      </w:r>
    </w:p>
    <w:p w14:paraId="0A88FDA9">
      <w:pPr>
        <w:rPr>
          <w:bCs/>
        </w:rPr>
      </w:pPr>
      <w:bookmarkStart w:id="455" w:name="_Toc9998"/>
      <w:bookmarkStart w:id="456" w:name="_Toc19617"/>
      <w:bookmarkStart w:id="457" w:name="_Toc23019"/>
      <w:r>
        <w:rPr>
          <w:b/>
        </w:rPr>
        <w:t>2　</w:t>
      </w:r>
      <w:r>
        <w:rPr>
          <w:bCs/>
        </w:rPr>
        <w:t>杆体自由端应采取防腐和有效的隔离措施；</w:t>
      </w:r>
      <w:bookmarkEnd w:id="455"/>
      <w:bookmarkEnd w:id="456"/>
      <w:bookmarkEnd w:id="457"/>
    </w:p>
    <w:p w14:paraId="211488DA">
      <w:pPr>
        <w:rPr>
          <w:bCs/>
        </w:rPr>
      </w:pPr>
      <w:r>
        <w:rPr>
          <w:b/>
        </w:rPr>
        <w:t>3　</w:t>
      </w:r>
      <w:r>
        <w:rPr>
          <w:bCs/>
        </w:rPr>
        <w:t>钢绞线和玻璃纤维杆体应采用切割机或圆盘砂轮锯切断，严禁使用焊机焊断；</w:t>
      </w:r>
    </w:p>
    <w:p w14:paraId="6EB83C1F">
      <w:pPr>
        <w:rPr>
          <w:bCs/>
        </w:rPr>
      </w:pPr>
      <w:r>
        <w:rPr>
          <w:b/>
        </w:rPr>
        <w:t>4　</w:t>
      </w:r>
      <w:r>
        <w:rPr>
          <w:bCs/>
        </w:rPr>
        <w:t>采用跟管钻进时，应在拔出套管前将杆体送入孔内，并应采取有效措施，防止拔出套管是时杆体被带出；</w:t>
      </w:r>
    </w:p>
    <w:p w14:paraId="70313CDE">
      <w:pPr>
        <w:rPr>
          <w:bCs/>
        </w:rPr>
      </w:pPr>
      <w:bookmarkStart w:id="458" w:name="_Toc7643"/>
      <w:bookmarkStart w:id="459" w:name="_Toc11159"/>
      <w:bookmarkStart w:id="460" w:name="_Toc9525"/>
      <w:r>
        <w:rPr>
          <w:b/>
        </w:rPr>
        <w:t>5　</w:t>
      </w:r>
      <w:r>
        <w:rPr>
          <w:bCs/>
        </w:rPr>
        <w:t>采用旋喷锚杆时，杆体安装宜随钻杆同步带入；</w:t>
      </w:r>
      <w:bookmarkEnd w:id="458"/>
      <w:bookmarkEnd w:id="459"/>
      <w:bookmarkEnd w:id="460"/>
    </w:p>
    <w:p w14:paraId="1F8AEF50">
      <w:pPr>
        <w:rPr>
          <w:bCs/>
        </w:rPr>
      </w:pPr>
      <w:r>
        <w:rPr>
          <w:b/>
        </w:rPr>
        <w:t>6　</w:t>
      </w:r>
      <w:r>
        <w:rPr>
          <w:bCs/>
        </w:rPr>
        <w:t>杆体下料长度应考虑成孔深度、腰梁、台座尺寸、张拉锁定设备所需长度。</w:t>
      </w:r>
    </w:p>
    <w:p w14:paraId="4C343DBF">
      <w:pPr>
        <w:ind w:firstLine="0"/>
        <w:rPr>
          <w:bCs/>
        </w:rPr>
      </w:pPr>
      <w:bookmarkStart w:id="461" w:name="_Toc20225"/>
      <w:bookmarkStart w:id="462" w:name="_Toc721"/>
      <w:bookmarkStart w:id="463" w:name="_Toc5346"/>
      <w:r>
        <w:rPr>
          <w:b/>
          <w:bCs/>
        </w:rPr>
        <w:t>6.2.28　</w:t>
      </w:r>
      <w:r>
        <w:rPr>
          <w:bCs/>
        </w:rPr>
        <w:t>锚杆（索）注浆应符合下列规定:</w:t>
      </w:r>
      <w:bookmarkEnd w:id="461"/>
      <w:bookmarkEnd w:id="462"/>
      <w:bookmarkEnd w:id="463"/>
    </w:p>
    <w:p w14:paraId="05587DBD">
      <w:pPr>
        <w:rPr>
          <w:bCs/>
        </w:rPr>
      </w:pPr>
      <w:r>
        <w:rPr>
          <w:b/>
        </w:rPr>
        <w:t>1　</w:t>
      </w:r>
      <w:r>
        <w:rPr>
          <w:bCs/>
        </w:rPr>
        <w:t>在软土层中注浆时，宜选择合适的注浆压力、稳压时间、注浆工艺和注浆量；</w:t>
      </w:r>
    </w:p>
    <w:p w14:paraId="505B1A78">
      <w:pPr>
        <w:rPr>
          <w:bCs/>
        </w:rPr>
      </w:pPr>
      <w:r>
        <w:rPr>
          <w:b/>
        </w:rPr>
        <w:t>2　</w:t>
      </w:r>
      <w:r>
        <w:rPr>
          <w:bCs/>
        </w:rPr>
        <w:t>注浆泵的工作压力应符合设计文件的规定，并应计入输浆过程中管路损失对注浆压力的影响；</w:t>
      </w:r>
    </w:p>
    <w:p w14:paraId="10AF2042">
      <w:pPr>
        <w:rPr>
          <w:bCs/>
        </w:rPr>
      </w:pPr>
      <w:r>
        <w:rPr>
          <w:b/>
        </w:rPr>
        <w:t>3　</w:t>
      </w:r>
      <w:r>
        <w:rPr>
          <w:bCs/>
        </w:rPr>
        <w:t>旋喷锚索扩体段应采用水泥浆扩孔，扩孔喷射压力不应小于20MPa，喷嘴给进速度宜为100mm/min～150mm/min，喷嘴转速宜为5r/min～15r/min。</w:t>
      </w:r>
    </w:p>
    <w:p w14:paraId="355E52D8">
      <w:pPr>
        <w:ind w:firstLine="0"/>
        <w:rPr>
          <w:bCs/>
        </w:rPr>
      </w:pPr>
      <w:r>
        <w:rPr>
          <w:b/>
          <w:bCs/>
        </w:rPr>
        <w:t>6.2.29　</w:t>
      </w:r>
      <w:r>
        <w:rPr>
          <w:bCs/>
        </w:rPr>
        <w:t>锚杆张拉锁定前张拉设备应进行标定，锚固体、钢筋混凝土腰梁的养护时间和强度应符合设计要求。</w:t>
      </w:r>
    </w:p>
    <w:p w14:paraId="2FB9F551">
      <w:pPr>
        <w:ind w:firstLine="0"/>
        <w:rPr>
          <w:bCs/>
        </w:rPr>
      </w:pPr>
      <w:r>
        <w:rPr>
          <w:b/>
          <w:bCs/>
        </w:rPr>
        <w:t>6.2.30　</w:t>
      </w:r>
      <w:r>
        <w:rPr>
          <w:bCs/>
        </w:rPr>
        <w:t>锚杆的成孔、杆体制作和安装、注浆、张拉与锁定，还应符合现行行业标准《建筑基坑支护技术规程》JGJ 120的有关规定。</w:t>
      </w:r>
    </w:p>
    <w:p w14:paraId="1E5DDA80">
      <w:pPr>
        <w:keepNext/>
        <w:spacing w:before="328" w:beforeLines="100" w:after="328" w:afterLines="100" w:line="240" w:lineRule="auto"/>
        <w:ind w:firstLine="0"/>
        <w:jc w:val="center"/>
        <w:outlineLvl w:val="1"/>
        <w:rPr>
          <w:rFonts w:eastAsia="黑体"/>
          <w:b/>
          <w:bCs/>
          <w:sz w:val="28"/>
          <w:szCs w:val="28"/>
        </w:rPr>
      </w:pPr>
      <w:bookmarkStart w:id="464" w:name="_Toc11144"/>
      <w:bookmarkStart w:id="465" w:name="_Toc193392084"/>
      <w:bookmarkStart w:id="466" w:name="_Toc609"/>
      <w:bookmarkStart w:id="467" w:name="_Toc9356"/>
      <w:bookmarkStart w:id="468" w:name="_Toc25335"/>
      <w:bookmarkStart w:id="469" w:name="_Toc11190"/>
      <w:bookmarkStart w:id="470" w:name="_Toc15804"/>
      <w:bookmarkStart w:id="471" w:name="_Toc3760"/>
      <w:r>
        <w:rPr>
          <w:rFonts w:eastAsia="黑体"/>
          <w:b/>
          <w:bCs/>
          <w:sz w:val="28"/>
          <w:szCs w:val="28"/>
        </w:rPr>
        <w:t>6.3　地基处理施工</w:t>
      </w:r>
      <w:bookmarkEnd w:id="464"/>
      <w:bookmarkEnd w:id="465"/>
      <w:bookmarkEnd w:id="466"/>
      <w:bookmarkEnd w:id="467"/>
      <w:bookmarkEnd w:id="468"/>
      <w:bookmarkEnd w:id="469"/>
      <w:bookmarkEnd w:id="470"/>
      <w:bookmarkEnd w:id="471"/>
    </w:p>
    <w:p w14:paraId="15167B3C">
      <w:pPr>
        <w:ind w:firstLine="0"/>
        <w:rPr>
          <w:b/>
          <w:bCs/>
        </w:rPr>
      </w:pPr>
      <w:r>
        <w:rPr>
          <w:b/>
          <w:bCs/>
        </w:rPr>
        <w:t>6.3.1　</w:t>
      </w:r>
      <w:r>
        <w:t>换填垫层法施工应符合下列规定：</w:t>
      </w:r>
    </w:p>
    <w:p w14:paraId="2C39BBEC">
      <w:pPr>
        <w:ind w:firstLine="482" w:firstLineChars="200"/>
      </w:pPr>
      <w:r>
        <w:rPr>
          <w:b/>
          <w:bCs/>
        </w:rPr>
        <w:t>1　</w:t>
      </w:r>
      <w:r>
        <w:t>垫层铺筑前，应先进行施工验槽，底面不得积水，浮土应清理干净；如发现坑底有孔洞、沟、井、洞穴时，应在铺筑前加以处理；</w:t>
      </w:r>
    </w:p>
    <w:p w14:paraId="3951790E">
      <w:pPr>
        <w:ind w:firstLine="482" w:firstLineChars="200"/>
      </w:pPr>
      <w:r>
        <w:rPr>
          <w:b/>
          <w:bCs/>
        </w:rPr>
        <w:t>2　</w:t>
      </w:r>
      <w:r>
        <w:t>换填垫层铺筑施工时，应避免扰动坑底原状土层，可预留180mm～220mm的土层暂不挖出，待铺筑垫层材料前，采用人工开挖至设计标高；</w:t>
      </w:r>
    </w:p>
    <w:p w14:paraId="7028834A">
      <w:pPr>
        <w:ind w:firstLine="482" w:firstLineChars="200"/>
      </w:pPr>
      <w:r>
        <w:rPr>
          <w:b/>
          <w:bCs/>
        </w:rPr>
        <w:t>3　</w:t>
      </w:r>
      <w:r>
        <w:t>换填材料应根据设计要求和现场试验确定，可选用素土、砂、砂石、灰土、水泥土、粉煤灰和矿渣等；</w:t>
      </w:r>
    </w:p>
    <w:p w14:paraId="10A63140">
      <w:pPr>
        <w:ind w:firstLine="482" w:firstLineChars="200"/>
      </w:pPr>
      <w:r>
        <w:rPr>
          <w:b/>
          <w:bCs/>
        </w:rPr>
        <w:t>4　</w:t>
      </w:r>
      <w:r>
        <w:t>素土垫层应在无水状态下铺填，材料宜为黏性土，土的含水量应接近最优含水量，施工控制含水量宜为最优含水量ω</w:t>
      </w:r>
      <w:r>
        <w:rPr>
          <w:vertAlign w:val="subscript"/>
        </w:rPr>
        <w:t>op</w:t>
      </w:r>
      <w:r>
        <w:t>±2%；</w:t>
      </w:r>
    </w:p>
    <w:p w14:paraId="0F864800">
      <w:pPr>
        <w:ind w:firstLine="482" w:firstLineChars="200"/>
      </w:pPr>
      <w:r>
        <w:rPr>
          <w:b/>
          <w:bCs/>
        </w:rPr>
        <w:t>5　</w:t>
      </w:r>
      <w:r>
        <w:t>碎石垫层的碎石粒径宜为5mm～40mm，不均匀系数大于5，含泥量不应大于5%；</w:t>
      </w:r>
    </w:p>
    <w:p w14:paraId="0FE0B653">
      <w:pPr>
        <w:ind w:firstLine="482" w:firstLineChars="200"/>
      </w:pPr>
      <w:r>
        <w:rPr>
          <w:b/>
          <w:bCs/>
        </w:rPr>
        <w:t>6　</w:t>
      </w:r>
      <w:r>
        <w:t>采用矿渣垫层时，应对矿渣的化学成分、物理力学性质进行试验，合格后方可使用。</w:t>
      </w:r>
    </w:p>
    <w:p w14:paraId="6BC9823E">
      <w:pPr>
        <w:ind w:firstLine="0"/>
        <w:rPr>
          <w:b/>
          <w:bCs/>
        </w:rPr>
      </w:pPr>
      <w:r>
        <w:rPr>
          <w:b/>
          <w:bCs/>
        </w:rPr>
        <w:t>6.3.2　</w:t>
      </w:r>
      <w:r>
        <w:t>灰土挤密桩和土挤密桩施工应符合下列规定：</w:t>
      </w:r>
    </w:p>
    <w:p w14:paraId="649BE1E0">
      <w:pPr>
        <w:widowControl/>
        <w:jc w:val="left"/>
        <w:rPr>
          <w:bCs/>
        </w:rPr>
      </w:pPr>
      <w:r>
        <w:rPr>
          <w:b/>
          <w:bCs/>
        </w:rPr>
        <w:t>1　</w:t>
      </w:r>
      <w:r>
        <w:rPr>
          <w:bCs/>
        </w:rPr>
        <w:t>成孔应按设计要求、成孔设备、现场土质和周围环境等情况，选用振动沉管、锤击沉管、冲击或钻孔等方法。</w:t>
      </w:r>
    </w:p>
    <w:p w14:paraId="24C77CCE">
      <w:pPr>
        <w:widowControl/>
        <w:ind w:firstLine="482" w:firstLineChars="200"/>
        <w:jc w:val="left"/>
        <w:rPr>
          <w:bCs/>
        </w:rPr>
      </w:pPr>
      <w:r>
        <w:rPr>
          <w:b/>
          <w:bCs/>
        </w:rPr>
        <w:t>2　</w:t>
      </w:r>
      <w:r>
        <w:rPr>
          <w:bCs/>
        </w:rPr>
        <w:t>桩顶设计标高以上的预留覆盖土层厚度，宜符合下列规定：</w:t>
      </w:r>
    </w:p>
    <w:p w14:paraId="26ADDB57">
      <w:pPr>
        <w:numPr>
          <w:ilvl w:val="0"/>
          <w:numId w:val="2"/>
        </w:numPr>
        <w:ind w:firstLine="638" w:firstLineChars="266"/>
      </w:pPr>
      <w:r>
        <w:t>沉管成孔不宜小于0.5m；</w:t>
      </w:r>
    </w:p>
    <w:p w14:paraId="53E86E56">
      <w:pPr>
        <w:numPr>
          <w:ilvl w:val="0"/>
          <w:numId w:val="2"/>
        </w:numPr>
        <w:ind w:firstLine="638" w:firstLineChars="266"/>
      </w:pPr>
      <w:r>
        <w:t>冲击成孔或钻孔夯扩法成孔不宜小于1.2m。</w:t>
      </w:r>
    </w:p>
    <w:p w14:paraId="65A734D0">
      <w:pPr>
        <w:widowControl/>
        <w:ind w:firstLine="482" w:firstLineChars="200"/>
        <w:jc w:val="left"/>
        <w:rPr>
          <w:bCs/>
        </w:rPr>
      </w:pPr>
      <w:r>
        <w:rPr>
          <w:b/>
          <w:bCs/>
        </w:rPr>
        <w:t>3　</w:t>
      </w:r>
      <w:r>
        <w:rPr>
          <w:bCs/>
        </w:rPr>
        <w:t>成孔时，地基土宜接近最优（或塑限）含水量，当土的含水量低于12%时，宜对拟处理范围内的土层进行增湿，应在地基处理前（4～6）d，将需增湿的水通过一定数量和一定深度的渗水孔，均匀地浸入拟处理范围内的土层中，增湿土的加水量可按现行行业标准《建筑地基处理技术规范》JGJ 79的有关规定估算。</w:t>
      </w:r>
    </w:p>
    <w:p w14:paraId="54C031E2">
      <w:pPr>
        <w:widowControl/>
        <w:ind w:firstLine="482" w:firstLineChars="200"/>
        <w:jc w:val="left"/>
        <w:rPr>
          <w:bCs/>
        </w:rPr>
      </w:pPr>
      <w:r>
        <w:rPr>
          <w:b/>
          <w:bCs/>
        </w:rPr>
        <w:t>4　</w:t>
      </w:r>
      <w:r>
        <w:rPr>
          <w:bCs/>
        </w:rPr>
        <w:t>土料有机质含量不应大于5%，且不得含有冻土和膨胀土，使用时应过10mm～20mm的筛，混合料含水量应满足最优含水量要求，允许偏差应为±2%，土料和水泥应拌合均匀。</w:t>
      </w:r>
    </w:p>
    <w:p w14:paraId="0281DDE6">
      <w:pPr>
        <w:widowControl/>
        <w:ind w:firstLine="482" w:firstLineChars="200"/>
        <w:jc w:val="left"/>
        <w:rPr>
          <w:bCs/>
        </w:rPr>
      </w:pPr>
      <w:r>
        <w:rPr>
          <w:b/>
          <w:bCs/>
        </w:rPr>
        <w:t>5　</w:t>
      </w:r>
      <w:r>
        <w:rPr>
          <w:bCs/>
        </w:rPr>
        <w:t>成孔和孔内回填夯实应符合下列规定：</w:t>
      </w:r>
    </w:p>
    <w:p w14:paraId="63D13663">
      <w:pPr>
        <w:ind w:left="992" w:leftChars="302" w:hanging="267" w:hangingChars="111"/>
      </w:pPr>
      <w:r>
        <w:rPr>
          <w:b/>
        </w:rPr>
        <w:t>1</w:t>
      </w:r>
      <w:r>
        <w:t>）成孔和孔内回填夯实的施工顺序，当整片处理地基时，宜从里（或中间）向外间隔（1～2）孔依次进行，对大型工程，可采取分段施工；当局部处理地基时，宜从外向里间隔（1～2）孔依次进行；</w:t>
      </w:r>
    </w:p>
    <w:p w14:paraId="7F8BEF64">
      <w:pPr>
        <w:ind w:left="992" w:leftChars="302" w:hanging="267" w:hangingChars="111"/>
      </w:pPr>
      <w:r>
        <w:rPr>
          <w:b/>
        </w:rPr>
        <w:t>2</w:t>
      </w:r>
      <w:r>
        <w:t>）向孔内填料前，孔底应夯实，并应检查桩孔的直径、深度和垂直度；</w:t>
      </w:r>
    </w:p>
    <w:p w14:paraId="51BBBB6E">
      <w:pPr>
        <w:ind w:left="992" w:leftChars="302" w:hanging="267" w:hangingChars="111"/>
      </w:pPr>
      <w:r>
        <w:rPr>
          <w:b/>
        </w:rPr>
        <w:t>3</w:t>
      </w:r>
      <w:r>
        <w:t>）桩孔的垂直度允许偏差应为±1%；</w:t>
      </w:r>
    </w:p>
    <w:p w14:paraId="23DE4504">
      <w:pPr>
        <w:ind w:left="992" w:leftChars="302" w:hanging="267" w:hangingChars="111"/>
      </w:pPr>
      <w:r>
        <w:rPr>
          <w:b/>
        </w:rPr>
        <w:t>4</w:t>
      </w:r>
      <w:r>
        <w:t>）孔中心距允许偏差应为桩距的±5%；</w:t>
      </w:r>
    </w:p>
    <w:p w14:paraId="68045D32">
      <w:pPr>
        <w:ind w:left="992" w:leftChars="302" w:hanging="267" w:hangingChars="111"/>
      </w:pPr>
      <w:r>
        <w:rPr>
          <w:b/>
        </w:rPr>
        <w:t>5</w:t>
      </w:r>
      <w:r>
        <w:t>）经检验合格后，应按设计要求，向孔内分层填入筛好的素土、灰土或其他填料，并应分层夯实至设计标高。</w:t>
      </w:r>
    </w:p>
    <w:p w14:paraId="7B08EEF9">
      <w:pPr>
        <w:widowControl/>
        <w:ind w:firstLine="482" w:firstLineChars="200"/>
        <w:jc w:val="left"/>
        <w:rPr>
          <w:b/>
          <w:bCs/>
        </w:rPr>
      </w:pPr>
      <w:r>
        <w:rPr>
          <w:b/>
          <w:bCs/>
        </w:rPr>
        <w:t>6　</w:t>
      </w:r>
      <w:r>
        <w:rPr>
          <w:bCs/>
        </w:rPr>
        <w:t>铺设灰土垫层前，应按设计要求将桩顶标高以上的预留松动土层挖除或夯（压）密实。</w:t>
      </w:r>
    </w:p>
    <w:p w14:paraId="580C9797">
      <w:pPr>
        <w:widowControl/>
        <w:ind w:firstLine="482" w:firstLineChars="200"/>
        <w:jc w:val="left"/>
        <w:rPr>
          <w:bCs/>
        </w:rPr>
      </w:pPr>
      <w:r>
        <w:rPr>
          <w:b/>
          <w:bCs/>
        </w:rPr>
        <w:t>7　</w:t>
      </w:r>
      <w:r>
        <w:rPr>
          <w:bCs/>
        </w:rPr>
        <w:t>施工过程中，应有专人监督成孔及回填夯实的质量，并应做好施工记录；如发现地基土质与勘察资料不符，应立即停止施工，待查明情况或采取有效措施处理后，方可继续施工。</w:t>
      </w:r>
    </w:p>
    <w:p w14:paraId="4E4DC3B6">
      <w:pPr>
        <w:widowControl/>
        <w:ind w:firstLine="482" w:firstLineChars="200"/>
        <w:jc w:val="left"/>
        <w:rPr>
          <w:bCs/>
        </w:rPr>
      </w:pPr>
      <w:r>
        <w:rPr>
          <w:b/>
          <w:bCs/>
        </w:rPr>
        <w:t>8　</w:t>
      </w:r>
      <w:r>
        <w:rPr>
          <w:bCs/>
        </w:rPr>
        <w:t>雨期或冬期施工，应采取防雨或防冻措施，防止填料受雨水淋湿或冻结。</w:t>
      </w:r>
    </w:p>
    <w:p w14:paraId="66A9B690">
      <w:pPr>
        <w:ind w:firstLine="0"/>
        <w:rPr>
          <w:b/>
          <w:bCs/>
        </w:rPr>
      </w:pPr>
      <w:r>
        <w:rPr>
          <w:b/>
          <w:bCs/>
        </w:rPr>
        <w:t>6.3.3　</w:t>
      </w:r>
      <w:r>
        <w:t>水泥土搅拌桩可用于管廊地基处理，也可用于管廊基坑被动区土层加固；水泥土搅拌桩施工应符合本规程第6.2.14条的规定：</w:t>
      </w:r>
    </w:p>
    <w:p w14:paraId="75FA4C75">
      <w:pPr>
        <w:ind w:firstLine="0"/>
        <w:rPr>
          <w:b/>
          <w:bCs/>
          <w:color w:val="FF0000"/>
        </w:rPr>
      </w:pPr>
      <w:r>
        <w:rPr>
          <w:b/>
          <w:bCs/>
        </w:rPr>
        <w:t>6.3.4　</w:t>
      </w:r>
      <w:r>
        <w:t>高压旋喷桩施工应符合下列规定：</w:t>
      </w:r>
    </w:p>
    <w:p w14:paraId="6530E065">
      <w:pPr>
        <w:ind w:firstLine="482" w:firstLineChars="200"/>
      </w:pPr>
      <w:r>
        <w:rPr>
          <w:b/>
          <w:bCs/>
        </w:rPr>
        <w:t>1　</w:t>
      </w:r>
      <w:r>
        <w:t>施工前应根据设计要求进行工艺性试桩，确定施工参数；</w:t>
      </w:r>
    </w:p>
    <w:p w14:paraId="154D2647">
      <w:pPr>
        <w:ind w:firstLine="482" w:firstLineChars="200"/>
      </w:pPr>
      <w:r>
        <w:rPr>
          <w:b/>
          <w:bCs/>
        </w:rPr>
        <w:t>2　</w:t>
      </w:r>
      <w:r>
        <w:t>单管法和双重管法的高压水泥浆浆液流压力宜为20MPa～30MPa，双重管法的气流压力宜为0.6MPa～0.8MPa；</w:t>
      </w:r>
    </w:p>
    <w:p w14:paraId="39D73913">
      <w:pPr>
        <w:widowControl/>
        <w:ind w:firstLine="482" w:firstLineChars="200"/>
      </w:pPr>
      <w:r>
        <w:rPr>
          <w:b/>
          <w:bCs/>
        </w:rPr>
        <w:t>3　</w:t>
      </w:r>
      <w:r>
        <w:t>三重管法的高压水射流压力宜为20MPa～40MPa，低压水泥浆浆液流压力宜为0.2MPa～1.0MPa，气流压力宜为 0.6MPa～0.8MPa；</w:t>
      </w:r>
    </w:p>
    <w:p w14:paraId="5D998937">
      <w:pPr>
        <w:ind w:firstLine="482" w:firstLineChars="200"/>
      </w:pPr>
      <w:r>
        <w:rPr>
          <w:b/>
          <w:bCs/>
        </w:rPr>
        <w:t>4　</w:t>
      </w:r>
      <w:r>
        <w:t>双高压旋喷桩注浆的高压水压力宜为35MPa±2MPa，流量宜为70L/min～80L/min，高压浆液的压力宜为20MPa±2MPa，流量宜为70L/min～80L/min，压缩空气的压力宜为0.5MPa～ 0.8MPa，流量宜为1.0m³/min～3.0m³/min；</w:t>
      </w:r>
    </w:p>
    <w:p w14:paraId="6718A274">
      <w:pPr>
        <w:ind w:firstLine="480" w:firstLineChars="200"/>
      </w:pPr>
      <w:r>
        <w:t>5　水泥宜采用普通硅酸盐水泥，水灰比宜为0.8～1.2；</w:t>
      </w:r>
    </w:p>
    <w:p w14:paraId="2BDEC06D">
      <w:pPr>
        <w:ind w:firstLine="482" w:firstLineChars="200"/>
      </w:pPr>
      <w:r>
        <w:rPr>
          <w:b/>
          <w:bCs/>
        </w:rPr>
        <w:t>6　</w:t>
      </w:r>
      <w:r>
        <w:t>旋喷钻机与高压泵的距离不宜大于50m，钻孔定位偏差不应大于50mm。喷射注浆应由下向上进行，注浆管分段提升的搭接长度应大于100mm；</w:t>
      </w:r>
    </w:p>
    <w:p w14:paraId="5E98EAF6">
      <w:pPr>
        <w:ind w:firstLine="482" w:firstLineChars="200"/>
      </w:pPr>
      <w:r>
        <w:rPr>
          <w:b/>
          <w:bCs/>
        </w:rPr>
        <w:t>7　</w:t>
      </w:r>
      <w:r>
        <w:t>高压旋喷桩作业时，临近区域不得进行抽水作业。</w:t>
      </w:r>
    </w:p>
    <w:p w14:paraId="13B6D73E">
      <w:pPr>
        <w:ind w:firstLine="0"/>
        <w:rPr>
          <w:b/>
          <w:bCs/>
        </w:rPr>
      </w:pPr>
      <w:r>
        <w:rPr>
          <w:b/>
          <w:bCs/>
        </w:rPr>
        <w:t>6.3.5　</w:t>
      </w:r>
      <w:r>
        <w:t>水泥粉煤灰碎石桩施工应符合下列规定：</w:t>
      </w:r>
    </w:p>
    <w:p w14:paraId="5C1026E0">
      <w:pPr>
        <w:ind w:firstLine="482" w:firstLineChars="200"/>
      </w:pPr>
      <w:r>
        <w:rPr>
          <w:b/>
          <w:bCs/>
        </w:rPr>
        <w:t>1　</w:t>
      </w:r>
      <w:r>
        <w:t>施工前应根据设计要求进行室内配合比试验；</w:t>
      </w:r>
    </w:p>
    <w:p w14:paraId="168190C3">
      <w:pPr>
        <w:ind w:firstLine="482" w:firstLineChars="200"/>
      </w:pPr>
      <w:r>
        <w:rPr>
          <w:b/>
          <w:bCs/>
        </w:rPr>
        <w:t>2　</w:t>
      </w:r>
      <w:r>
        <w:t>长螺旋钻孔压灌混合料成桩应控制起拔钻杆的时间，混合料泵送量应与起拔速度相匹配，混合料应一次连续压灌完成，钻具底端不得脱离桩孔内混合料；</w:t>
      </w:r>
    </w:p>
    <w:p w14:paraId="23018CD5">
      <w:pPr>
        <w:ind w:firstLine="482" w:firstLineChars="200"/>
      </w:pPr>
      <w:r>
        <w:rPr>
          <w:b/>
          <w:bCs/>
        </w:rPr>
        <w:t>3　</w:t>
      </w:r>
      <w:r>
        <w:t>沉管灌注成桩施工拔管速度应按匀速控制，并控制在1.2m/min～1.5m/min，遇淤泥或淤泥质土层，拔管速度应适当放缓，沉管拔出地面确认成桩桩顶标高后，用粒状材料或湿黏性土封顶；</w:t>
      </w:r>
    </w:p>
    <w:p w14:paraId="6927611B">
      <w:pPr>
        <w:ind w:firstLine="482" w:firstLineChars="200"/>
      </w:pPr>
      <w:r>
        <w:rPr>
          <w:b/>
          <w:bCs/>
        </w:rPr>
        <w:t>4　</w:t>
      </w:r>
      <w:r>
        <w:t>桩顶标高应高于设计桩顶标高0.5m以上。</w:t>
      </w:r>
    </w:p>
    <w:p w14:paraId="6BE089EF">
      <w:pPr>
        <w:ind w:firstLine="0"/>
      </w:pPr>
      <w:r>
        <w:rPr>
          <w:b/>
          <w:bCs/>
        </w:rPr>
        <w:t>6.3.6　</w:t>
      </w:r>
      <w:r>
        <w:t>地基处理施工尚应符合现行行业标准《建筑地基处理技术规范》JGJ 79的有关规定。</w:t>
      </w:r>
    </w:p>
    <w:p w14:paraId="3A45EBE0">
      <w:pPr>
        <w:keepNext/>
        <w:spacing w:before="328" w:beforeLines="100" w:after="328" w:afterLines="100" w:line="240" w:lineRule="auto"/>
        <w:ind w:firstLine="0"/>
        <w:jc w:val="center"/>
        <w:outlineLvl w:val="1"/>
        <w:rPr>
          <w:rFonts w:eastAsia="黑体"/>
          <w:b/>
          <w:bCs/>
          <w:sz w:val="28"/>
          <w:szCs w:val="28"/>
        </w:rPr>
      </w:pPr>
      <w:bookmarkStart w:id="472" w:name="_Toc11719"/>
      <w:bookmarkStart w:id="473" w:name="_Toc9814"/>
      <w:bookmarkStart w:id="474" w:name="_Toc5799"/>
      <w:bookmarkStart w:id="475" w:name="_Toc193392085"/>
      <w:r>
        <w:rPr>
          <w:rFonts w:eastAsia="黑体"/>
          <w:b/>
          <w:bCs/>
          <w:sz w:val="28"/>
          <w:szCs w:val="28"/>
        </w:rPr>
        <w:t>6.4　地下水控制施工</w:t>
      </w:r>
      <w:bookmarkEnd w:id="472"/>
      <w:bookmarkEnd w:id="473"/>
      <w:bookmarkEnd w:id="474"/>
      <w:bookmarkEnd w:id="475"/>
    </w:p>
    <w:p w14:paraId="74827616">
      <w:pPr>
        <w:ind w:firstLine="0"/>
        <w:rPr>
          <w:bCs/>
        </w:rPr>
      </w:pPr>
      <w:r>
        <w:rPr>
          <w:b/>
          <w:bCs/>
        </w:rPr>
        <w:t>6.4.1　</w:t>
      </w:r>
      <w:r>
        <w:rPr>
          <w:bCs/>
        </w:rPr>
        <w:t>管廊岩土地下水控制施工分为降（排）水、截（止）水、回灌或其组合。</w:t>
      </w:r>
    </w:p>
    <w:p w14:paraId="4ECF151F">
      <w:pPr>
        <w:ind w:firstLine="0"/>
        <w:rPr>
          <w:bCs/>
        </w:rPr>
      </w:pPr>
      <w:r>
        <w:rPr>
          <w:b/>
          <w:bCs/>
        </w:rPr>
        <w:t>6.4.2　</w:t>
      </w:r>
      <w:r>
        <w:rPr>
          <w:bCs/>
        </w:rPr>
        <w:t>截（止）水帷幕和降水系统施工前应编制专项施工方案，方案应包括施工方法、施工顺序、施工质量控制要点等关键内容，并通过现场试验结果调整施工工艺参数。</w:t>
      </w:r>
    </w:p>
    <w:p w14:paraId="4638F8C9">
      <w:pPr>
        <w:ind w:firstLine="0"/>
        <w:rPr>
          <w:bCs/>
        </w:rPr>
      </w:pPr>
      <w:r>
        <w:rPr>
          <w:b/>
          <w:bCs/>
        </w:rPr>
        <w:t>6.4.3　</w:t>
      </w:r>
      <w:r>
        <w:rPr>
          <w:bCs/>
        </w:rPr>
        <w:t>截（止）水帷幕施工前，应清除地表和地下障碍物，并对场地进行平整、硬化，确保设备主机、起重机械等重型施工机械的行走及施工稳定性。</w:t>
      </w:r>
    </w:p>
    <w:p w14:paraId="4CBDF203">
      <w:pPr>
        <w:ind w:firstLine="0"/>
        <w:rPr>
          <w:bCs/>
        </w:rPr>
      </w:pPr>
      <w:bookmarkStart w:id="476" w:name="_Toc6394"/>
      <w:bookmarkStart w:id="477" w:name="_Toc32503"/>
      <w:r>
        <w:rPr>
          <w:b/>
          <w:bCs/>
        </w:rPr>
        <w:t>6.4.4　</w:t>
      </w:r>
      <w:r>
        <w:rPr>
          <w:bCs/>
        </w:rPr>
        <w:t>集水明排施工应符合下列规定：</w:t>
      </w:r>
      <w:bookmarkEnd w:id="476"/>
      <w:bookmarkEnd w:id="477"/>
    </w:p>
    <w:p w14:paraId="2C4DA630">
      <w:pPr>
        <w:rPr>
          <w:bCs/>
        </w:rPr>
      </w:pPr>
      <w:r>
        <w:rPr>
          <w:b/>
        </w:rPr>
        <w:t>1　</w:t>
      </w:r>
      <w:r>
        <w:rPr>
          <w:bCs/>
        </w:rPr>
        <w:t>应沿管廊两侧基坑坡顶和坡脚设置排水沟，排水沟边缘离开坑壁边脚不应小于0.3m，排水沟底面应比相应的基坑开挖面低0.3m～0.5m，沟底宽不宜小于0.3m，纵向坡度宜为0.2～0.5%；</w:t>
      </w:r>
    </w:p>
    <w:p w14:paraId="20578C82">
      <w:pPr>
        <w:rPr>
          <w:bCs/>
        </w:rPr>
      </w:pPr>
      <w:r>
        <w:rPr>
          <w:b/>
        </w:rPr>
        <w:t>2　</w:t>
      </w:r>
      <w:r>
        <w:rPr>
          <w:bCs/>
        </w:rPr>
        <w:t>宜沿排水沟每隔30m～40m布设集水井，集水井底应比相应的排水沟低0.5m～1.0m，集水井直径或边长宜为0.7m～1.0m；</w:t>
      </w:r>
    </w:p>
    <w:p w14:paraId="575AF34C">
      <w:pPr>
        <w:rPr>
          <w:bCs/>
        </w:rPr>
      </w:pPr>
      <w:bookmarkStart w:id="478" w:name="_Toc5197"/>
      <w:bookmarkStart w:id="479" w:name="_Toc27214"/>
      <w:r>
        <w:rPr>
          <w:b/>
        </w:rPr>
        <w:t>3　</w:t>
      </w:r>
      <w:r>
        <w:rPr>
          <w:bCs/>
        </w:rPr>
        <w:t>集水井和排水沟应采取防渗措施。</w:t>
      </w:r>
      <w:bookmarkEnd w:id="478"/>
      <w:bookmarkEnd w:id="479"/>
    </w:p>
    <w:p w14:paraId="2A893146">
      <w:pPr>
        <w:ind w:firstLine="0"/>
        <w:rPr>
          <w:bCs/>
        </w:rPr>
      </w:pPr>
      <w:bookmarkStart w:id="480" w:name="_Toc10652"/>
      <w:bookmarkStart w:id="481" w:name="_Toc14544"/>
      <w:r>
        <w:rPr>
          <w:b/>
          <w:bCs/>
        </w:rPr>
        <w:t>6.4.5　</w:t>
      </w:r>
      <w:r>
        <w:rPr>
          <w:bCs/>
        </w:rPr>
        <w:t>截（止）水帷幕施工应符合下列规定：</w:t>
      </w:r>
      <w:bookmarkEnd w:id="480"/>
      <w:bookmarkEnd w:id="481"/>
    </w:p>
    <w:p w14:paraId="01631417">
      <w:pPr>
        <w:ind w:firstLine="482" w:firstLineChars="200"/>
        <w:rPr>
          <w:bCs/>
        </w:rPr>
      </w:pPr>
      <w:bookmarkStart w:id="482" w:name="_Toc3236"/>
      <w:bookmarkStart w:id="483" w:name="_Toc26955"/>
      <w:r>
        <w:rPr>
          <w:b/>
        </w:rPr>
        <w:t>1　</w:t>
      </w:r>
      <w:r>
        <w:rPr>
          <w:bCs/>
        </w:rPr>
        <w:t>高压旋喷桩截水帷幕</w:t>
      </w:r>
      <w:bookmarkEnd w:id="482"/>
      <w:bookmarkEnd w:id="483"/>
    </w:p>
    <w:p w14:paraId="1D5570F7">
      <w:pPr>
        <w:ind w:left="1081" w:leftChars="300" w:hanging="361" w:hangingChars="150"/>
        <w:rPr>
          <w:bCs/>
        </w:rPr>
      </w:pPr>
      <w:r>
        <w:rPr>
          <w:b/>
        </w:rPr>
        <w:t>1</w:t>
      </w:r>
      <w:r>
        <w:rPr>
          <w:bCs/>
        </w:rPr>
        <w:t>）高压旋喷桩施工可采用单管法、双重管法、三重管法，喷浆方式可采用旋喷、摆喷和定喷；</w:t>
      </w:r>
    </w:p>
    <w:p w14:paraId="2212A819">
      <w:pPr>
        <w:ind w:left="1081" w:leftChars="300" w:hanging="361" w:hangingChars="150"/>
        <w:rPr>
          <w:bCs/>
        </w:rPr>
      </w:pPr>
      <w:r>
        <w:rPr>
          <w:b/>
        </w:rPr>
        <w:t>2</w:t>
      </w:r>
      <w:r>
        <w:rPr>
          <w:bCs/>
        </w:rPr>
        <w:t>）高压旋喷桩截水帷幕施工前，应选取有代表性的地段进行试桩，成桩试验不宜少于3根，通过试桩确定注浆量、浆液配合比、压力、提升速度等工艺参数；</w:t>
      </w:r>
    </w:p>
    <w:p w14:paraId="258494A9">
      <w:pPr>
        <w:ind w:left="1081" w:leftChars="300" w:hanging="361" w:hangingChars="150"/>
        <w:rPr>
          <w:bCs/>
        </w:rPr>
      </w:pPr>
      <w:r>
        <w:rPr>
          <w:b/>
        </w:rPr>
        <w:t>3</w:t>
      </w:r>
      <w:r>
        <w:rPr>
          <w:bCs/>
        </w:rPr>
        <w:t>）制作浆液时，水灰比应按设计要求和试桩参数进行，严格控制，不得随意改变；</w:t>
      </w:r>
    </w:p>
    <w:p w14:paraId="518E66CE">
      <w:pPr>
        <w:ind w:left="1081" w:leftChars="300" w:hanging="361" w:hangingChars="150"/>
        <w:rPr>
          <w:bCs/>
        </w:rPr>
      </w:pPr>
      <w:r>
        <w:rPr>
          <w:b/>
        </w:rPr>
        <w:t>4</w:t>
      </w:r>
      <w:r>
        <w:rPr>
          <w:bCs/>
        </w:rPr>
        <w:t>）高压旋喷桩施工时应间隔施工，且应在喷浆施工24h内浆液初具强度后，再施工相邻的桩孔；喷射注浆应由下而上均匀喷射，停止喷浆的标高宜高于设计标高至少1.0m；</w:t>
      </w:r>
    </w:p>
    <w:p w14:paraId="522BFAF4">
      <w:pPr>
        <w:ind w:left="1081" w:leftChars="300" w:hanging="361" w:hangingChars="150"/>
        <w:rPr>
          <w:bCs/>
        </w:rPr>
      </w:pPr>
      <w:r>
        <w:rPr>
          <w:b/>
        </w:rPr>
        <w:t>5</w:t>
      </w:r>
      <w:r>
        <w:rPr>
          <w:bCs/>
        </w:rPr>
        <w:t>）在旋喷过程中，如因机器故障中断旋喷时，应重新钻至桩底设计标高并重新旋喷；</w:t>
      </w:r>
    </w:p>
    <w:p w14:paraId="090BF118">
      <w:pPr>
        <w:ind w:left="1081" w:leftChars="300" w:hanging="361" w:hangingChars="150"/>
        <w:rPr>
          <w:bCs/>
        </w:rPr>
      </w:pPr>
      <w:r>
        <w:rPr>
          <w:b/>
        </w:rPr>
        <w:t>6</w:t>
      </w:r>
      <w:r>
        <w:rPr>
          <w:bCs/>
        </w:rPr>
        <w:t>）宜先施工支护结构后施工高压旋喷桩，桩位偏差不得大于80mm，垂直度应控制在1%以内。</w:t>
      </w:r>
    </w:p>
    <w:p w14:paraId="7D18A3AE">
      <w:pPr>
        <w:ind w:firstLine="482" w:firstLineChars="200"/>
        <w:rPr>
          <w:bCs/>
        </w:rPr>
      </w:pPr>
      <w:bookmarkStart w:id="484" w:name="_Toc11033"/>
      <w:bookmarkStart w:id="485" w:name="_Toc16461"/>
      <w:r>
        <w:rPr>
          <w:b/>
        </w:rPr>
        <w:t>2　</w:t>
      </w:r>
      <w:r>
        <w:rPr>
          <w:bCs/>
        </w:rPr>
        <w:t>三轴水泥土搅拌桩截（止）水帷幕</w:t>
      </w:r>
      <w:bookmarkEnd w:id="484"/>
      <w:bookmarkEnd w:id="485"/>
    </w:p>
    <w:p w14:paraId="1655AC32">
      <w:pPr>
        <w:ind w:left="1081" w:leftChars="300" w:hanging="361" w:hangingChars="150"/>
        <w:rPr>
          <w:bCs/>
        </w:rPr>
      </w:pPr>
      <w:r>
        <w:rPr>
          <w:b/>
        </w:rPr>
        <w:t>1</w:t>
      </w:r>
      <w:r>
        <w:rPr>
          <w:bCs/>
        </w:rPr>
        <w:t>）应采用套接孔法施工，相邻桩的搭接时间不宜超过24h，</w:t>
      </w:r>
      <w:r>
        <w:t>当超过24h，搭接施工时应放慢搅拌速度。若无法搭接或搭接不良，应作为冷缝记录在案，经设计认可后在搭接处外侧</w:t>
      </w:r>
      <w:r>
        <w:rPr>
          <w:bCs/>
        </w:rPr>
        <w:t>采取补做搅拌桩或旋喷桩的技术措施</w:t>
      </w:r>
      <w:r>
        <w:t>；</w:t>
      </w:r>
    </w:p>
    <w:p w14:paraId="404C8FFB">
      <w:pPr>
        <w:ind w:left="1081" w:leftChars="300" w:hanging="361" w:hangingChars="150"/>
        <w:rPr>
          <w:bCs/>
        </w:rPr>
      </w:pPr>
      <w:r>
        <w:rPr>
          <w:b/>
        </w:rPr>
        <w:t>2</w:t>
      </w:r>
      <w:r>
        <w:rPr>
          <w:bCs/>
        </w:rPr>
        <w:t>）当采用灌注桩和截水帷幕支护方案时，宜先施工截水帷幕，后施工灌注桩；</w:t>
      </w:r>
    </w:p>
    <w:p w14:paraId="2167AF18">
      <w:pPr>
        <w:ind w:left="1081" w:leftChars="300" w:hanging="361" w:hangingChars="150"/>
        <w:rPr>
          <w:bCs/>
        </w:rPr>
      </w:pPr>
      <w:r>
        <w:rPr>
          <w:b/>
        </w:rPr>
        <w:t>3</w:t>
      </w:r>
      <w:r>
        <w:rPr>
          <w:bCs/>
        </w:rPr>
        <w:t>）三轴搅拌桩施工时桩机应对中，平面允许偏差为±20mm，立柱导向架的垂直度不应大于1/250。</w:t>
      </w:r>
    </w:p>
    <w:p w14:paraId="1C29BFAF">
      <w:pPr>
        <w:ind w:firstLine="482" w:firstLineChars="200"/>
        <w:rPr>
          <w:bCs/>
        </w:rPr>
      </w:pPr>
      <w:bookmarkStart w:id="486" w:name="_Toc4183"/>
      <w:bookmarkStart w:id="487" w:name="_Toc9229"/>
      <w:r>
        <w:rPr>
          <w:b/>
        </w:rPr>
        <w:t>3　</w:t>
      </w:r>
      <w:r>
        <w:rPr>
          <w:bCs/>
        </w:rPr>
        <w:t>TRD工法等厚度水泥土搅拌墙截（止）水帷幕</w:t>
      </w:r>
      <w:bookmarkEnd w:id="486"/>
      <w:bookmarkEnd w:id="487"/>
    </w:p>
    <w:p w14:paraId="7006EAB5">
      <w:pPr>
        <w:ind w:left="1081" w:leftChars="300" w:hanging="361" w:hangingChars="150"/>
        <w:rPr>
          <w:bCs/>
        </w:rPr>
      </w:pPr>
      <w:r>
        <w:rPr>
          <w:b/>
        </w:rPr>
        <w:t>1</w:t>
      </w:r>
      <w:r>
        <w:rPr>
          <w:bCs/>
        </w:rPr>
        <w:t>）当切割土层较硬、墙体较深、墙体防渗要求高时，TRD工法施工等厚度水泥土搅拌墙宜采用三步施工法；当土体强度低、墙体较浅时可采用一步施工法；</w:t>
      </w:r>
    </w:p>
    <w:p w14:paraId="43483BB8">
      <w:pPr>
        <w:ind w:left="1081" w:leftChars="300" w:hanging="361" w:hangingChars="150"/>
        <w:rPr>
          <w:bCs/>
        </w:rPr>
      </w:pPr>
      <w:r>
        <w:rPr>
          <w:b/>
        </w:rPr>
        <w:t>2</w:t>
      </w:r>
      <w:r>
        <w:rPr>
          <w:bCs/>
        </w:rPr>
        <w:t>）TRD工法施工前，应进行试成墙，试成墙长度不应少于6m；</w:t>
      </w:r>
    </w:p>
    <w:p w14:paraId="507B72B8">
      <w:pPr>
        <w:ind w:left="1081" w:leftChars="300" w:hanging="361" w:hangingChars="150"/>
        <w:rPr>
          <w:bCs/>
        </w:rPr>
      </w:pPr>
      <w:r>
        <w:rPr>
          <w:b/>
        </w:rPr>
        <w:t>3</w:t>
      </w:r>
      <w:r>
        <w:rPr>
          <w:bCs/>
        </w:rPr>
        <w:t>）设备就位后，主机应调平、对中，平面允许偏差为±20mm，墙体垂直度允许偏差为1/250；</w:t>
      </w:r>
    </w:p>
    <w:p w14:paraId="0DA473CD">
      <w:pPr>
        <w:ind w:left="1081" w:leftChars="300" w:hanging="361" w:hangingChars="150"/>
        <w:rPr>
          <w:bCs/>
        </w:rPr>
      </w:pPr>
      <w:r>
        <w:rPr>
          <w:b/>
        </w:rPr>
        <w:t>4</w:t>
      </w:r>
      <w:r>
        <w:rPr>
          <w:bCs/>
        </w:rPr>
        <w:t>）因故停机后再次施工时，应原为回切已施工的墙体不小于500mm；停机时间较长时，必须将切割箱停放在开放区或将切割箱全部拔出；</w:t>
      </w:r>
    </w:p>
    <w:p w14:paraId="713ADD8C">
      <w:pPr>
        <w:ind w:left="1081" w:leftChars="300" w:hanging="361" w:hangingChars="150"/>
        <w:rPr>
          <w:bCs/>
        </w:rPr>
      </w:pPr>
      <w:r>
        <w:rPr>
          <w:b/>
        </w:rPr>
        <w:t>5</w:t>
      </w:r>
      <w:r>
        <w:rPr>
          <w:bCs/>
        </w:rPr>
        <w:t>）TRD等厚度水泥土搅拌墙截（止）水帷幕还应符合现行行业标准《渠式切割水泥土连续墙技术规程》JGJ/T 303的有关规定。</w:t>
      </w:r>
    </w:p>
    <w:p w14:paraId="7DFF42C1">
      <w:pPr>
        <w:ind w:firstLine="482" w:firstLineChars="200"/>
        <w:rPr>
          <w:bCs/>
        </w:rPr>
      </w:pPr>
      <w:bookmarkStart w:id="488" w:name="_Toc13783"/>
      <w:bookmarkStart w:id="489" w:name="_Toc31561"/>
      <w:r>
        <w:rPr>
          <w:b/>
        </w:rPr>
        <w:t>4　</w:t>
      </w:r>
      <w:r>
        <w:rPr>
          <w:bCs/>
        </w:rPr>
        <w:t>CSM工法等厚度水泥土搅拌墙截（止）水帷幕</w:t>
      </w:r>
      <w:bookmarkEnd w:id="488"/>
      <w:bookmarkEnd w:id="489"/>
    </w:p>
    <w:p w14:paraId="52833F0A">
      <w:pPr>
        <w:ind w:left="1081" w:leftChars="300" w:hanging="361" w:hangingChars="150"/>
        <w:rPr>
          <w:bCs/>
        </w:rPr>
      </w:pPr>
      <w:bookmarkStart w:id="490" w:name="_Toc16492"/>
      <w:r>
        <w:rPr>
          <w:b/>
        </w:rPr>
        <w:t>1</w:t>
      </w:r>
      <w:r>
        <w:rPr>
          <w:bCs/>
        </w:rPr>
        <w:t>）CSM工法施工前，应进行试成墙，试成墙不应少于2幅；</w:t>
      </w:r>
      <w:bookmarkEnd w:id="490"/>
    </w:p>
    <w:p w14:paraId="28147C5B">
      <w:pPr>
        <w:ind w:left="1081" w:leftChars="300" w:hanging="361" w:hangingChars="150"/>
        <w:rPr>
          <w:bCs/>
        </w:rPr>
      </w:pPr>
      <w:r>
        <w:rPr>
          <w:b/>
        </w:rPr>
        <w:t>2</w:t>
      </w:r>
      <w:r>
        <w:rPr>
          <w:bCs/>
        </w:rPr>
        <w:t>）CSM工法桩施工前应先挖导沟，导沟宽1.0m～1.5m，深0.8m～1.0m；</w:t>
      </w:r>
    </w:p>
    <w:p w14:paraId="69BCA36A">
      <w:pPr>
        <w:ind w:left="1081" w:leftChars="300" w:hanging="361" w:hangingChars="150"/>
        <w:rPr>
          <w:bCs/>
        </w:rPr>
      </w:pPr>
      <w:r>
        <w:rPr>
          <w:b/>
        </w:rPr>
        <w:t>3</w:t>
      </w:r>
      <w:r>
        <w:rPr>
          <w:bCs/>
        </w:rPr>
        <w:t>）CSM工法施工时铣轮就位应对中，铣轮平面允许偏差为±20mm，墙体垂直度允许偏差为1/250；</w:t>
      </w:r>
    </w:p>
    <w:p w14:paraId="30FE1946">
      <w:pPr>
        <w:ind w:left="1081" w:leftChars="300" w:hanging="361" w:hangingChars="150"/>
        <w:rPr>
          <w:bCs/>
        </w:rPr>
      </w:pPr>
      <w:r>
        <w:rPr>
          <w:b/>
        </w:rPr>
        <w:t>4</w:t>
      </w:r>
      <w:r>
        <w:rPr>
          <w:bCs/>
        </w:rPr>
        <w:t>）CSM工法施工时，对于深度不大于30m，且无深厚砂、卵石地层时，可采用单浆液；对于深度大于30m，或进入密实的砂、卵石地层时，应采用双液浆。</w:t>
      </w:r>
    </w:p>
    <w:p w14:paraId="4289501C">
      <w:pPr>
        <w:ind w:firstLine="0"/>
        <w:rPr>
          <w:bCs/>
        </w:rPr>
      </w:pPr>
      <w:r>
        <w:rPr>
          <w:b/>
          <w:bCs/>
        </w:rPr>
        <w:t>6.4.6　</w:t>
      </w:r>
      <w:r>
        <w:rPr>
          <w:bCs/>
        </w:rPr>
        <w:t>咬合式排桩作为截（止）水帷幕应符合本规程第6.2.18条的规定。</w:t>
      </w:r>
    </w:p>
    <w:p w14:paraId="48600BEF">
      <w:pPr>
        <w:ind w:firstLine="0"/>
        <w:rPr>
          <w:bCs/>
        </w:rPr>
      </w:pPr>
      <w:r>
        <w:rPr>
          <w:b/>
          <w:bCs/>
        </w:rPr>
        <w:t>6.4.7　</w:t>
      </w:r>
      <w:r>
        <w:rPr>
          <w:bCs/>
        </w:rPr>
        <w:t>降（排）水施工前，应编制降水专项施工方案，主要内容应包括工程概况、水文地质条件、周边环境条件、降水施工设计、主要施工方法、施工质量控制、运行维护管理、降水对周边环境影响的控制、应急预案等。</w:t>
      </w:r>
    </w:p>
    <w:p w14:paraId="24F601A8">
      <w:pPr>
        <w:ind w:firstLine="0"/>
        <w:rPr>
          <w:bCs/>
        </w:rPr>
      </w:pPr>
      <w:r>
        <w:rPr>
          <w:b/>
          <w:bCs/>
        </w:rPr>
        <w:t>6.4.8　</w:t>
      </w:r>
      <w:r>
        <w:rPr>
          <w:bCs/>
        </w:rPr>
        <w:t>轻型井点施工应符合下列规定：</w:t>
      </w:r>
    </w:p>
    <w:p w14:paraId="749C2ADF">
      <w:pPr>
        <w:ind w:firstLine="482" w:firstLineChars="200"/>
      </w:pPr>
      <w:bookmarkStart w:id="491" w:name="_Toc30653"/>
      <w:r>
        <w:rPr>
          <w:b/>
          <w:bCs/>
        </w:rPr>
        <w:t>1　</w:t>
      </w:r>
      <w:r>
        <w:t>轻型井点宜采用水冲法成孔，成孔机具宜采用带有平板振动器的导杆式冲枪，成孔孔径不宜小于300mm，成孔深度应比滤管底端深0.5m；</w:t>
      </w:r>
      <w:bookmarkEnd w:id="491"/>
    </w:p>
    <w:p w14:paraId="40798B1D">
      <w:pPr>
        <w:ind w:firstLine="482" w:firstLineChars="200"/>
      </w:pPr>
      <w:bookmarkStart w:id="492" w:name="_Toc25237"/>
      <w:r>
        <w:rPr>
          <w:b/>
          <w:bCs/>
        </w:rPr>
        <w:t>2　</w:t>
      </w:r>
      <w:r>
        <w:t>井点管水平间距可根据不同土质和预</w:t>
      </w:r>
      <w:r>
        <w:rPr>
          <w:bCs/>
        </w:rPr>
        <w:t>降水</w:t>
      </w:r>
      <w:r>
        <w:t>时间确定，宜为0.8m～1.6m，井点管距离管廊基坑侧壁不宜小于0.7m～1.0m；井点管直径宜为38mm～55mm；</w:t>
      </w:r>
      <w:bookmarkEnd w:id="492"/>
    </w:p>
    <w:p w14:paraId="7D29ED28">
      <w:pPr>
        <w:ind w:firstLine="482" w:firstLineChars="200"/>
      </w:pPr>
      <w:bookmarkStart w:id="493" w:name="_Toc3431"/>
      <w:r>
        <w:rPr>
          <w:b/>
          <w:bCs/>
        </w:rPr>
        <w:t>3　</w:t>
      </w:r>
      <w:r>
        <w:t>成孔完成后，井点管与孔壁之间应立即采用滤料回填，回填后滤料顶面至地面的距离不宜小于1.0m，滤料顶面至地面之间，应采用黏土封填密实；</w:t>
      </w:r>
      <w:bookmarkEnd w:id="493"/>
    </w:p>
    <w:p w14:paraId="15E07635">
      <w:pPr>
        <w:ind w:firstLine="482" w:firstLineChars="200"/>
      </w:pPr>
      <w:bookmarkStart w:id="494" w:name="_Toc26387"/>
      <w:r>
        <w:rPr>
          <w:b/>
          <w:bCs/>
        </w:rPr>
        <w:t>4　</w:t>
      </w:r>
      <w:r>
        <w:t>滤料应为磨圆度好、粒径不均匀系数（C</w:t>
      </w:r>
      <w:r>
        <w:rPr>
          <w:vertAlign w:val="subscript"/>
        </w:rPr>
        <w:t>u</w:t>
      </w:r>
      <w:r>
        <w:t>）小于3、含泥量小于3%的石英砂，砂的粒径应按下式确定：</w:t>
      </w:r>
      <w:bookmarkEnd w:id="494"/>
    </w:p>
    <w:p w14:paraId="0E9E02FD">
      <w:pPr>
        <w:spacing w:before="164" w:beforeLines="50" w:after="164" w:afterLines="50"/>
        <w:ind w:firstLine="480" w:firstLineChars="200"/>
        <w:jc w:val="right"/>
      </w:pPr>
      <w:r>
        <w:t>D</w:t>
      </w:r>
      <w:r>
        <w:rPr>
          <w:vertAlign w:val="subscript"/>
        </w:rPr>
        <w:t>50</w:t>
      </w:r>
      <w:r>
        <w:t>=（8～12）d</w:t>
      </w:r>
      <w:r>
        <w:rPr>
          <w:vertAlign w:val="subscript"/>
        </w:rPr>
        <w:t>50　</w:t>
      </w:r>
      <w:r>
        <w:t xml:space="preserve">                            （6.4.8）</w:t>
      </w:r>
    </w:p>
    <w:p w14:paraId="168436B7">
      <w:pPr>
        <w:ind w:firstLine="480" w:firstLineChars="200"/>
      </w:pPr>
      <w:r>
        <w:t>式中：D</w:t>
      </w:r>
      <w:r>
        <w:rPr>
          <w:vertAlign w:val="subscript"/>
        </w:rPr>
        <w:t>50</w:t>
      </w:r>
      <w:r>
        <w:t>——滤料的平均粒径（mm）；</w:t>
      </w:r>
    </w:p>
    <w:p w14:paraId="1A59DB98">
      <w:pPr>
        <w:ind w:firstLine="1200" w:firstLineChars="500"/>
      </w:pPr>
      <w:r>
        <w:t>d</w:t>
      </w:r>
      <w:r>
        <w:rPr>
          <w:vertAlign w:val="subscript"/>
        </w:rPr>
        <w:t>50</w:t>
      </w:r>
      <w:r>
        <w:t>—一含水层土的平均粒径（mm）。</w:t>
      </w:r>
    </w:p>
    <w:p w14:paraId="14B9AE8B">
      <w:pPr>
        <w:ind w:firstLine="482" w:firstLineChars="200"/>
      </w:pPr>
      <w:bookmarkStart w:id="495" w:name="_Toc14098"/>
      <w:r>
        <w:rPr>
          <w:b/>
          <w:bCs/>
        </w:rPr>
        <w:t>5　</w:t>
      </w:r>
      <w:r>
        <w:t>一台机组携带的总管最大长度，</w:t>
      </w:r>
      <w:r>
        <w:rPr>
          <w:bCs/>
        </w:rPr>
        <w:t>真空泵</w:t>
      </w:r>
      <w:r>
        <w:t>不宜大于100m，射流泵不宜大于80m，隔膜泵不宜大于60m，每根井管长度宜为6m～9m。</w:t>
      </w:r>
      <w:bookmarkEnd w:id="495"/>
    </w:p>
    <w:p w14:paraId="2024FC20">
      <w:pPr>
        <w:ind w:firstLine="482" w:firstLineChars="200"/>
      </w:pPr>
      <w:bookmarkStart w:id="496" w:name="_Toc11706"/>
      <w:r>
        <w:rPr>
          <w:b/>
          <w:bCs/>
        </w:rPr>
        <w:t>6　</w:t>
      </w:r>
      <w:r>
        <w:t>每套井点设置完毕后，应进行试</w:t>
      </w:r>
      <w:r>
        <w:rPr>
          <w:bCs/>
        </w:rPr>
        <w:t>抽水</w:t>
      </w:r>
      <w:r>
        <w:t>，检查管路连接处以及每根井点管周围的密封质量；</w:t>
      </w:r>
      <w:bookmarkEnd w:id="496"/>
    </w:p>
    <w:p w14:paraId="61D3CB88">
      <w:pPr>
        <w:ind w:firstLine="482" w:firstLineChars="200"/>
        <w:rPr>
          <w:bCs/>
        </w:rPr>
      </w:pPr>
      <w:bookmarkStart w:id="497" w:name="_Toc23748"/>
      <w:bookmarkStart w:id="498" w:name="_Toc15263"/>
      <w:r>
        <w:rPr>
          <w:b/>
        </w:rPr>
        <w:t>7　</w:t>
      </w:r>
      <w:r>
        <w:rPr>
          <w:bCs/>
        </w:rPr>
        <w:t>运行期间应</w:t>
      </w:r>
      <w:r>
        <w:t>填写井</w:t>
      </w:r>
      <w:r>
        <w:rPr>
          <w:bCs/>
        </w:rPr>
        <w:t>点运行记录。</w:t>
      </w:r>
      <w:bookmarkEnd w:id="497"/>
      <w:bookmarkEnd w:id="498"/>
    </w:p>
    <w:p w14:paraId="1E35167E">
      <w:pPr>
        <w:ind w:firstLine="0"/>
        <w:rPr>
          <w:bCs/>
        </w:rPr>
      </w:pPr>
      <w:bookmarkStart w:id="499" w:name="_Toc5286"/>
      <w:bookmarkStart w:id="500" w:name="_Toc468"/>
      <w:r>
        <w:rPr>
          <w:b/>
          <w:bCs/>
        </w:rPr>
        <w:t>6.4.9　</w:t>
      </w:r>
      <w:r>
        <w:rPr>
          <w:bCs/>
        </w:rPr>
        <w:t>喷射井点施工应符合下列规定：</w:t>
      </w:r>
      <w:bookmarkEnd w:id="499"/>
      <w:bookmarkEnd w:id="500"/>
    </w:p>
    <w:p w14:paraId="219C3356">
      <w:pPr>
        <w:ind w:firstLine="482" w:firstLineChars="200"/>
      </w:pPr>
      <w:r>
        <w:rPr>
          <w:b/>
          <w:bCs/>
        </w:rPr>
        <w:t>1　</w:t>
      </w:r>
      <w:r>
        <w:t>成孔直径不应小于400mm，成孔深度应比滤管底端深1.0m；</w:t>
      </w:r>
    </w:p>
    <w:p w14:paraId="59D313D0">
      <w:pPr>
        <w:ind w:firstLine="482" w:firstLineChars="200"/>
      </w:pPr>
      <w:r>
        <w:rPr>
          <w:b/>
          <w:bCs/>
        </w:rPr>
        <w:t>2　</w:t>
      </w:r>
      <w:r>
        <w:t>井点管水平间距可根据地层情况和预降水时间确定，宜为2.0m～4.0m，井点管直径宜为75mm～100mm；</w:t>
      </w:r>
    </w:p>
    <w:p w14:paraId="1519D211">
      <w:pPr>
        <w:ind w:firstLine="482" w:firstLineChars="200"/>
      </w:pPr>
      <w:bookmarkStart w:id="501" w:name="_Toc5986"/>
      <w:bookmarkStart w:id="502" w:name="_Toc31373"/>
      <w:r>
        <w:rPr>
          <w:b/>
          <w:bCs/>
        </w:rPr>
        <w:t>3　</w:t>
      </w:r>
      <w:r>
        <w:t>滤料回填应符合本规程第6.3.8条第3款的规定；</w:t>
      </w:r>
      <w:bookmarkEnd w:id="501"/>
      <w:bookmarkEnd w:id="502"/>
    </w:p>
    <w:p w14:paraId="205673BD">
      <w:pPr>
        <w:ind w:firstLine="482" w:firstLineChars="200"/>
      </w:pPr>
      <w:r>
        <w:rPr>
          <w:b/>
          <w:bCs/>
        </w:rPr>
        <w:t>4　</w:t>
      </w:r>
      <w:r>
        <w:t>每套喷射井点的井点数不宜大于30根，总管直径不宜小于150mm，总长不宜大于60m；</w:t>
      </w:r>
    </w:p>
    <w:p w14:paraId="03696111">
      <w:pPr>
        <w:ind w:firstLine="482" w:firstLineChars="200"/>
      </w:pPr>
      <w:r>
        <w:rPr>
          <w:b/>
          <w:bCs/>
        </w:rPr>
        <w:t>5　</w:t>
      </w:r>
      <w:r>
        <w:t>每根喷射井点管井沉设完毕后，应及时进行单井试抽，排出的浑浊水未经沉淀处理，不得直接回入循环管路系统，试抽时间应持续到水由浊变清为止；</w:t>
      </w:r>
    </w:p>
    <w:p w14:paraId="17484ABC">
      <w:pPr>
        <w:ind w:firstLine="482" w:firstLineChars="200"/>
      </w:pPr>
      <w:r>
        <w:rPr>
          <w:b/>
          <w:bCs/>
        </w:rPr>
        <w:t>6　</w:t>
      </w:r>
      <w:r>
        <w:t>每套喷射井点系统安装完毕后，应进行试抽，不应有漏气或翻砂冒水现象，用于循环管路的工作水应保持洁净，在降水过程中应视水质浑浊程度及时更换。</w:t>
      </w:r>
    </w:p>
    <w:p w14:paraId="6630767F">
      <w:pPr>
        <w:ind w:firstLine="0"/>
        <w:rPr>
          <w:bCs/>
        </w:rPr>
      </w:pPr>
      <w:bookmarkStart w:id="503" w:name="_Toc7510"/>
      <w:bookmarkStart w:id="504" w:name="_Toc23722"/>
      <w:r>
        <w:rPr>
          <w:b/>
          <w:bCs/>
        </w:rPr>
        <w:t>6.4.10　</w:t>
      </w:r>
      <w:r>
        <w:rPr>
          <w:bCs/>
        </w:rPr>
        <w:t>电渗井点施工应符合下列规定：</w:t>
      </w:r>
      <w:bookmarkEnd w:id="503"/>
      <w:bookmarkEnd w:id="504"/>
    </w:p>
    <w:p w14:paraId="27D54B01">
      <w:pPr>
        <w:ind w:firstLine="482" w:firstLineChars="200"/>
      </w:pPr>
      <w:r>
        <w:rPr>
          <w:b/>
          <w:bCs/>
        </w:rPr>
        <w:t>1　</w:t>
      </w:r>
      <w:r>
        <w:t>电渗井点利用轻型井点做阴极时，成孔方法按照本规程轻型井点要求执行；利用喷射井点做阴极时，成孔方法按照本规程喷射井点要求执行；</w:t>
      </w:r>
    </w:p>
    <w:p w14:paraId="69A76FF6">
      <w:pPr>
        <w:ind w:firstLine="482" w:firstLineChars="200"/>
      </w:pPr>
      <w:r>
        <w:rPr>
          <w:b/>
          <w:bCs/>
        </w:rPr>
        <w:t>2　</w:t>
      </w:r>
      <w:r>
        <w:t>阴、阳极的数量宜相等，阳极数量也可多于阴极数量，阳极设置深度宜比阴极设置深度大500mm，阳极露出地面的长度宜为200mm～400mm，阴极利用轻型井点管或喷射井点管设置；</w:t>
      </w:r>
    </w:p>
    <w:p w14:paraId="70D1CB61">
      <w:pPr>
        <w:ind w:firstLine="482" w:firstLineChars="200"/>
      </w:pPr>
      <w:r>
        <w:rPr>
          <w:b/>
          <w:bCs/>
        </w:rPr>
        <w:t>3　</w:t>
      </w:r>
      <w:r>
        <w:t>电压梯度可采用50V/m，工作电压不宜大于60V，土中通电时的电流密度宜为（0.5～1.0）A/m</w:t>
      </w:r>
      <w:r>
        <w:rPr>
          <w:vertAlign w:val="superscript"/>
        </w:rPr>
        <w:t>2</w:t>
      </w:r>
      <w:r>
        <w:t>；</w:t>
      </w:r>
    </w:p>
    <w:p w14:paraId="3F09293E">
      <w:pPr>
        <w:ind w:firstLine="482" w:firstLineChars="200"/>
      </w:pPr>
      <w:r>
        <w:rPr>
          <w:b/>
          <w:bCs/>
        </w:rPr>
        <w:t>4　</w:t>
      </w:r>
      <w:r>
        <w:t>采用轻型井点时，阴、阳极的距离宜为0.8m～1.0m，采用喷射井点时，宜为1.2m～1.5m；</w:t>
      </w:r>
    </w:p>
    <w:p w14:paraId="230DF1FC">
      <w:pPr>
        <w:ind w:firstLine="482" w:firstLineChars="200"/>
      </w:pPr>
      <w:r>
        <w:rPr>
          <w:b/>
          <w:bCs/>
        </w:rPr>
        <w:t>5　</w:t>
      </w:r>
      <w:r>
        <w:t>电渗降水宜采用间歇通电方式，</w:t>
      </w:r>
      <w:r>
        <w:rPr>
          <w:bCs/>
        </w:rPr>
        <w:t>每通电24h，停电2h～3h，依次循环</w:t>
      </w:r>
      <w:r>
        <w:t>。</w:t>
      </w:r>
    </w:p>
    <w:p w14:paraId="6EE74FE4">
      <w:pPr>
        <w:ind w:firstLine="0"/>
        <w:rPr>
          <w:bCs/>
        </w:rPr>
      </w:pPr>
      <w:bookmarkStart w:id="505" w:name="_Toc32650"/>
      <w:bookmarkStart w:id="506" w:name="_Toc15"/>
      <w:r>
        <w:rPr>
          <w:b/>
          <w:bCs/>
        </w:rPr>
        <w:t>6.4.11　</w:t>
      </w:r>
      <w:r>
        <w:rPr>
          <w:bCs/>
        </w:rPr>
        <w:t>管井施工应符合下列规定：</w:t>
      </w:r>
      <w:bookmarkEnd w:id="505"/>
      <w:bookmarkEnd w:id="506"/>
    </w:p>
    <w:p w14:paraId="5FF2BA8B">
      <w:pPr>
        <w:ind w:firstLine="482" w:firstLineChars="200"/>
      </w:pPr>
      <w:r>
        <w:rPr>
          <w:b/>
          <w:bCs/>
        </w:rPr>
        <w:t>1　</w:t>
      </w:r>
      <w:r>
        <w:t>井管外径应大于200mm，且应大于抽水泵体最大外径50mm以上，成孔孔径不应小于650mm，管井成孔深度应超过管底0.50m；</w:t>
      </w:r>
    </w:p>
    <w:p w14:paraId="387A4CDC">
      <w:pPr>
        <w:ind w:firstLine="482" w:firstLineChars="200"/>
      </w:pPr>
      <w:r>
        <w:rPr>
          <w:b/>
          <w:bCs/>
        </w:rPr>
        <w:t>2　</w:t>
      </w:r>
      <w:r>
        <w:t>滤料应根据井点滤网孔径与降水施工区域土层颗粒级配进行选择，降水井点滤料选择可按照现行国家标准《供水水文地质勘察标准》GB/T 50027的有关规定执行；</w:t>
      </w:r>
    </w:p>
    <w:p w14:paraId="41378E7B">
      <w:pPr>
        <w:ind w:firstLine="482" w:firstLineChars="200"/>
      </w:pPr>
      <w:r>
        <w:rPr>
          <w:b/>
          <w:bCs/>
        </w:rPr>
        <w:t>3　</w:t>
      </w:r>
      <w:r>
        <w:t>成孔施工可采用泥浆护壁钻进成孔，钻进中保持泥浆比重应为1.10～1.15，宜采用地层自然造浆，钻孔孔斜不应大于1%，终孔后应清孔，直到返回泥浆内不含泥块为止；</w:t>
      </w:r>
    </w:p>
    <w:p w14:paraId="72B08515">
      <w:pPr>
        <w:ind w:firstLine="482" w:firstLineChars="200"/>
      </w:pPr>
      <w:r>
        <w:rPr>
          <w:b/>
          <w:bCs/>
        </w:rPr>
        <w:t>4　</w:t>
      </w:r>
      <w:r>
        <w:t>井管安装应准确到位，不得损坏过滤结构，井管连接应确保完整无隙，避免井管脱落或渗漏，应保证井管周围填砾厚度基本一致，应在滤水管上下部各加1组扶正器，过滤器应刷洗干净，过滤器缝隙应均匀；</w:t>
      </w:r>
    </w:p>
    <w:p w14:paraId="1CED3B64">
      <w:pPr>
        <w:ind w:firstLine="482" w:firstLineChars="200"/>
      </w:pPr>
      <w:r>
        <w:rPr>
          <w:b/>
          <w:bCs/>
        </w:rPr>
        <w:t>5　</w:t>
      </w:r>
      <w:r>
        <w:t>井管安装结束后沉入钻杆，将泥浆缓慢稀释至比重不大于1.05后，将滤料徐徐填入，并随填随测填砾顶面高度，在稀释泥浆时井管管口应密封；</w:t>
      </w:r>
    </w:p>
    <w:p w14:paraId="6C6E350B">
      <w:pPr>
        <w:ind w:firstLine="482" w:firstLineChars="200"/>
      </w:pPr>
      <w:r>
        <w:rPr>
          <w:b/>
          <w:bCs/>
        </w:rPr>
        <w:t>6　</w:t>
      </w:r>
      <w:r>
        <w:t>宜采用活塞和空气压缩机交替洗井，洗井结束后应按设计要求的验收指标予以验收；</w:t>
      </w:r>
    </w:p>
    <w:p w14:paraId="3B0D6682">
      <w:pPr>
        <w:ind w:firstLine="482" w:firstLineChars="200"/>
      </w:pPr>
      <w:r>
        <w:rPr>
          <w:b/>
          <w:bCs/>
        </w:rPr>
        <w:t>7　</w:t>
      </w:r>
      <w:r>
        <w:t>抽水泵应安装稳固，泵轴应垂直，连续抽水时，水泵吸口应低于井内扰动水位2.0m。</w:t>
      </w:r>
    </w:p>
    <w:p w14:paraId="5AAA3DB6">
      <w:pPr>
        <w:ind w:firstLine="0"/>
        <w:rPr>
          <w:bCs/>
        </w:rPr>
      </w:pPr>
      <w:r>
        <w:rPr>
          <w:b/>
          <w:bCs/>
        </w:rPr>
        <w:t>6.4.12　</w:t>
      </w:r>
      <w:r>
        <w:rPr>
          <w:bCs/>
        </w:rPr>
        <w:t>真空井点施工除应满足本规程管井施工的要求外，尚应符合下列规定：</w:t>
      </w:r>
    </w:p>
    <w:p w14:paraId="54A72710">
      <w:pPr>
        <w:ind w:firstLine="482" w:firstLineChars="200"/>
      </w:pPr>
      <w:r>
        <w:rPr>
          <w:b/>
          <w:bCs/>
        </w:rPr>
        <w:t>1　</w:t>
      </w:r>
      <w:r>
        <w:t>宜采用真空泵抽气集水，深井泵或潜水泵排水，井管应严密封闭，并与真空泵吸气管相连；</w:t>
      </w:r>
    </w:p>
    <w:p w14:paraId="58609141">
      <w:pPr>
        <w:ind w:firstLine="482" w:firstLineChars="200"/>
      </w:pPr>
      <w:bookmarkStart w:id="507" w:name="_Toc27951"/>
      <w:bookmarkStart w:id="508" w:name="_Toc24790"/>
      <w:r>
        <w:rPr>
          <w:b/>
          <w:bCs/>
        </w:rPr>
        <w:t>2　</w:t>
      </w:r>
      <w:r>
        <w:t>单井出水口与排水总管的连接管路中应设置单向阀；</w:t>
      </w:r>
      <w:bookmarkEnd w:id="507"/>
      <w:bookmarkEnd w:id="508"/>
    </w:p>
    <w:p w14:paraId="485CA279">
      <w:pPr>
        <w:ind w:firstLine="482" w:firstLineChars="200"/>
      </w:pPr>
      <w:r>
        <w:rPr>
          <w:b/>
          <w:bCs/>
        </w:rPr>
        <w:t>3　</w:t>
      </w:r>
      <w:r>
        <w:t>分段设置滤管的真空降水管井，应对基坑开挖后暴露的井管、滤管、填砾层等采取有效封闭措施；</w:t>
      </w:r>
    </w:p>
    <w:p w14:paraId="62093D15">
      <w:pPr>
        <w:ind w:firstLine="482" w:firstLineChars="200"/>
        <w:rPr>
          <w:b/>
          <w:bCs/>
          <w:sz w:val="21"/>
          <w:szCs w:val="21"/>
        </w:rPr>
      </w:pPr>
      <w:r>
        <w:rPr>
          <w:b/>
          <w:bCs/>
        </w:rPr>
        <w:t>4　</w:t>
      </w:r>
      <w:r>
        <w:t>井管内真空度不应小于65kPa，宜在井管与真空泵吸气管的连接位置处安装高灵敏度的真空压力表监测真空度。</w:t>
      </w:r>
    </w:p>
    <w:p w14:paraId="7706B118">
      <w:pPr>
        <w:keepNext/>
        <w:spacing w:before="328" w:beforeLines="100" w:after="328" w:afterLines="100" w:line="240" w:lineRule="auto"/>
        <w:ind w:firstLine="0"/>
        <w:jc w:val="center"/>
        <w:outlineLvl w:val="1"/>
        <w:rPr>
          <w:rFonts w:eastAsia="黑体"/>
          <w:b/>
          <w:bCs/>
          <w:sz w:val="28"/>
          <w:szCs w:val="28"/>
        </w:rPr>
      </w:pPr>
      <w:bookmarkStart w:id="509" w:name="_Toc32667"/>
      <w:bookmarkStart w:id="510" w:name="_Toc7892"/>
      <w:bookmarkStart w:id="511" w:name="_Toc5835"/>
      <w:bookmarkStart w:id="512" w:name="_Toc1216"/>
      <w:bookmarkStart w:id="513" w:name="_Toc12983"/>
      <w:bookmarkStart w:id="514" w:name="_Toc31571"/>
      <w:bookmarkStart w:id="515" w:name="_Toc30280"/>
      <w:bookmarkStart w:id="516" w:name="_Toc9501"/>
      <w:bookmarkStart w:id="517" w:name="_Toc193392086"/>
      <w:bookmarkStart w:id="518" w:name="_Toc8356"/>
      <w:bookmarkStart w:id="519" w:name="_Toc28508"/>
      <w:r>
        <w:rPr>
          <w:rFonts w:eastAsia="黑体"/>
          <w:b/>
          <w:bCs/>
          <w:sz w:val="28"/>
          <w:szCs w:val="28"/>
        </w:rPr>
        <w:t>6.5　土方施工</w:t>
      </w:r>
      <w:bookmarkEnd w:id="509"/>
      <w:bookmarkEnd w:id="510"/>
      <w:bookmarkEnd w:id="511"/>
      <w:bookmarkEnd w:id="512"/>
      <w:bookmarkEnd w:id="513"/>
      <w:bookmarkEnd w:id="514"/>
      <w:bookmarkEnd w:id="515"/>
      <w:bookmarkEnd w:id="516"/>
      <w:bookmarkEnd w:id="517"/>
      <w:bookmarkEnd w:id="518"/>
      <w:bookmarkEnd w:id="519"/>
    </w:p>
    <w:p w14:paraId="772BDCD4">
      <w:pPr>
        <w:ind w:firstLine="0"/>
        <w:rPr>
          <w:bCs/>
        </w:rPr>
      </w:pPr>
      <w:r>
        <w:rPr>
          <w:b/>
          <w:bCs/>
        </w:rPr>
        <w:t>6.5.1　</w:t>
      </w:r>
      <w:r>
        <w:t>管廊基坑（槽）</w:t>
      </w:r>
      <w:r>
        <w:rPr>
          <w:bCs/>
        </w:rPr>
        <w:t>土方开挖前应做好下列准备工作：</w:t>
      </w:r>
    </w:p>
    <w:p w14:paraId="5D8459B6">
      <w:pPr>
        <w:ind w:firstLine="482" w:firstLineChars="200"/>
      </w:pPr>
      <w:r>
        <w:rPr>
          <w:b/>
          <w:bCs/>
        </w:rPr>
        <w:t>1　</w:t>
      </w:r>
      <w:r>
        <w:t>根据设计文件、周边环境、地层情况等，编制专项施工方案，并进行安全技术交底；</w:t>
      </w:r>
    </w:p>
    <w:p w14:paraId="63521AE5">
      <w:pPr>
        <w:ind w:firstLine="482" w:firstLineChars="200"/>
      </w:pPr>
      <w:bookmarkStart w:id="520" w:name="_Toc10143"/>
      <w:bookmarkStart w:id="521" w:name="_Toc24614"/>
      <w:r>
        <w:rPr>
          <w:b/>
          <w:bCs/>
        </w:rPr>
        <w:t>2　</w:t>
      </w:r>
      <w:r>
        <w:t>根据施工图纸和管廊位置，测放出开挖边线；</w:t>
      </w:r>
      <w:bookmarkEnd w:id="520"/>
      <w:bookmarkEnd w:id="521"/>
    </w:p>
    <w:p w14:paraId="3D97504A">
      <w:pPr>
        <w:ind w:firstLine="482" w:firstLineChars="200"/>
      </w:pPr>
      <w:r>
        <w:rPr>
          <w:b/>
          <w:bCs/>
        </w:rPr>
        <w:t>3　</w:t>
      </w:r>
      <w:r>
        <w:t>开挖前做好降、排水措施，基坑内地下水位应降至拟开挖下层土方的底面标高以下不小于0.5m；</w:t>
      </w:r>
    </w:p>
    <w:p w14:paraId="6D0A5550">
      <w:pPr>
        <w:ind w:firstLine="482" w:firstLineChars="200"/>
      </w:pPr>
      <w:bookmarkStart w:id="522" w:name="_Toc26718"/>
      <w:bookmarkStart w:id="523" w:name="_Toc9311"/>
      <w:r>
        <w:rPr>
          <w:b/>
          <w:bCs/>
        </w:rPr>
        <w:t>4　</w:t>
      </w:r>
      <w:r>
        <w:t>围护结构的强度和龄期应满足设计要求。</w:t>
      </w:r>
      <w:bookmarkEnd w:id="522"/>
      <w:bookmarkEnd w:id="523"/>
    </w:p>
    <w:p w14:paraId="247629A0">
      <w:pPr>
        <w:ind w:firstLine="0"/>
        <w:rPr>
          <w:bCs/>
        </w:rPr>
      </w:pPr>
      <w:bookmarkStart w:id="524" w:name="_Toc4327"/>
      <w:bookmarkStart w:id="525" w:name="_Toc14297"/>
      <w:r>
        <w:rPr>
          <w:b/>
          <w:bCs/>
        </w:rPr>
        <w:t>6.5.2　</w:t>
      </w:r>
      <w:r>
        <w:t>管廊基坑（槽）</w:t>
      </w:r>
      <w:r>
        <w:rPr>
          <w:bCs/>
        </w:rPr>
        <w:t>土方开挖应符合下列规定：</w:t>
      </w:r>
      <w:bookmarkEnd w:id="524"/>
      <w:bookmarkEnd w:id="525"/>
    </w:p>
    <w:p w14:paraId="22A849DA">
      <w:pPr>
        <w:ind w:firstLine="482" w:firstLineChars="200"/>
      </w:pPr>
      <w:r>
        <w:rPr>
          <w:b/>
          <w:bCs/>
        </w:rPr>
        <w:t>1　</w:t>
      </w:r>
      <w:r>
        <w:t>管廊基坑为长条形基坑，土方开挖应遵循“分段分层、由上而下、先撑后挖”的原则；采用纵向斜面分段分层开挖方法，斜面应设置多级边坡，其分层厚度、总坡度、各级边坡坡度、边坡平台宽度等应通过稳定性验算确定。</w:t>
      </w:r>
    </w:p>
    <w:p w14:paraId="0EB86E4B">
      <w:pPr>
        <w:ind w:firstLine="482" w:firstLineChars="200"/>
      </w:pPr>
      <w:r>
        <w:rPr>
          <w:b/>
          <w:bCs/>
        </w:rPr>
        <w:t>2　</w:t>
      </w:r>
      <w:r>
        <w:t>各区段开挖至坑底设计标高后应及时组织相关方进行地基验槽，合格后施工垫层和基础底板；</w:t>
      </w:r>
    </w:p>
    <w:p w14:paraId="45FB860D">
      <w:pPr>
        <w:ind w:firstLine="482" w:firstLineChars="200"/>
      </w:pPr>
      <w:r>
        <w:rPr>
          <w:b/>
          <w:bCs/>
        </w:rPr>
        <w:t>3　</w:t>
      </w:r>
      <w:r>
        <w:t>施工过程中应对围护结构、周边环境进行观察和监测，发现异常应及时处理，合格后方可继续施工；</w:t>
      </w:r>
    </w:p>
    <w:p w14:paraId="600FC5F0">
      <w:pPr>
        <w:ind w:firstLine="482" w:firstLineChars="200"/>
      </w:pPr>
      <w:r>
        <w:rPr>
          <w:b/>
          <w:bCs/>
        </w:rPr>
        <w:t>4　</w:t>
      </w:r>
      <w:r>
        <w:t>安全文明施工、环境保护、冬雨季施工尚应符合国家现行有关标准的规定；</w:t>
      </w:r>
    </w:p>
    <w:p w14:paraId="64B9EF8C">
      <w:pPr>
        <w:ind w:firstLine="0"/>
        <w:rPr>
          <w:bCs/>
        </w:rPr>
      </w:pPr>
      <w:bookmarkStart w:id="526" w:name="_Toc5158"/>
      <w:bookmarkStart w:id="527" w:name="_Toc16371"/>
      <w:r>
        <w:rPr>
          <w:b/>
          <w:bCs/>
        </w:rPr>
        <w:t>6.5.3　</w:t>
      </w:r>
      <w:r>
        <w:t>管廊基坑（槽）</w:t>
      </w:r>
      <w:r>
        <w:rPr>
          <w:bCs/>
        </w:rPr>
        <w:t>土方回填应符合下列规定：</w:t>
      </w:r>
      <w:bookmarkEnd w:id="526"/>
      <w:bookmarkEnd w:id="527"/>
    </w:p>
    <w:p w14:paraId="6DD42293">
      <w:pPr>
        <w:ind w:firstLine="482" w:firstLineChars="200"/>
      </w:pPr>
      <w:r>
        <w:rPr>
          <w:b/>
          <w:bCs/>
        </w:rPr>
        <w:t>1　</w:t>
      </w:r>
      <w:r>
        <w:t>回填土必须在管廊结构达到设计要求强度且隐蔽工程验收合格后方可进行填筑。</w:t>
      </w:r>
    </w:p>
    <w:p w14:paraId="5516E3A8">
      <w:pPr>
        <w:ind w:firstLine="482" w:firstLineChars="200"/>
      </w:pPr>
      <w:r>
        <w:rPr>
          <w:b/>
          <w:bCs/>
        </w:rPr>
        <w:t>2　</w:t>
      </w:r>
      <w:r>
        <w:t>回填前应将基坑（槽）、管廊底的垃圾杂物等清理干净，必须清理到基础底面标高。管廊顶板上部1000mm范围内回填材料应采用人工或小型夯压机分层夯实，大型碾压机不得直接在管廊顶板上部施工。回填土每层压实后，应按规范规定进行压实度检测，压实度满足设计要求后方可继续回填。设计无要求时，回填土压实度满足表6.</w:t>
      </w:r>
      <w:r>
        <w:rPr>
          <w:rFonts w:hint="eastAsia"/>
          <w:lang w:val="en-US" w:eastAsia="zh-CN"/>
        </w:rPr>
        <w:t>5</w:t>
      </w:r>
      <w:r>
        <w:t>.3-1规定：</w:t>
      </w:r>
    </w:p>
    <w:p w14:paraId="5B3B0FB2">
      <w:pPr>
        <w:ind w:firstLine="0"/>
        <w:jc w:val="center"/>
        <w:rPr>
          <w:b/>
          <w:bCs/>
          <w:color w:val="auto"/>
          <w:sz w:val="21"/>
          <w:szCs w:val="21"/>
        </w:rPr>
      </w:pPr>
      <w:r>
        <w:rPr>
          <w:b/>
          <w:bCs/>
          <w:color w:val="auto"/>
          <w:sz w:val="21"/>
          <w:szCs w:val="21"/>
        </w:rPr>
        <w:t>表6.</w:t>
      </w:r>
      <w:r>
        <w:rPr>
          <w:rFonts w:hint="eastAsia"/>
          <w:b/>
          <w:bCs/>
          <w:color w:val="auto"/>
          <w:sz w:val="21"/>
          <w:szCs w:val="21"/>
          <w:lang w:val="en-US" w:eastAsia="zh-CN"/>
        </w:rPr>
        <w:t>5</w:t>
      </w:r>
      <w:r>
        <w:rPr>
          <w:b/>
          <w:bCs/>
          <w:color w:val="auto"/>
          <w:sz w:val="21"/>
          <w:szCs w:val="21"/>
        </w:rPr>
        <w:t>.3-1　综合管廊回填土压实度表</w:t>
      </w:r>
    </w:p>
    <w:tbl>
      <w:tblPr>
        <w:tblStyle w:val="13"/>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415"/>
        <w:gridCol w:w="2083"/>
        <w:gridCol w:w="969"/>
        <w:gridCol w:w="1914"/>
        <w:gridCol w:w="1555"/>
        <w:gridCol w:w="1568"/>
      </w:tblGrid>
      <w:tr w14:paraId="542FBB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10" w:type="dxa"/>
            <w:gridSpan w:val="2"/>
            <w:vMerge w:val="restart"/>
            <w:tcBorders>
              <w:tl2br w:val="nil"/>
              <w:tr2bl w:val="nil"/>
            </w:tcBorders>
            <w:vAlign w:val="center"/>
          </w:tcPr>
          <w:p w14:paraId="7BF18F73">
            <w:pPr>
              <w:spacing w:line="240" w:lineRule="auto"/>
              <w:ind w:firstLine="0"/>
              <w:jc w:val="center"/>
              <w:rPr>
                <w:sz w:val="21"/>
                <w:szCs w:val="21"/>
              </w:rPr>
            </w:pPr>
            <w:r>
              <w:rPr>
                <w:sz w:val="21"/>
                <w:szCs w:val="21"/>
              </w:rPr>
              <w:t>检查项目</w:t>
            </w:r>
          </w:p>
        </w:tc>
        <w:tc>
          <w:tcPr>
            <w:tcW w:w="896" w:type="dxa"/>
            <w:vMerge w:val="restart"/>
            <w:tcBorders>
              <w:tl2br w:val="nil"/>
              <w:tr2bl w:val="nil"/>
            </w:tcBorders>
            <w:vAlign w:val="center"/>
          </w:tcPr>
          <w:p w14:paraId="341E658B">
            <w:pPr>
              <w:spacing w:line="240" w:lineRule="auto"/>
              <w:ind w:firstLine="0"/>
              <w:jc w:val="center"/>
              <w:rPr>
                <w:sz w:val="21"/>
                <w:szCs w:val="21"/>
              </w:rPr>
            </w:pPr>
            <w:r>
              <w:rPr>
                <w:sz w:val="21"/>
                <w:szCs w:val="21"/>
              </w:rPr>
              <w:t>压实度（%）</w:t>
            </w:r>
          </w:p>
        </w:tc>
        <w:tc>
          <w:tcPr>
            <w:tcW w:w="3208" w:type="dxa"/>
            <w:gridSpan w:val="2"/>
            <w:tcBorders>
              <w:tl2br w:val="nil"/>
              <w:tr2bl w:val="nil"/>
            </w:tcBorders>
            <w:vAlign w:val="center"/>
          </w:tcPr>
          <w:p w14:paraId="44F92C07">
            <w:pPr>
              <w:spacing w:line="240" w:lineRule="auto"/>
              <w:ind w:firstLine="0"/>
              <w:jc w:val="center"/>
              <w:rPr>
                <w:sz w:val="21"/>
                <w:szCs w:val="21"/>
              </w:rPr>
            </w:pPr>
            <w:r>
              <w:rPr>
                <w:sz w:val="21"/>
                <w:szCs w:val="21"/>
              </w:rPr>
              <w:t>检查频率</w:t>
            </w:r>
          </w:p>
        </w:tc>
        <w:tc>
          <w:tcPr>
            <w:tcW w:w="1449" w:type="dxa"/>
            <w:vMerge w:val="restart"/>
            <w:tcBorders>
              <w:tl2br w:val="nil"/>
              <w:tr2bl w:val="nil"/>
            </w:tcBorders>
            <w:vAlign w:val="center"/>
          </w:tcPr>
          <w:p w14:paraId="727CAF4F">
            <w:pPr>
              <w:spacing w:line="240" w:lineRule="auto"/>
              <w:ind w:firstLine="0"/>
              <w:jc w:val="center"/>
              <w:rPr>
                <w:sz w:val="21"/>
                <w:szCs w:val="21"/>
              </w:rPr>
            </w:pPr>
            <w:r>
              <w:rPr>
                <w:sz w:val="21"/>
                <w:szCs w:val="21"/>
              </w:rPr>
              <w:t>检查方法</w:t>
            </w:r>
          </w:p>
        </w:tc>
      </w:tr>
      <w:tr w14:paraId="00DCEF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10" w:type="dxa"/>
            <w:gridSpan w:val="2"/>
            <w:vMerge w:val="continue"/>
            <w:tcBorders>
              <w:tl2br w:val="nil"/>
              <w:tr2bl w:val="nil"/>
            </w:tcBorders>
            <w:vAlign w:val="center"/>
          </w:tcPr>
          <w:p w14:paraId="1146448B">
            <w:pPr>
              <w:spacing w:line="240" w:lineRule="auto"/>
              <w:ind w:firstLine="0"/>
              <w:jc w:val="center"/>
              <w:rPr>
                <w:sz w:val="21"/>
                <w:szCs w:val="21"/>
              </w:rPr>
            </w:pPr>
          </w:p>
        </w:tc>
        <w:tc>
          <w:tcPr>
            <w:tcW w:w="896" w:type="dxa"/>
            <w:vMerge w:val="continue"/>
            <w:tcBorders>
              <w:tl2br w:val="nil"/>
              <w:tr2bl w:val="nil"/>
            </w:tcBorders>
            <w:vAlign w:val="center"/>
          </w:tcPr>
          <w:p w14:paraId="7E115012">
            <w:pPr>
              <w:spacing w:line="240" w:lineRule="auto"/>
              <w:ind w:firstLine="0"/>
              <w:jc w:val="center"/>
              <w:rPr>
                <w:sz w:val="21"/>
                <w:szCs w:val="21"/>
              </w:rPr>
            </w:pPr>
          </w:p>
        </w:tc>
        <w:tc>
          <w:tcPr>
            <w:tcW w:w="1770" w:type="dxa"/>
            <w:tcBorders>
              <w:tl2br w:val="nil"/>
              <w:tr2bl w:val="nil"/>
            </w:tcBorders>
            <w:vAlign w:val="center"/>
          </w:tcPr>
          <w:p w14:paraId="1A12065B">
            <w:pPr>
              <w:spacing w:line="240" w:lineRule="auto"/>
              <w:ind w:firstLine="0"/>
              <w:jc w:val="center"/>
              <w:rPr>
                <w:sz w:val="21"/>
                <w:szCs w:val="21"/>
              </w:rPr>
            </w:pPr>
            <w:r>
              <w:rPr>
                <w:sz w:val="21"/>
                <w:szCs w:val="21"/>
              </w:rPr>
              <w:t>范围</w:t>
            </w:r>
          </w:p>
        </w:tc>
        <w:tc>
          <w:tcPr>
            <w:tcW w:w="1438" w:type="dxa"/>
            <w:tcBorders>
              <w:tl2br w:val="nil"/>
              <w:tr2bl w:val="nil"/>
            </w:tcBorders>
            <w:vAlign w:val="center"/>
          </w:tcPr>
          <w:p w14:paraId="3942F9B7">
            <w:pPr>
              <w:spacing w:line="240" w:lineRule="auto"/>
              <w:ind w:firstLine="0"/>
              <w:jc w:val="center"/>
              <w:rPr>
                <w:sz w:val="21"/>
                <w:szCs w:val="21"/>
              </w:rPr>
            </w:pPr>
            <w:r>
              <w:rPr>
                <w:sz w:val="21"/>
                <w:szCs w:val="21"/>
              </w:rPr>
              <w:t>组数</w:t>
            </w:r>
          </w:p>
        </w:tc>
        <w:tc>
          <w:tcPr>
            <w:tcW w:w="1449" w:type="dxa"/>
            <w:vMerge w:val="continue"/>
            <w:tcBorders>
              <w:tl2br w:val="nil"/>
              <w:tr2bl w:val="nil"/>
            </w:tcBorders>
            <w:vAlign w:val="center"/>
          </w:tcPr>
          <w:p w14:paraId="1D62FD80">
            <w:pPr>
              <w:spacing w:line="240" w:lineRule="auto"/>
              <w:ind w:firstLine="0"/>
              <w:jc w:val="center"/>
              <w:rPr>
                <w:sz w:val="21"/>
                <w:szCs w:val="21"/>
              </w:rPr>
            </w:pPr>
          </w:p>
        </w:tc>
      </w:tr>
      <w:tr w14:paraId="62E858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384" w:type="dxa"/>
            <w:tcBorders>
              <w:tl2br w:val="nil"/>
              <w:tr2bl w:val="nil"/>
            </w:tcBorders>
            <w:vAlign w:val="center"/>
          </w:tcPr>
          <w:p w14:paraId="4BB49449">
            <w:pPr>
              <w:spacing w:line="240" w:lineRule="auto"/>
              <w:ind w:firstLine="0"/>
              <w:jc w:val="center"/>
              <w:rPr>
                <w:sz w:val="21"/>
                <w:szCs w:val="21"/>
              </w:rPr>
            </w:pPr>
            <w:r>
              <w:rPr>
                <w:sz w:val="21"/>
                <w:szCs w:val="21"/>
              </w:rPr>
              <w:t>1</w:t>
            </w:r>
          </w:p>
        </w:tc>
        <w:tc>
          <w:tcPr>
            <w:tcW w:w="1926" w:type="dxa"/>
            <w:tcBorders>
              <w:tl2br w:val="nil"/>
              <w:tr2bl w:val="nil"/>
            </w:tcBorders>
            <w:vAlign w:val="center"/>
          </w:tcPr>
          <w:p w14:paraId="41A11F90">
            <w:pPr>
              <w:spacing w:line="240" w:lineRule="auto"/>
              <w:ind w:firstLine="0"/>
              <w:jc w:val="center"/>
              <w:rPr>
                <w:sz w:val="21"/>
                <w:szCs w:val="21"/>
              </w:rPr>
            </w:pPr>
            <w:r>
              <w:rPr>
                <w:sz w:val="21"/>
                <w:szCs w:val="21"/>
              </w:rPr>
              <w:t>绿化带下</w:t>
            </w:r>
          </w:p>
        </w:tc>
        <w:tc>
          <w:tcPr>
            <w:tcW w:w="896" w:type="dxa"/>
            <w:tcBorders>
              <w:tl2br w:val="nil"/>
              <w:tr2bl w:val="nil"/>
            </w:tcBorders>
            <w:vAlign w:val="center"/>
          </w:tcPr>
          <w:p w14:paraId="50BFFF61">
            <w:pPr>
              <w:spacing w:line="240" w:lineRule="auto"/>
              <w:ind w:firstLine="0"/>
              <w:jc w:val="center"/>
              <w:rPr>
                <w:sz w:val="21"/>
                <w:szCs w:val="21"/>
              </w:rPr>
            </w:pPr>
            <w:r>
              <w:rPr>
                <w:sz w:val="21"/>
                <w:szCs w:val="21"/>
                <w:u w:val="single"/>
              </w:rPr>
              <w:t>&gt;</w:t>
            </w:r>
            <w:r>
              <w:rPr>
                <w:sz w:val="21"/>
                <w:szCs w:val="21"/>
              </w:rPr>
              <w:t>90</w:t>
            </w:r>
          </w:p>
        </w:tc>
        <w:tc>
          <w:tcPr>
            <w:tcW w:w="1770" w:type="dxa"/>
            <w:vMerge w:val="restart"/>
            <w:tcBorders>
              <w:tl2br w:val="nil"/>
              <w:tr2bl w:val="nil"/>
            </w:tcBorders>
            <w:vAlign w:val="center"/>
          </w:tcPr>
          <w:p w14:paraId="02347115">
            <w:pPr>
              <w:spacing w:line="240" w:lineRule="auto"/>
              <w:ind w:firstLine="0"/>
              <w:jc w:val="center"/>
              <w:rPr>
                <w:sz w:val="21"/>
                <w:szCs w:val="21"/>
              </w:rPr>
            </w:pPr>
            <w:r>
              <w:rPr>
                <w:sz w:val="21"/>
                <w:szCs w:val="21"/>
              </w:rPr>
              <w:t>管廊两侧回填土按50延米/层</w:t>
            </w:r>
          </w:p>
        </w:tc>
        <w:tc>
          <w:tcPr>
            <w:tcW w:w="1438" w:type="dxa"/>
            <w:tcBorders>
              <w:tl2br w:val="nil"/>
              <w:tr2bl w:val="nil"/>
            </w:tcBorders>
            <w:vAlign w:val="center"/>
          </w:tcPr>
          <w:p w14:paraId="13629B5A">
            <w:pPr>
              <w:spacing w:line="240" w:lineRule="auto"/>
              <w:ind w:firstLine="0"/>
              <w:jc w:val="center"/>
              <w:rPr>
                <w:sz w:val="21"/>
                <w:szCs w:val="21"/>
              </w:rPr>
            </w:pPr>
            <w:r>
              <w:rPr>
                <w:sz w:val="21"/>
                <w:szCs w:val="21"/>
              </w:rPr>
              <w:t>1（三点）</w:t>
            </w:r>
          </w:p>
        </w:tc>
        <w:tc>
          <w:tcPr>
            <w:tcW w:w="1449" w:type="dxa"/>
            <w:tcBorders>
              <w:tl2br w:val="nil"/>
              <w:tr2bl w:val="nil"/>
            </w:tcBorders>
            <w:vAlign w:val="center"/>
          </w:tcPr>
          <w:p w14:paraId="4E990521">
            <w:pPr>
              <w:spacing w:line="240" w:lineRule="auto"/>
              <w:ind w:firstLine="0"/>
              <w:jc w:val="center"/>
              <w:rPr>
                <w:sz w:val="21"/>
                <w:szCs w:val="21"/>
              </w:rPr>
            </w:pPr>
            <w:r>
              <w:rPr>
                <w:sz w:val="21"/>
                <w:szCs w:val="21"/>
              </w:rPr>
              <w:t>环刀法</w:t>
            </w:r>
          </w:p>
        </w:tc>
      </w:tr>
      <w:tr w14:paraId="015B9D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384" w:type="dxa"/>
            <w:tcBorders>
              <w:tl2br w:val="nil"/>
              <w:tr2bl w:val="nil"/>
            </w:tcBorders>
            <w:vAlign w:val="center"/>
          </w:tcPr>
          <w:p w14:paraId="0CC7177F">
            <w:pPr>
              <w:spacing w:line="240" w:lineRule="auto"/>
              <w:ind w:firstLine="0"/>
              <w:jc w:val="center"/>
              <w:rPr>
                <w:sz w:val="21"/>
                <w:szCs w:val="21"/>
              </w:rPr>
            </w:pPr>
            <w:r>
              <w:rPr>
                <w:sz w:val="21"/>
                <w:szCs w:val="21"/>
              </w:rPr>
              <w:t>2</w:t>
            </w:r>
          </w:p>
        </w:tc>
        <w:tc>
          <w:tcPr>
            <w:tcW w:w="1926" w:type="dxa"/>
            <w:tcBorders>
              <w:tl2br w:val="nil"/>
              <w:tr2bl w:val="nil"/>
            </w:tcBorders>
            <w:vAlign w:val="center"/>
          </w:tcPr>
          <w:p w14:paraId="6FD0835D">
            <w:pPr>
              <w:spacing w:line="240" w:lineRule="auto"/>
              <w:ind w:firstLine="0"/>
              <w:jc w:val="center"/>
              <w:rPr>
                <w:sz w:val="21"/>
                <w:szCs w:val="21"/>
              </w:rPr>
            </w:pPr>
            <w:r>
              <w:rPr>
                <w:sz w:val="21"/>
                <w:szCs w:val="21"/>
              </w:rPr>
              <w:t>人行道、机动车道下</w:t>
            </w:r>
          </w:p>
        </w:tc>
        <w:tc>
          <w:tcPr>
            <w:tcW w:w="896" w:type="dxa"/>
            <w:tcBorders>
              <w:tl2br w:val="nil"/>
              <w:tr2bl w:val="nil"/>
            </w:tcBorders>
            <w:vAlign w:val="center"/>
          </w:tcPr>
          <w:p w14:paraId="6B6C1EB8">
            <w:pPr>
              <w:spacing w:line="240" w:lineRule="auto"/>
              <w:ind w:firstLine="0"/>
              <w:jc w:val="center"/>
              <w:rPr>
                <w:sz w:val="21"/>
                <w:szCs w:val="21"/>
              </w:rPr>
            </w:pPr>
            <w:r>
              <w:rPr>
                <w:sz w:val="21"/>
                <w:szCs w:val="21"/>
                <w:u w:val="single"/>
              </w:rPr>
              <w:t>&gt;</w:t>
            </w:r>
            <w:r>
              <w:rPr>
                <w:sz w:val="21"/>
                <w:szCs w:val="21"/>
              </w:rPr>
              <w:t>95</w:t>
            </w:r>
          </w:p>
        </w:tc>
        <w:tc>
          <w:tcPr>
            <w:tcW w:w="1770" w:type="dxa"/>
            <w:vMerge w:val="continue"/>
            <w:tcBorders>
              <w:tl2br w:val="nil"/>
              <w:tr2bl w:val="nil"/>
            </w:tcBorders>
            <w:vAlign w:val="center"/>
          </w:tcPr>
          <w:p w14:paraId="2E13F0AF">
            <w:pPr>
              <w:spacing w:line="240" w:lineRule="auto"/>
              <w:ind w:firstLine="0"/>
              <w:jc w:val="center"/>
              <w:rPr>
                <w:sz w:val="21"/>
                <w:szCs w:val="21"/>
              </w:rPr>
            </w:pPr>
          </w:p>
        </w:tc>
        <w:tc>
          <w:tcPr>
            <w:tcW w:w="1438" w:type="dxa"/>
            <w:tcBorders>
              <w:tl2br w:val="nil"/>
              <w:tr2bl w:val="nil"/>
            </w:tcBorders>
            <w:vAlign w:val="center"/>
          </w:tcPr>
          <w:p w14:paraId="3F08DFFC">
            <w:pPr>
              <w:spacing w:line="240" w:lineRule="auto"/>
              <w:ind w:firstLine="0"/>
              <w:jc w:val="center"/>
              <w:rPr>
                <w:sz w:val="21"/>
                <w:szCs w:val="21"/>
              </w:rPr>
            </w:pPr>
            <w:r>
              <w:rPr>
                <w:sz w:val="21"/>
                <w:szCs w:val="21"/>
              </w:rPr>
              <w:t>1（三点）</w:t>
            </w:r>
          </w:p>
        </w:tc>
        <w:tc>
          <w:tcPr>
            <w:tcW w:w="1449" w:type="dxa"/>
            <w:tcBorders>
              <w:tl2br w:val="nil"/>
              <w:tr2bl w:val="nil"/>
            </w:tcBorders>
            <w:vAlign w:val="center"/>
          </w:tcPr>
          <w:p w14:paraId="5DC6C3F1">
            <w:pPr>
              <w:spacing w:line="240" w:lineRule="auto"/>
              <w:ind w:firstLine="0"/>
              <w:jc w:val="center"/>
              <w:rPr>
                <w:sz w:val="21"/>
                <w:szCs w:val="21"/>
              </w:rPr>
            </w:pPr>
            <w:r>
              <w:rPr>
                <w:sz w:val="21"/>
                <w:szCs w:val="21"/>
              </w:rPr>
              <w:t>环刀法</w:t>
            </w:r>
          </w:p>
        </w:tc>
      </w:tr>
    </w:tbl>
    <w:p w14:paraId="724401FF"/>
    <w:p w14:paraId="0A87EB4B">
      <w:pPr>
        <w:ind w:firstLine="482" w:firstLineChars="200"/>
      </w:pPr>
      <w:r>
        <w:rPr>
          <w:b/>
          <w:bCs/>
        </w:rPr>
        <w:t>3　</w:t>
      </w:r>
      <w:r>
        <w:t>综合管廊两侧回填应对称、分层、均匀。综合管廊回填可根据实际情况采用人工回填和机械回填作业，基坑回填应分层填筑，分层压实，分层厚度及压实遍数应符合表</w:t>
      </w:r>
      <w:r>
        <w:rPr>
          <w:rFonts w:hint="eastAsia"/>
          <w:lang w:val="en-US" w:eastAsia="zh-CN"/>
        </w:rPr>
        <w:t>6</w:t>
      </w:r>
      <w:r>
        <w:t>.</w:t>
      </w:r>
      <w:r>
        <w:rPr>
          <w:rFonts w:hint="eastAsia"/>
          <w:lang w:val="en-US" w:eastAsia="zh-CN"/>
        </w:rPr>
        <w:t>5</w:t>
      </w:r>
      <w:r>
        <w:t>.3-2的规定。</w:t>
      </w:r>
    </w:p>
    <w:p w14:paraId="34C519A8">
      <w:pPr>
        <w:ind w:firstLine="0"/>
        <w:jc w:val="center"/>
        <w:rPr>
          <w:b/>
          <w:bCs/>
          <w:color w:val="auto"/>
          <w:sz w:val="21"/>
          <w:szCs w:val="21"/>
        </w:rPr>
      </w:pPr>
      <w:r>
        <w:rPr>
          <w:b/>
          <w:bCs/>
          <w:color w:val="auto"/>
          <w:sz w:val="21"/>
          <w:szCs w:val="21"/>
        </w:rPr>
        <w:t>表6.</w:t>
      </w:r>
      <w:r>
        <w:rPr>
          <w:rFonts w:hint="eastAsia"/>
          <w:b/>
          <w:bCs/>
          <w:color w:val="auto"/>
          <w:sz w:val="21"/>
          <w:szCs w:val="21"/>
          <w:lang w:val="en-US" w:eastAsia="zh-CN"/>
        </w:rPr>
        <w:t>5</w:t>
      </w:r>
      <w:bookmarkStart w:id="1132" w:name="_GoBack"/>
      <w:bookmarkEnd w:id="1132"/>
      <w:r>
        <w:rPr>
          <w:b/>
          <w:bCs/>
          <w:color w:val="auto"/>
          <w:sz w:val="21"/>
          <w:szCs w:val="21"/>
        </w:rPr>
        <w:t>.3-2　填土施工时的分层厚度及压实遍数</w:t>
      </w:r>
    </w:p>
    <w:p w14:paraId="488B8266">
      <w:pPr>
        <w:spacing w:line="49" w:lineRule="exact"/>
      </w:pPr>
    </w:p>
    <w:tbl>
      <w:tblPr>
        <w:tblStyle w:val="29"/>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762"/>
        <w:gridCol w:w="2956"/>
        <w:gridCol w:w="2786"/>
      </w:tblGrid>
      <w:tr w14:paraId="139794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2487" w:type="dxa"/>
            <w:tcBorders>
              <w:tl2br w:val="nil"/>
              <w:tr2bl w:val="nil"/>
            </w:tcBorders>
            <w:vAlign w:val="center"/>
          </w:tcPr>
          <w:p w14:paraId="5E9F08C5">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2"/>
                <w:sz w:val="21"/>
                <w:szCs w:val="21"/>
              </w:rPr>
              <w:t>压实机具</w:t>
            </w:r>
          </w:p>
        </w:tc>
        <w:tc>
          <w:tcPr>
            <w:tcW w:w="2662" w:type="dxa"/>
            <w:tcBorders>
              <w:tl2br w:val="nil"/>
              <w:tr2bl w:val="nil"/>
            </w:tcBorders>
            <w:vAlign w:val="center"/>
          </w:tcPr>
          <w:p w14:paraId="6D1B53BB">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5"/>
                <w:sz w:val="21"/>
                <w:szCs w:val="21"/>
              </w:rPr>
              <w:t>分层厚度（</w:t>
            </w:r>
            <w:r>
              <w:rPr>
                <w:rFonts w:ascii="Times New Roman" w:hAnsi="Times New Roman" w:cs="Times New Roman"/>
                <w:sz w:val="21"/>
                <w:szCs w:val="21"/>
              </w:rPr>
              <w:t>mm</w:t>
            </w:r>
            <w:r>
              <w:rPr>
                <w:rFonts w:ascii="Times New Roman" w:hAnsi="Times New Roman" w:cs="Times New Roman"/>
                <w:spacing w:val="5"/>
                <w:sz w:val="21"/>
                <w:szCs w:val="21"/>
              </w:rPr>
              <w:t>）</w:t>
            </w:r>
          </w:p>
        </w:tc>
        <w:tc>
          <w:tcPr>
            <w:tcW w:w="2509" w:type="dxa"/>
            <w:tcBorders>
              <w:tl2br w:val="nil"/>
              <w:tr2bl w:val="nil"/>
            </w:tcBorders>
            <w:vAlign w:val="center"/>
          </w:tcPr>
          <w:p w14:paraId="28651CB4">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1"/>
                <w:sz w:val="21"/>
                <w:szCs w:val="21"/>
              </w:rPr>
              <w:t>每层压实遍数</w:t>
            </w:r>
          </w:p>
        </w:tc>
      </w:tr>
      <w:tr w14:paraId="1F41EA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2487" w:type="dxa"/>
            <w:tcBorders>
              <w:tl2br w:val="nil"/>
              <w:tr2bl w:val="nil"/>
            </w:tcBorders>
            <w:vAlign w:val="center"/>
          </w:tcPr>
          <w:p w14:paraId="12067364">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2"/>
                <w:sz w:val="21"/>
                <w:szCs w:val="21"/>
              </w:rPr>
              <w:t>平碾</w:t>
            </w:r>
          </w:p>
        </w:tc>
        <w:tc>
          <w:tcPr>
            <w:tcW w:w="2662" w:type="dxa"/>
            <w:tcBorders>
              <w:tl2br w:val="nil"/>
              <w:tr2bl w:val="nil"/>
            </w:tcBorders>
            <w:vAlign w:val="center"/>
          </w:tcPr>
          <w:p w14:paraId="00BC74D5">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2"/>
                <w:sz w:val="21"/>
                <w:szCs w:val="21"/>
              </w:rPr>
              <w:t>250～300</w:t>
            </w:r>
          </w:p>
        </w:tc>
        <w:tc>
          <w:tcPr>
            <w:tcW w:w="2509" w:type="dxa"/>
            <w:tcBorders>
              <w:tl2br w:val="nil"/>
              <w:tr2bl w:val="nil"/>
            </w:tcBorders>
            <w:vAlign w:val="center"/>
          </w:tcPr>
          <w:p w14:paraId="4896C652">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2"/>
                <w:sz w:val="21"/>
                <w:szCs w:val="21"/>
              </w:rPr>
              <w:t>6～8</w:t>
            </w:r>
          </w:p>
        </w:tc>
      </w:tr>
      <w:tr w14:paraId="46C1A7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2487" w:type="dxa"/>
            <w:tcBorders>
              <w:tl2br w:val="nil"/>
              <w:tr2bl w:val="nil"/>
            </w:tcBorders>
            <w:vAlign w:val="center"/>
          </w:tcPr>
          <w:p w14:paraId="376102F1">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1"/>
                <w:sz w:val="21"/>
                <w:szCs w:val="21"/>
              </w:rPr>
              <w:t>振动压实机</w:t>
            </w:r>
          </w:p>
        </w:tc>
        <w:tc>
          <w:tcPr>
            <w:tcW w:w="2662" w:type="dxa"/>
            <w:tcBorders>
              <w:tl2br w:val="nil"/>
              <w:tr2bl w:val="nil"/>
            </w:tcBorders>
            <w:vAlign w:val="center"/>
          </w:tcPr>
          <w:p w14:paraId="68D353E0">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2"/>
                <w:sz w:val="21"/>
                <w:szCs w:val="21"/>
              </w:rPr>
              <w:t>250～350</w:t>
            </w:r>
          </w:p>
        </w:tc>
        <w:tc>
          <w:tcPr>
            <w:tcW w:w="2509" w:type="dxa"/>
            <w:tcBorders>
              <w:tl2br w:val="nil"/>
              <w:tr2bl w:val="nil"/>
            </w:tcBorders>
            <w:vAlign w:val="center"/>
          </w:tcPr>
          <w:p w14:paraId="59B7190A">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3"/>
                <w:sz w:val="21"/>
                <w:szCs w:val="21"/>
              </w:rPr>
              <w:t>3～4</w:t>
            </w:r>
          </w:p>
        </w:tc>
      </w:tr>
      <w:tr w14:paraId="70EE14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2487" w:type="dxa"/>
            <w:tcBorders>
              <w:tl2br w:val="nil"/>
              <w:tr2bl w:val="nil"/>
            </w:tcBorders>
            <w:vAlign w:val="center"/>
          </w:tcPr>
          <w:p w14:paraId="62E23BEE">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1"/>
                <w:sz w:val="21"/>
                <w:szCs w:val="21"/>
              </w:rPr>
              <w:t>柴油打夯机</w:t>
            </w:r>
          </w:p>
        </w:tc>
        <w:tc>
          <w:tcPr>
            <w:tcW w:w="2662" w:type="dxa"/>
            <w:tcBorders>
              <w:tl2br w:val="nil"/>
              <w:tr2bl w:val="nil"/>
            </w:tcBorders>
            <w:vAlign w:val="center"/>
          </w:tcPr>
          <w:p w14:paraId="7174D7C3">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2"/>
                <w:sz w:val="21"/>
                <w:szCs w:val="21"/>
              </w:rPr>
              <w:t>200～250</w:t>
            </w:r>
          </w:p>
        </w:tc>
        <w:tc>
          <w:tcPr>
            <w:tcW w:w="2509" w:type="dxa"/>
            <w:tcBorders>
              <w:tl2br w:val="nil"/>
              <w:tr2bl w:val="nil"/>
            </w:tcBorders>
            <w:vAlign w:val="center"/>
          </w:tcPr>
          <w:p w14:paraId="421A248D">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3"/>
                <w:sz w:val="21"/>
                <w:szCs w:val="21"/>
              </w:rPr>
              <w:t>3～4</w:t>
            </w:r>
          </w:p>
        </w:tc>
      </w:tr>
      <w:tr w14:paraId="6EECA4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2487" w:type="dxa"/>
            <w:tcBorders>
              <w:tl2br w:val="nil"/>
              <w:tr2bl w:val="nil"/>
            </w:tcBorders>
            <w:vAlign w:val="center"/>
          </w:tcPr>
          <w:p w14:paraId="30EC9DA9">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2"/>
                <w:sz w:val="21"/>
                <w:szCs w:val="21"/>
              </w:rPr>
              <w:t>人工打夯</w:t>
            </w:r>
          </w:p>
        </w:tc>
        <w:tc>
          <w:tcPr>
            <w:tcW w:w="2662" w:type="dxa"/>
            <w:tcBorders>
              <w:tl2br w:val="nil"/>
              <w:tr2bl w:val="nil"/>
            </w:tcBorders>
            <w:vAlign w:val="center"/>
          </w:tcPr>
          <w:p w14:paraId="24B1365C">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2"/>
                <w:sz w:val="21"/>
                <w:szCs w:val="21"/>
              </w:rPr>
              <w:t>&lt;200</w:t>
            </w:r>
          </w:p>
        </w:tc>
        <w:tc>
          <w:tcPr>
            <w:tcW w:w="2509" w:type="dxa"/>
            <w:tcBorders>
              <w:tl2br w:val="nil"/>
              <w:tr2bl w:val="nil"/>
            </w:tcBorders>
            <w:vAlign w:val="center"/>
          </w:tcPr>
          <w:p w14:paraId="57C8B9C7">
            <w:pPr>
              <w:pStyle w:val="30"/>
              <w:autoSpaceDE w:val="0"/>
              <w:autoSpaceDN w:val="0"/>
              <w:spacing w:line="240" w:lineRule="auto"/>
              <w:ind w:firstLine="0"/>
              <w:jc w:val="center"/>
              <w:rPr>
                <w:rFonts w:ascii="Times New Roman" w:hAnsi="Times New Roman" w:cs="Times New Roman"/>
                <w:sz w:val="21"/>
                <w:szCs w:val="21"/>
              </w:rPr>
            </w:pPr>
            <w:r>
              <w:rPr>
                <w:rFonts w:ascii="Times New Roman" w:hAnsi="Times New Roman" w:cs="Times New Roman"/>
                <w:spacing w:val="-3"/>
                <w:sz w:val="21"/>
                <w:szCs w:val="21"/>
              </w:rPr>
              <w:t>3～4</w:t>
            </w:r>
          </w:p>
        </w:tc>
      </w:tr>
    </w:tbl>
    <w:p w14:paraId="31E22140"/>
    <w:p w14:paraId="10FA99D2">
      <w:pPr>
        <w:ind w:firstLine="482" w:firstLineChars="200"/>
      </w:pPr>
      <w:r>
        <w:rPr>
          <w:b/>
          <w:bCs/>
        </w:rPr>
        <w:t>4　</w:t>
      </w:r>
      <w:r>
        <w:t>管廊周边狭小空间不便于回填夯实作业时，宜采用砂或砂夹石、石屑等无黏聚性材料进行回填，可采用水夯法进行密实。</w:t>
      </w:r>
    </w:p>
    <w:p w14:paraId="30C855CF">
      <w:pPr>
        <w:ind w:firstLine="482" w:firstLineChars="200"/>
      </w:pPr>
      <w:r>
        <w:rPr>
          <w:b/>
          <w:bCs/>
        </w:rPr>
        <w:t>5　</w:t>
      </w:r>
      <w:r>
        <w:t>土方回填完成后，采用钢板桩支护的管廊基坑，拔除时应注意拔除顺序、时间及桩孔处理方法，钢板桩拔出后桩孔应及时用砂或注浆等方式填实，以免钢板桩拔桩带土过多引起的土体位移，影响邻近建筑物、道路和地下管线的正常使用。</w:t>
      </w:r>
    </w:p>
    <w:p w14:paraId="0F615B47">
      <w:pPr>
        <w:ind w:firstLine="482" w:firstLineChars="200"/>
      </w:pPr>
      <w:r>
        <w:rPr>
          <w:b/>
          <w:bCs/>
        </w:rPr>
        <w:t>6　</w:t>
      </w:r>
      <w:r>
        <w:t>对特殊狭窄空间、回填深度大、回填夯实困难等难以保证回填质量的施工，采用预拌流态固化土、泡沫混凝土等新技术。</w:t>
      </w:r>
    </w:p>
    <w:p w14:paraId="57F11C30">
      <w:bookmarkStart w:id="528" w:name="_Toc29067"/>
      <w:r>
        <w:br w:type="page"/>
      </w:r>
    </w:p>
    <w:p w14:paraId="5D054C46"/>
    <w:p w14:paraId="57602EC3">
      <w:pPr>
        <w:pStyle w:val="19"/>
        <w:widowControl w:val="0"/>
        <w:spacing w:before="328" w:beforeLines="100" w:after="328" w:afterLines="100" w:line="360" w:lineRule="auto"/>
        <w:jc w:val="center"/>
        <w:outlineLvl w:val="0"/>
        <w:rPr>
          <w:rFonts w:ascii="Times New Roman"/>
          <w:sz w:val="32"/>
        </w:rPr>
      </w:pPr>
      <w:bookmarkStart w:id="529" w:name="_Toc31865"/>
      <w:bookmarkStart w:id="530" w:name="_Toc22592"/>
      <w:bookmarkStart w:id="531" w:name="_Toc13123"/>
      <w:bookmarkStart w:id="532" w:name="_Toc193392087"/>
      <w:bookmarkStart w:id="533" w:name="_Toc19249"/>
      <w:bookmarkStart w:id="534" w:name="_Toc13815"/>
      <w:bookmarkStart w:id="535" w:name="_Toc600"/>
      <w:bookmarkStart w:id="536" w:name="_Toc12212"/>
      <w:bookmarkStart w:id="537" w:name="_Toc9175"/>
      <w:bookmarkStart w:id="538" w:name="_Toc20230"/>
      <w:bookmarkStart w:id="539" w:name="_Toc14632"/>
      <w:bookmarkStart w:id="540" w:name="_Toc4608"/>
      <w:r>
        <w:rPr>
          <w:rFonts w:ascii="Times New Roman" w:eastAsia="宋体"/>
          <w:sz w:val="32"/>
        </w:rPr>
        <w:t>7　</w:t>
      </w:r>
      <w:r>
        <w:rPr>
          <w:rFonts w:ascii="Times New Roman"/>
          <w:sz w:val="32"/>
        </w:rPr>
        <w:t>岩土工程监测</w:t>
      </w:r>
      <w:bookmarkEnd w:id="529"/>
      <w:bookmarkEnd w:id="530"/>
      <w:bookmarkEnd w:id="531"/>
      <w:bookmarkEnd w:id="532"/>
      <w:bookmarkEnd w:id="533"/>
      <w:bookmarkEnd w:id="534"/>
      <w:bookmarkEnd w:id="535"/>
      <w:bookmarkEnd w:id="536"/>
      <w:bookmarkEnd w:id="537"/>
      <w:bookmarkEnd w:id="538"/>
      <w:bookmarkEnd w:id="539"/>
    </w:p>
    <w:bookmarkEnd w:id="528"/>
    <w:bookmarkEnd w:id="540"/>
    <w:p w14:paraId="54B02F4E">
      <w:pPr>
        <w:keepNext/>
        <w:spacing w:before="328" w:beforeLines="100" w:after="328" w:afterLines="100" w:line="240" w:lineRule="auto"/>
        <w:ind w:firstLine="0"/>
        <w:jc w:val="center"/>
        <w:outlineLvl w:val="1"/>
        <w:rPr>
          <w:rFonts w:eastAsia="黑体"/>
          <w:b/>
          <w:bCs/>
          <w:sz w:val="28"/>
          <w:szCs w:val="28"/>
        </w:rPr>
      </w:pPr>
      <w:bookmarkStart w:id="541" w:name="_Toc299"/>
      <w:bookmarkStart w:id="542" w:name="_Toc193392088"/>
      <w:bookmarkStart w:id="543" w:name="_Toc14329"/>
      <w:bookmarkStart w:id="544" w:name="_Toc16223"/>
      <w:bookmarkStart w:id="545" w:name="_Toc24156"/>
      <w:bookmarkStart w:id="546" w:name="_Toc11076"/>
      <w:bookmarkStart w:id="547" w:name="_Toc22343"/>
      <w:bookmarkStart w:id="548" w:name="_Toc693"/>
      <w:bookmarkStart w:id="549" w:name="_Toc26221"/>
      <w:bookmarkStart w:id="550" w:name="_Toc27016"/>
      <w:bookmarkStart w:id="551" w:name="_Toc8393"/>
      <w:bookmarkStart w:id="552" w:name="_Toc2682"/>
      <w:r>
        <w:rPr>
          <w:rFonts w:eastAsia="黑体"/>
          <w:b/>
          <w:bCs/>
          <w:sz w:val="28"/>
          <w:szCs w:val="28"/>
        </w:rPr>
        <w:t>7.1　一般规定</w:t>
      </w:r>
      <w:bookmarkEnd w:id="541"/>
      <w:bookmarkEnd w:id="542"/>
      <w:bookmarkEnd w:id="543"/>
      <w:bookmarkEnd w:id="544"/>
      <w:bookmarkEnd w:id="545"/>
      <w:bookmarkEnd w:id="546"/>
      <w:bookmarkEnd w:id="547"/>
      <w:bookmarkEnd w:id="548"/>
      <w:bookmarkEnd w:id="549"/>
      <w:bookmarkEnd w:id="550"/>
      <w:bookmarkEnd w:id="551"/>
      <w:bookmarkEnd w:id="552"/>
    </w:p>
    <w:p w14:paraId="5A4EE77B">
      <w:pPr>
        <w:ind w:firstLine="0"/>
        <w:rPr>
          <w:bCs/>
        </w:rPr>
      </w:pPr>
      <w:r>
        <w:rPr>
          <w:b/>
          <w:bCs/>
        </w:rPr>
        <w:t>7.1.1　</w:t>
      </w:r>
      <w:r>
        <w:t>管廊基坑支护设计单位应在设计文件中明确规定</w:t>
      </w:r>
      <w:r>
        <w:rPr>
          <w:bCs/>
        </w:rPr>
        <w:t>监测范围、监测项目及测点布置、监测频率、监测时间及周期、监测控制值和预警值等。</w:t>
      </w:r>
    </w:p>
    <w:p w14:paraId="6A798B35">
      <w:pPr>
        <w:ind w:firstLine="0"/>
        <w:rPr>
          <w:bCs/>
        </w:rPr>
      </w:pPr>
      <w:r>
        <w:rPr>
          <w:b/>
          <w:bCs/>
        </w:rPr>
        <w:t>7.1.2　</w:t>
      </w:r>
      <w:r>
        <w:rPr>
          <w:bCs/>
        </w:rPr>
        <w:t>监测单位应根据设计文件和现场实际情况，在现场踏勘和收集资料的基础上，有针对性的编制现场监测实施方案，现场监测方案的主要内容应包括：监测目的、监测内容、测点布置、监测仪器及方法、监测项目报警值及控制值、监测结果处理要求和信息反馈制度等，经建设方、设计方、监理方等相关单位认可后实施。</w:t>
      </w:r>
    </w:p>
    <w:p w14:paraId="4C5E4433">
      <w:pPr>
        <w:ind w:firstLine="0"/>
        <w:rPr>
          <w:bCs/>
        </w:rPr>
      </w:pPr>
      <w:r>
        <w:rPr>
          <w:b/>
          <w:bCs/>
        </w:rPr>
        <w:t>7.1.3　</w:t>
      </w:r>
      <w:r>
        <w:rPr>
          <w:bCs/>
        </w:rPr>
        <w:t>现场监测除应符合本规程外，尚应符合国家现行标准《工程测量通用规范》GB 55018、《工程测量规范》GB 50026、《建筑基坑工程监测技术标准》GB 50497、《建筑变形测量规范》JGJ 8的有关规定。</w:t>
      </w:r>
    </w:p>
    <w:p w14:paraId="72E23298">
      <w:pPr>
        <w:ind w:firstLine="0"/>
        <w:rPr>
          <w:bCs/>
        </w:rPr>
      </w:pPr>
      <w:r>
        <w:rPr>
          <w:b/>
          <w:bCs/>
        </w:rPr>
        <w:t>7.1.4　</w:t>
      </w:r>
      <w:r>
        <w:rPr>
          <w:bCs/>
        </w:rPr>
        <w:t>监测仪器和设备应满足测量精度、抗干扰性、可靠性等要求。仪器在使用前应予校准，操作和维护应符合国家现行有关标准和现行中国工程建设标准化协会有关标准的规定。</w:t>
      </w:r>
    </w:p>
    <w:p w14:paraId="3698B160">
      <w:pPr>
        <w:ind w:firstLine="0"/>
        <w:rPr>
          <w:bCs/>
        </w:rPr>
      </w:pPr>
      <w:r>
        <w:rPr>
          <w:b/>
          <w:bCs/>
        </w:rPr>
        <w:t>7.1.5　</w:t>
      </w:r>
      <w:r>
        <w:rPr>
          <w:bCs/>
        </w:rPr>
        <w:t>遇下列情况时，宜实施自动化监测：</w:t>
      </w:r>
    </w:p>
    <w:p w14:paraId="48B82068">
      <w:pPr>
        <w:ind w:firstLine="482" w:firstLineChars="200"/>
        <w:rPr>
          <w:bCs/>
        </w:rPr>
      </w:pPr>
      <w:r>
        <w:rPr>
          <w:b/>
          <w:bCs/>
        </w:rPr>
        <w:t>1　</w:t>
      </w:r>
      <w:r>
        <w:rPr>
          <w:bCs/>
        </w:rPr>
        <w:t>监测点所在部位的环境条件不允许采用或不可能采用人工方式进行观测的项目；</w:t>
      </w:r>
    </w:p>
    <w:p w14:paraId="642EC10E">
      <w:pPr>
        <w:ind w:firstLine="482" w:firstLineChars="200"/>
        <w:rPr>
          <w:bCs/>
        </w:rPr>
      </w:pPr>
      <w:r>
        <w:rPr>
          <w:b/>
          <w:bCs/>
        </w:rPr>
        <w:t>2　</w:t>
      </w:r>
      <w:r>
        <w:rPr>
          <w:bCs/>
        </w:rPr>
        <w:t>需要进行高频次监测且人工观测难以胜任的项目；</w:t>
      </w:r>
    </w:p>
    <w:p w14:paraId="427D599C">
      <w:pPr>
        <w:ind w:firstLine="482" w:firstLineChars="200"/>
        <w:rPr>
          <w:bCs/>
        </w:rPr>
      </w:pPr>
      <w:r>
        <w:rPr>
          <w:b/>
          <w:bCs/>
        </w:rPr>
        <w:t>3　</w:t>
      </w:r>
      <w:r>
        <w:t>地质条件及周边环境复杂，邻近重要建（构）筑物、地下轨道、地下管线分布，需要实时、连续监测其动态的项目</w:t>
      </w:r>
      <w:r>
        <w:rPr>
          <w:bCs/>
        </w:rPr>
        <w:t>。</w:t>
      </w:r>
    </w:p>
    <w:p w14:paraId="20BA3054">
      <w:pPr>
        <w:ind w:firstLine="0"/>
        <w:rPr>
          <w:bCs/>
        </w:rPr>
      </w:pPr>
      <w:r>
        <w:rPr>
          <w:b/>
          <w:bCs/>
        </w:rPr>
        <w:t>7.1.6　</w:t>
      </w:r>
      <w:r>
        <w:rPr>
          <w:bCs/>
        </w:rPr>
        <w:t>监测单位应按方案监测，及时整理监测资料，将结果报告委托方及相关单位。当监测数据达到报警值或现场出现异常和事故征兆时，监测单位必须立即通报委托方及相关单位，并应适当加密监测频率，工程建设各方应及时采取有效措施。</w:t>
      </w:r>
    </w:p>
    <w:p w14:paraId="41C1F1F4">
      <w:pPr>
        <w:widowControl/>
        <w:ind w:firstLine="0"/>
        <w:rPr>
          <w:bCs/>
        </w:rPr>
      </w:pPr>
      <w:r>
        <w:rPr>
          <w:b/>
          <w:bCs/>
        </w:rPr>
        <w:t>7.1.7　</w:t>
      </w:r>
      <w:r>
        <w:rPr>
          <w:bCs/>
        </w:rPr>
        <w:t>监测时应记录监测设施状况、施工工况、支护结构和周边环境巡视巡查结果等，并结合监测数据，综合分析支护结构工作状态与环境变化情况。</w:t>
      </w:r>
    </w:p>
    <w:p w14:paraId="6BB70275">
      <w:pPr>
        <w:ind w:firstLine="0"/>
        <w:rPr>
          <w:bCs/>
        </w:rPr>
      </w:pPr>
      <w:r>
        <w:rPr>
          <w:b/>
          <w:bCs/>
        </w:rPr>
        <w:t>7.1.8　</w:t>
      </w:r>
      <w:r>
        <w:rPr>
          <w:bCs/>
        </w:rPr>
        <w:t>监测结束后，监测单位应向委托方提供下列资料并组卷归档：</w:t>
      </w:r>
    </w:p>
    <w:p w14:paraId="153B2826">
      <w:pPr>
        <w:ind w:firstLine="482" w:firstLineChars="200"/>
        <w:rPr>
          <w:bCs/>
        </w:rPr>
      </w:pPr>
      <w:r>
        <w:rPr>
          <w:b/>
          <w:bCs/>
        </w:rPr>
        <w:t>1　</w:t>
      </w:r>
      <w:r>
        <w:rPr>
          <w:bCs/>
        </w:rPr>
        <w:t>监测方案；</w:t>
      </w:r>
    </w:p>
    <w:p w14:paraId="503AA08A">
      <w:pPr>
        <w:ind w:firstLine="482" w:firstLineChars="200"/>
        <w:rPr>
          <w:bCs/>
        </w:rPr>
      </w:pPr>
      <w:r>
        <w:rPr>
          <w:b/>
          <w:bCs/>
        </w:rPr>
        <w:t>2　</w:t>
      </w:r>
      <w:r>
        <w:rPr>
          <w:bCs/>
        </w:rPr>
        <w:t>测点布设、验收记录；</w:t>
      </w:r>
    </w:p>
    <w:p w14:paraId="4450D333">
      <w:pPr>
        <w:ind w:firstLine="482" w:firstLineChars="200"/>
        <w:rPr>
          <w:bCs/>
        </w:rPr>
      </w:pPr>
      <w:r>
        <w:rPr>
          <w:b/>
          <w:bCs/>
        </w:rPr>
        <w:t>3　</w:t>
      </w:r>
      <w:r>
        <w:rPr>
          <w:bCs/>
        </w:rPr>
        <w:t>阶段性监测报告；</w:t>
      </w:r>
    </w:p>
    <w:p w14:paraId="237AE5FC">
      <w:pPr>
        <w:ind w:firstLine="482" w:firstLineChars="200"/>
        <w:jc w:val="left"/>
        <w:rPr>
          <w:bCs/>
        </w:rPr>
      </w:pPr>
      <w:r>
        <w:rPr>
          <w:b/>
          <w:bCs/>
        </w:rPr>
        <w:t>4　</w:t>
      </w:r>
      <w:r>
        <w:rPr>
          <w:bCs/>
        </w:rPr>
        <w:t>监测总结报告。</w:t>
      </w:r>
    </w:p>
    <w:p w14:paraId="1ED94AC2">
      <w:pPr>
        <w:keepNext/>
        <w:spacing w:before="328" w:beforeLines="100" w:after="328" w:afterLines="100" w:line="240" w:lineRule="auto"/>
        <w:ind w:firstLine="0"/>
        <w:jc w:val="center"/>
        <w:outlineLvl w:val="1"/>
        <w:rPr>
          <w:rFonts w:eastAsia="黑体"/>
          <w:b/>
          <w:bCs/>
          <w:sz w:val="28"/>
          <w:szCs w:val="28"/>
        </w:rPr>
      </w:pPr>
      <w:bookmarkStart w:id="553" w:name="_Toc25544"/>
      <w:bookmarkStart w:id="554" w:name="_Toc14355"/>
      <w:bookmarkStart w:id="555" w:name="_Toc7659"/>
      <w:bookmarkStart w:id="556" w:name="_Toc14989"/>
      <w:bookmarkStart w:id="557" w:name="_Toc11276"/>
      <w:bookmarkStart w:id="558" w:name="_Toc19508"/>
      <w:bookmarkStart w:id="559" w:name="_Toc19672"/>
      <w:bookmarkStart w:id="560" w:name="_Toc193392089"/>
      <w:bookmarkStart w:id="561" w:name="_Toc30296"/>
      <w:bookmarkStart w:id="562" w:name="_Toc4770"/>
      <w:bookmarkStart w:id="563" w:name="_Toc18502"/>
      <w:bookmarkStart w:id="564" w:name="_Toc17664"/>
      <w:r>
        <w:rPr>
          <w:rFonts w:eastAsia="黑体"/>
          <w:b/>
          <w:bCs/>
          <w:sz w:val="28"/>
          <w:szCs w:val="28"/>
        </w:rPr>
        <w:t>7.2　监测</w:t>
      </w:r>
      <w:bookmarkEnd w:id="553"/>
      <w:r>
        <w:rPr>
          <w:rFonts w:eastAsia="黑体"/>
          <w:b/>
          <w:bCs/>
          <w:sz w:val="28"/>
          <w:szCs w:val="28"/>
        </w:rPr>
        <w:t>项目</w:t>
      </w:r>
      <w:bookmarkEnd w:id="554"/>
      <w:bookmarkEnd w:id="555"/>
      <w:bookmarkEnd w:id="556"/>
      <w:bookmarkEnd w:id="557"/>
      <w:bookmarkEnd w:id="558"/>
      <w:bookmarkEnd w:id="559"/>
      <w:bookmarkEnd w:id="560"/>
      <w:bookmarkEnd w:id="561"/>
      <w:bookmarkEnd w:id="562"/>
      <w:bookmarkEnd w:id="563"/>
      <w:bookmarkEnd w:id="564"/>
    </w:p>
    <w:p w14:paraId="3E618B37">
      <w:pPr>
        <w:ind w:firstLine="0"/>
        <w:rPr>
          <w:bCs/>
        </w:rPr>
      </w:pPr>
      <w:r>
        <w:rPr>
          <w:b/>
          <w:bCs/>
        </w:rPr>
        <w:t>7.2.1　</w:t>
      </w:r>
      <w:r>
        <w:rPr>
          <w:bCs/>
        </w:rPr>
        <w:t>管廊沿线周边1倍</w:t>
      </w:r>
      <w:r>
        <w:rPr>
          <w:color w:val="auto"/>
        </w:rPr>
        <w:t>～</w:t>
      </w:r>
      <w:r>
        <w:rPr>
          <w:bCs/>
        </w:rPr>
        <w:t>3倍埋设深度范围内需要保护的建（构）筑物、道路、地下管线等均应作为监测对象，必要时，应扩大监测范围。位于重要保护对象安全保护区范围内的监测点的布置，尚应满足相关管理部门的技术要求。</w:t>
      </w:r>
    </w:p>
    <w:p w14:paraId="6BBD6359">
      <w:pPr>
        <w:ind w:firstLine="0"/>
        <w:rPr>
          <w:bCs/>
        </w:rPr>
      </w:pPr>
      <w:r>
        <w:rPr>
          <w:b/>
          <w:bCs/>
        </w:rPr>
        <w:t>7.2.2　</w:t>
      </w:r>
      <w:r>
        <w:rPr>
          <w:bCs/>
        </w:rPr>
        <w:t>工程监测项目应根据监测对象的特点、管廊明挖段基坑工程安全等级、设计及施工的要求合理确定，着重反映监测对象的变化特征和安全状态。管廊明挖段基坑工程安全等级参照现行行业标准《建筑基坑支护技术规程》JGJ 120的有关规定执行。</w:t>
      </w:r>
    </w:p>
    <w:p w14:paraId="09E811A5">
      <w:pPr>
        <w:ind w:firstLine="0"/>
        <w:rPr>
          <w:bCs/>
        </w:rPr>
      </w:pPr>
      <w:r>
        <w:rPr>
          <w:b/>
          <w:bCs/>
        </w:rPr>
        <w:t>7.2.3　</w:t>
      </w:r>
      <w:r>
        <w:t>管廊明挖段基坑</w:t>
      </w:r>
      <w:r>
        <w:rPr>
          <w:bCs/>
        </w:rPr>
        <w:t>工程影响分区宜按现行国家标准《城市轨道交通工程监测技术规范》GB 50911的有关规定执行。</w:t>
      </w:r>
    </w:p>
    <w:p w14:paraId="16641E67">
      <w:pPr>
        <w:ind w:firstLine="0"/>
        <w:rPr>
          <w:bCs/>
        </w:rPr>
      </w:pPr>
      <w:r>
        <w:rPr>
          <w:b/>
          <w:bCs/>
        </w:rPr>
        <w:t>7.2.3　</w:t>
      </w:r>
      <w:r>
        <w:rPr>
          <w:bCs/>
        </w:rPr>
        <w:t>各监测对象和监测项目应互为补充、相互验证，满足设计、施工方案的要求，并形成有效、完整的监测体系。</w:t>
      </w:r>
    </w:p>
    <w:p w14:paraId="5F506F7C">
      <w:pPr>
        <w:ind w:firstLine="0"/>
        <w:rPr>
          <w:bCs/>
        </w:rPr>
      </w:pPr>
      <w:r>
        <w:rPr>
          <w:b/>
          <w:bCs/>
        </w:rPr>
        <w:t>7.2.4　</w:t>
      </w:r>
      <w:r>
        <w:rPr>
          <w:bCs/>
        </w:rPr>
        <w:t>城市综合管廊岩土工程监测应采用仪器监测和现场巡视检查相结合的方法。仪器监测可采用现场人工监测或进行自动化监测。</w:t>
      </w:r>
    </w:p>
    <w:p w14:paraId="43AD9DE7">
      <w:pPr>
        <w:ind w:firstLine="0"/>
        <w:rPr>
          <w:bCs/>
        </w:rPr>
      </w:pPr>
      <w:r>
        <w:rPr>
          <w:b/>
          <w:bCs/>
        </w:rPr>
        <w:t>7.2.5　</w:t>
      </w:r>
      <w:r>
        <w:rPr>
          <w:bCs/>
        </w:rPr>
        <w:t>采用仪器监测时支护体系的监测项目应按表7.2.5进行选择。</w:t>
      </w:r>
    </w:p>
    <w:p w14:paraId="72FA360A">
      <w:pPr>
        <w:ind w:firstLine="0"/>
        <w:jc w:val="center"/>
        <w:rPr>
          <w:b/>
          <w:bCs/>
          <w:color w:val="auto"/>
          <w:sz w:val="21"/>
          <w:szCs w:val="21"/>
        </w:rPr>
      </w:pPr>
      <w:r>
        <w:rPr>
          <w:b/>
          <w:bCs/>
          <w:color w:val="auto"/>
          <w:sz w:val="21"/>
          <w:szCs w:val="21"/>
        </w:rPr>
        <w:t>表7.2.5　管廊明挖段基坑工程仪器监测项目表</w:t>
      </w:r>
    </w:p>
    <w:tbl>
      <w:tblPr>
        <w:tblStyle w:val="13"/>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36"/>
        <w:gridCol w:w="3946"/>
        <w:gridCol w:w="1328"/>
        <w:gridCol w:w="1179"/>
        <w:gridCol w:w="1315"/>
      </w:tblGrid>
      <w:tr w14:paraId="1A3045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708" w:type="dxa"/>
            <w:vMerge w:val="restart"/>
            <w:tcBorders>
              <w:tl2br w:val="nil"/>
              <w:tr2bl w:val="nil"/>
            </w:tcBorders>
            <w:shd w:val="clear" w:color="auto" w:fill="auto"/>
            <w:vAlign w:val="center"/>
          </w:tcPr>
          <w:p w14:paraId="11646B35">
            <w:pPr>
              <w:spacing w:line="240" w:lineRule="auto"/>
              <w:ind w:firstLine="0"/>
              <w:jc w:val="center"/>
              <w:rPr>
                <w:sz w:val="21"/>
                <w:szCs w:val="21"/>
              </w:rPr>
            </w:pPr>
            <w:r>
              <w:rPr>
                <w:sz w:val="21"/>
                <w:szCs w:val="21"/>
              </w:rPr>
              <w:t>序号</w:t>
            </w:r>
          </w:p>
        </w:tc>
        <w:tc>
          <w:tcPr>
            <w:tcW w:w="3793" w:type="dxa"/>
            <w:vMerge w:val="restart"/>
            <w:tcBorders>
              <w:tl2br w:val="nil"/>
              <w:tr2bl w:val="nil"/>
            </w:tcBorders>
            <w:shd w:val="clear" w:color="auto" w:fill="auto"/>
            <w:vAlign w:val="center"/>
          </w:tcPr>
          <w:p w14:paraId="5381EA2F">
            <w:pPr>
              <w:spacing w:line="240" w:lineRule="auto"/>
              <w:ind w:firstLine="0"/>
              <w:jc w:val="center"/>
              <w:rPr>
                <w:sz w:val="21"/>
                <w:szCs w:val="21"/>
              </w:rPr>
            </w:pPr>
            <w:r>
              <w:rPr>
                <w:sz w:val="21"/>
                <w:szCs w:val="21"/>
              </w:rPr>
              <w:t>监测项目</w:t>
            </w:r>
          </w:p>
        </w:tc>
        <w:tc>
          <w:tcPr>
            <w:tcW w:w="3674" w:type="dxa"/>
            <w:gridSpan w:val="3"/>
            <w:tcBorders>
              <w:tl2br w:val="nil"/>
              <w:tr2bl w:val="nil"/>
            </w:tcBorders>
            <w:shd w:val="clear" w:color="auto" w:fill="auto"/>
            <w:vAlign w:val="center"/>
          </w:tcPr>
          <w:p w14:paraId="769C5912">
            <w:pPr>
              <w:spacing w:line="240" w:lineRule="auto"/>
              <w:ind w:firstLine="0"/>
              <w:jc w:val="center"/>
              <w:rPr>
                <w:sz w:val="21"/>
                <w:szCs w:val="21"/>
              </w:rPr>
            </w:pPr>
            <w:r>
              <w:rPr>
                <w:sz w:val="21"/>
                <w:szCs w:val="21"/>
              </w:rPr>
              <w:t>管廊明挖段基坑工程安全等级</w:t>
            </w:r>
          </w:p>
        </w:tc>
      </w:tr>
      <w:tr w14:paraId="054ABB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708" w:type="dxa"/>
            <w:vMerge w:val="continue"/>
            <w:tcBorders>
              <w:tl2br w:val="nil"/>
              <w:tr2bl w:val="nil"/>
            </w:tcBorders>
            <w:shd w:val="clear" w:color="auto" w:fill="auto"/>
            <w:vAlign w:val="center"/>
          </w:tcPr>
          <w:p w14:paraId="31E381B1">
            <w:pPr>
              <w:spacing w:line="240" w:lineRule="auto"/>
              <w:ind w:firstLine="0"/>
              <w:jc w:val="center"/>
              <w:rPr>
                <w:sz w:val="21"/>
                <w:szCs w:val="21"/>
              </w:rPr>
            </w:pPr>
          </w:p>
        </w:tc>
        <w:tc>
          <w:tcPr>
            <w:tcW w:w="3793" w:type="dxa"/>
            <w:vMerge w:val="continue"/>
            <w:tcBorders>
              <w:tl2br w:val="nil"/>
              <w:tr2bl w:val="nil"/>
            </w:tcBorders>
            <w:shd w:val="clear" w:color="auto" w:fill="auto"/>
            <w:vAlign w:val="center"/>
          </w:tcPr>
          <w:p w14:paraId="6BB1A764">
            <w:pPr>
              <w:spacing w:line="240" w:lineRule="auto"/>
              <w:ind w:firstLine="0"/>
              <w:jc w:val="center"/>
              <w:rPr>
                <w:sz w:val="21"/>
                <w:szCs w:val="21"/>
              </w:rPr>
            </w:pPr>
          </w:p>
        </w:tc>
        <w:tc>
          <w:tcPr>
            <w:tcW w:w="1277" w:type="dxa"/>
            <w:tcBorders>
              <w:tl2br w:val="nil"/>
              <w:tr2bl w:val="nil"/>
            </w:tcBorders>
            <w:shd w:val="clear" w:color="auto" w:fill="auto"/>
            <w:vAlign w:val="center"/>
          </w:tcPr>
          <w:p w14:paraId="6F26ACCF">
            <w:pPr>
              <w:autoSpaceDE w:val="0"/>
              <w:autoSpaceDN w:val="0"/>
              <w:spacing w:line="240" w:lineRule="auto"/>
              <w:ind w:firstLine="0"/>
              <w:jc w:val="center"/>
              <w:rPr>
                <w:sz w:val="21"/>
                <w:szCs w:val="21"/>
              </w:rPr>
            </w:pPr>
            <w:r>
              <w:rPr>
                <w:sz w:val="21"/>
                <w:szCs w:val="21"/>
              </w:rPr>
              <w:t>一级</w:t>
            </w:r>
          </w:p>
        </w:tc>
        <w:tc>
          <w:tcPr>
            <w:tcW w:w="1133" w:type="dxa"/>
            <w:tcBorders>
              <w:tl2br w:val="nil"/>
              <w:tr2bl w:val="nil"/>
            </w:tcBorders>
            <w:shd w:val="clear" w:color="auto" w:fill="auto"/>
            <w:vAlign w:val="center"/>
          </w:tcPr>
          <w:p w14:paraId="1F09C55D">
            <w:pPr>
              <w:autoSpaceDE w:val="0"/>
              <w:autoSpaceDN w:val="0"/>
              <w:spacing w:line="240" w:lineRule="auto"/>
              <w:ind w:firstLine="0"/>
              <w:jc w:val="center"/>
              <w:rPr>
                <w:sz w:val="21"/>
                <w:szCs w:val="21"/>
              </w:rPr>
            </w:pPr>
            <w:r>
              <w:rPr>
                <w:sz w:val="21"/>
                <w:szCs w:val="21"/>
              </w:rPr>
              <w:t>二级</w:t>
            </w:r>
          </w:p>
        </w:tc>
        <w:tc>
          <w:tcPr>
            <w:tcW w:w="1264" w:type="dxa"/>
            <w:tcBorders>
              <w:tl2br w:val="nil"/>
              <w:tr2bl w:val="nil"/>
            </w:tcBorders>
            <w:shd w:val="clear" w:color="auto" w:fill="auto"/>
            <w:vAlign w:val="center"/>
          </w:tcPr>
          <w:p w14:paraId="16CF53F9">
            <w:pPr>
              <w:autoSpaceDE w:val="0"/>
              <w:autoSpaceDN w:val="0"/>
              <w:spacing w:line="240" w:lineRule="auto"/>
              <w:ind w:firstLine="0"/>
              <w:jc w:val="center"/>
              <w:rPr>
                <w:sz w:val="21"/>
                <w:szCs w:val="21"/>
              </w:rPr>
            </w:pPr>
            <w:r>
              <w:rPr>
                <w:sz w:val="21"/>
                <w:szCs w:val="21"/>
              </w:rPr>
              <w:t>三级</w:t>
            </w:r>
          </w:p>
        </w:tc>
      </w:tr>
      <w:tr w14:paraId="6065D3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08" w:type="dxa"/>
            <w:tcBorders>
              <w:tl2br w:val="nil"/>
              <w:tr2bl w:val="nil"/>
            </w:tcBorders>
            <w:shd w:val="clear" w:color="auto" w:fill="auto"/>
            <w:vAlign w:val="center"/>
          </w:tcPr>
          <w:p w14:paraId="2BB7D5B6">
            <w:pPr>
              <w:tabs>
                <w:tab w:val="center" w:pos="4201"/>
                <w:tab w:val="right" w:leader="dot" w:pos="9298"/>
              </w:tabs>
              <w:autoSpaceDE w:val="0"/>
              <w:autoSpaceDN w:val="0"/>
              <w:spacing w:line="240" w:lineRule="auto"/>
              <w:ind w:firstLine="0"/>
              <w:jc w:val="center"/>
              <w:rPr>
                <w:sz w:val="21"/>
                <w:szCs w:val="21"/>
              </w:rPr>
            </w:pPr>
            <w:r>
              <w:rPr>
                <w:sz w:val="21"/>
                <w:szCs w:val="21"/>
              </w:rPr>
              <w:t>1</w:t>
            </w:r>
          </w:p>
        </w:tc>
        <w:tc>
          <w:tcPr>
            <w:tcW w:w="3793" w:type="dxa"/>
            <w:tcBorders>
              <w:tl2br w:val="nil"/>
              <w:tr2bl w:val="nil"/>
            </w:tcBorders>
            <w:shd w:val="clear" w:color="auto" w:fill="auto"/>
            <w:vAlign w:val="center"/>
          </w:tcPr>
          <w:p w14:paraId="6C2552BF">
            <w:pPr>
              <w:tabs>
                <w:tab w:val="center" w:pos="4201"/>
                <w:tab w:val="right" w:leader="dot" w:pos="9298"/>
              </w:tabs>
              <w:autoSpaceDE w:val="0"/>
              <w:autoSpaceDN w:val="0"/>
              <w:spacing w:line="240" w:lineRule="auto"/>
              <w:ind w:firstLine="0"/>
              <w:jc w:val="center"/>
              <w:rPr>
                <w:sz w:val="21"/>
                <w:szCs w:val="21"/>
              </w:rPr>
            </w:pPr>
            <w:r>
              <w:rPr>
                <w:sz w:val="21"/>
                <w:szCs w:val="21"/>
              </w:rPr>
              <w:t>支护桩（墙）、边坡的顶部水平位移</w:t>
            </w:r>
          </w:p>
        </w:tc>
        <w:tc>
          <w:tcPr>
            <w:tcW w:w="1277" w:type="dxa"/>
            <w:tcBorders>
              <w:tl2br w:val="nil"/>
              <w:tr2bl w:val="nil"/>
            </w:tcBorders>
            <w:shd w:val="clear" w:color="auto" w:fill="auto"/>
            <w:vAlign w:val="center"/>
          </w:tcPr>
          <w:p w14:paraId="4FD50DF2">
            <w:pPr>
              <w:tabs>
                <w:tab w:val="center" w:pos="4201"/>
                <w:tab w:val="right" w:leader="dot" w:pos="9298"/>
              </w:tabs>
              <w:autoSpaceDE w:val="0"/>
              <w:autoSpaceDN w:val="0"/>
              <w:spacing w:line="240" w:lineRule="auto"/>
              <w:ind w:firstLine="0"/>
              <w:jc w:val="center"/>
              <w:rPr>
                <w:sz w:val="21"/>
                <w:szCs w:val="21"/>
              </w:rPr>
            </w:pPr>
            <w:r>
              <w:rPr>
                <w:sz w:val="21"/>
                <w:szCs w:val="21"/>
              </w:rPr>
              <w:t>应测</w:t>
            </w:r>
          </w:p>
        </w:tc>
        <w:tc>
          <w:tcPr>
            <w:tcW w:w="1133" w:type="dxa"/>
            <w:tcBorders>
              <w:tl2br w:val="nil"/>
              <w:tr2bl w:val="nil"/>
            </w:tcBorders>
            <w:shd w:val="clear" w:color="auto" w:fill="auto"/>
            <w:vAlign w:val="center"/>
          </w:tcPr>
          <w:p w14:paraId="214780F7">
            <w:pPr>
              <w:tabs>
                <w:tab w:val="center" w:pos="4201"/>
                <w:tab w:val="right" w:leader="dot" w:pos="9298"/>
              </w:tabs>
              <w:autoSpaceDE w:val="0"/>
              <w:autoSpaceDN w:val="0"/>
              <w:spacing w:line="240" w:lineRule="auto"/>
              <w:ind w:firstLine="0"/>
              <w:jc w:val="center"/>
              <w:rPr>
                <w:sz w:val="21"/>
                <w:szCs w:val="21"/>
              </w:rPr>
            </w:pPr>
            <w:r>
              <w:rPr>
                <w:sz w:val="21"/>
                <w:szCs w:val="21"/>
              </w:rPr>
              <w:t>应测</w:t>
            </w:r>
          </w:p>
        </w:tc>
        <w:tc>
          <w:tcPr>
            <w:tcW w:w="1264" w:type="dxa"/>
            <w:tcBorders>
              <w:tl2br w:val="nil"/>
              <w:tr2bl w:val="nil"/>
            </w:tcBorders>
            <w:shd w:val="clear" w:color="auto" w:fill="auto"/>
            <w:vAlign w:val="center"/>
          </w:tcPr>
          <w:p w14:paraId="1A443588">
            <w:pPr>
              <w:tabs>
                <w:tab w:val="center" w:pos="4201"/>
                <w:tab w:val="right" w:leader="dot" w:pos="9298"/>
              </w:tabs>
              <w:autoSpaceDE w:val="0"/>
              <w:autoSpaceDN w:val="0"/>
              <w:spacing w:line="240" w:lineRule="auto"/>
              <w:ind w:firstLine="0"/>
              <w:jc w:val="center"/>
              <w:rPr>
                <w:sz w:val="21"/>
                <w:szCs w:val="21"/>
              </w:rPr>
            </w:pPr>
            <w:r>
              <w:rPr>
                <w:sz w:val="21"/>
                <w:szCs w:val="21"/>
              </w:rPr>
              <w:t>应测</w:t>
            </w:r>
          </w:p>
        </w:tc>
      </w:tr>
      <w:tr w14:paraId="2C85E5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08" w:type="dxa"/>
            <w:tcBorders>
              <w:tl2br w:val="nil"/>
              <w:tr2bl w:val="nil"/>
            </w:tcBorders>
            <w:shd w:val="clear" w:color="auto" w:fill="auto"/>
            <w:vAlign w:val="center"/>
          </w:tcPr>
          <w:p w14:paraId="75C1040D">
            <w:pPr>
              <w:tabs>
                <w:tab w:val="center" w:pos="4201"/>
                <w:tab w:val="right" w:leader="dot" w:pos="9298"/>
              </w:tabs>
              <w:autoSpaceDE w:val="0"/>
              <w:autoSpaceDN w:val="0"/>
              <w:spacing w:line="240" w:lineRule="auto"/>
              <w:ind w:firstLine="0"/>
              <w:jc w:val="center"/>
              <w:rPr>
                <w:sz w:val="21"/>
                <w:szCs w:val="21"/>
              </w:rPr>
            </w:pPr>
            <w:r>
              <w:rPr>
                <w:sz w:val="21"/>
                <w:szCs w:val="21"/>
              </w:rPr>
              <w:t>2</w:t>
            </w:r>
          </w:p>
        </w:tc>
        <w:tc>
          <w:tcPr>
            <w:tcW w:w="3793" w:type="dxa"/>
            <w:tcBorders>
              <w:tl2br w:val="nil"/>
              <w:tr2bl w:val="nil"/>
            </w:tcBorders>
            <w:shd w:val="clear" w:color="auto" w:fill="auto"/>
            <w:vAlign w:val="center"/>
          </w:tcPr>
          <w:p w14:paraId="13889873">
            <w:pPr>
              <w:tabs>
                <w:tab w:val="center" w:pos="4201"/>
                <w:tab w:val="right" w:leader="dot" w:pos="9298"/>
              </w:tabs>
              <w:autoSpaceDE w:val="0"/>
              <w:autoSpaceDN w:val="0"/>
              <w:spacing w:line="240" w:lineRule="auto"/>
              <w:ind w:firstLine="0"/>
              <w:jc w:val="center"/>
              <w:rPr>
                <w:sz w:val="21"/>
                <w:szCs w:val="21"/>
              </w:rPr>
            </w:pPr>
            <w:r>
              <w:rPr>
                <w:sz w:val="21"/>
                <w:szCs w:val="21"/>
              </w:rPr>
              <w:t>支护桩（墙）、边坡的顶部竖向位移</w:t>
            </w:r>
          </w:p>
        </w:tc>
        <w:tc>
          <w:tcPr>
            <w:tcW w:w="1277" w:type="dxa"/>
            <w:tcBorders>
              <w:tl2br w:val="nil"/>
              <w:tr2bl w:val="nil"/>
            </w:tcBorders>
            <w:shd w:val="clear" w:color="auto" w:fill="auto"/>
            <w:vAlign w:val="center"/>
          </w:tcPr>
          <w:p w14:paraId="3A351A8D">
            <w:pPr>
              <w:tabs>
                <w:tab w:val="center" w:pos="4201"/>
                <w:tab w:val="right" w:leader="dot" w:pos="9298"/>
              </w:tabs>
              <w:autoSpaceDE w:val="0"/>
              <w:autoSpaceDN w:val="0"/>
              <w:spacing w:line="240" w:lineRule="auto"/>
              <w:ind w:firstLine="0"/>
              <w:jc w:val="center"/>
              <w:rPr>
                <w:sz w:val="21"/>
                <w:szCs w:val="21"/>
              </w:rPr>
            </w:pPr>
            <w:r>
              <w:rPr>
                <w:sz w:val="21"/>
                <w:szCs w:val="21"/>
              </w:rPr>
              <w:t>应测</w:t>
            </w:r>
          </w:p>
        </w:tc>
        <w:tc>
          <w:tcPr>
            <w:tcW w:w="1133" w:type="dxa"/>
            <w:tcBorders>
              <w:tl2br w:val="nil"/>
              <w:tr2bl w:val="nil"/>
            </w:tcBorders>
            <w:shd w:val="clear" w:color="auto" w:fill="auto"/>
            <w:vAlign w:val="center"/>
          </w:tcPr>
          <w:p w14:paraId="33FD1975">
            <w:pPr>
              <w:tabs>
                <w:tab w:val="center" w:pos="4201"/>
                <w:tab w:val="right" w:leader="dot" w:pos="9298"/>
              </w:tabs>
              <w:autoSpaceDE w:val="0"/>
              <w:autoSpaceDN w:val="0"/>
              <w:spacing w:line="240" w:lineRule="auto"/>
              <w:ind w:firstLine="0"/>
              <w:jc w:val="center"/>
              <w:rPr>
                <w:sz w:val="21"/>
                <w:szCs w:val="21"/>
              </w:rPr>
            </w:pPr>
            <w:r>
              <w:rPr>
                <w:sz w:val="21"/>
                <w:szCs w:val="21"/>
              </w:rPr>
              <w:t>应测</w:t>
            </w:r>
          </w:p>
        </w:tc>
        <w:tc>
          <w:tcPr>
            <w:tcW w:w="1264" w:type="dxa"/>
            <w:tcBorders>
              <w:tl2br w:val="nil"/>
              <w:tr2bl w:val="nil"/>
            </w:tcBorders>
            <w:shd w:val="clear" w:color="auto" w:fill="auto"/>
            <w:vAlign w:val="center"/>
          </w:tcPr>
          <w:p w14:paraId="503D23B8">
            <w:pPr>
              <w:tabs>
                <w:tab w:val="center" w:pos="4201"/>
                <w:tab w:val="right" w:leader="dot" w:pos="9298"/>
              </w:tabs>
              <w:autoSpaceDE w:val="0"/>
              <w:autoSpaceDN w:val="0"/>
              <w:spacing w:line="240" w:lineRule="auto"/>
              <w:ind w:firstLine="0"/>
              <w:jc w:val="center"/>
              <w:rPr>
                <w:sz w:val="21"/>
                <w:szCs w:val="21"/>
              </w:rPr>
            </w:pPr>
            <w:r>
              <w:rPr>
                <w:sz w:val="21"/>
                <w:szCs w:val="21"/>
              </w:rPr>
              <w:t>应测</w:t>
            </w:r>
          </w:p>
        </w:tc>
      </w:tr>
      <w:tr w14:paraId="039DCF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08" w:type="dxa"/>
            <w:tcBorders>
              <w:tl2br w:val="nil"/>
              <w:tr2bl w:val="nil"/>
            </w:tcBorders>
            <w:shd w:val="clear" w:color="auto" w:fill="auto"/>
            <w:vAlign w:val="center"/>
          </w:tcPr>
          <w:p w14:paraId="1851A270">
            <w:pPr>
              <w:tabs>
                <w:tab w:val="center" w:pos="4201"/>
                <w:tab w:val="right" w:leader="dot" w:pos="9298"/>
              </w:tabs>
              <w:autoSpaceDE w:val="0"/>
              <w:autoSpaceDN w:val="0"/>
              <w:spacing w:line="240" w:lineRule="auto"/>
              <w:ind w:firstLine="0"/>
              <w:jc w:val="center"/>
              <w:rPr>
                <w:sz w:val="21"/>
                <w:szCs w:val="21"/>
              </w:rPr>
            </w:pPr>
            <w:r>
              <w:rPr>
                <w:sz w:val="21"/>
                <w:szCs w:val="21"/>
              </w:rPr>
              <w:t>3</w:t>
            </w:r>
          </w:p>
        </w:tc>
        <w:tc>
          <w:tcPr>
            <w:tcW w:w="3793" w:type="dxa"/>
            <w:tcBorders>
              <w:tl2br w:val="nil"/>
              <w:tr2bl w:val="nil"/>
            </w:tcBorders>
            <w:shd w:val="clear" w:color="auto" w:fill="auto"/>
            <w:vAlign w:val="center"/>
          </w:tcPr>
          <w:p w14:paraId="045C06FC">
            <w:pPr>
              <w:tabs>
                <w:tab w:val="center" w:pos="4201"/>
                <w:tab w:val="right" w:leader="dot" w:pos="9298"/>
              </w:tabs>
              <w:autoSpaceDE w:val="0"/>
              <w:autoSpaceDN w:val="0"/>
              <w:spacing w:line="240" w:lineRule="auto"/>
              <w:ind w:firstLine="0"/>
              <w:jc w:val="center"/>
              <w:rPr>
                <w:sz w:val="21"/>
                <w:szCs w:val="21"/>
              </w:rPr>
            </w:pPr>
            <w:r>
              <w:rPr>
                <w:sz w:val="21"/>
                <w:szCs w:val="21"/>
              </w:rPr>
              <w:t>支护桩（墙）水平位移</w:t>
            </w:r>
          </w:p>
        </w:tc>
        <w:tc>
          <w:tcPr>
            <w:tcW w:w="1277" w:type="dxa"/>
            <w:tcBorders>
              <w:tl2br w:val="nil"/>
              <w:tr2bl w:val="nil"/>
            </w:tcBorders>
            <w:shd w:val="clear" w:color="auto" w:fill="auto"/>
            <w:vAlign w:val="center"/>
          </w:tcPr>
          <w:p w14:paraId="1D24FE1F">
            <w:pPr>
              <w:tabs>
                <w:tab w:val="center" w:pos="4201"/>
                <w:tab w:val="right" w:leader="dot" w:pos="9298"/>
              </w:tabs>
              <w:autoSpaceDE w:val="0"/>
              <w:autoSpaceDN w:val="0"/>
              <w:spacing w:line="240" w:lineRule="auto"/>
              <w:ind w:firstLine="0"/>
              <w:jc w:val="center"/>
              <w:rPr>
                <w:sz w:val="21"/>
                <w:szCs w:val="21"/>
              </w:rPr>
            </w:pPr>
            <w:r>
              <w:rPr>
                <w:sz w:val="21"/>
                <w:szCs w:val="21"/>
              </w:rPr>
              <w:t>应测</w:t>
            </w:r>
          </w:p>
        </w:tc>
        <w:tc>
          <w:tcPr>
            <w:tcW w:w="1133" w:type="dxa"/>
            <w:tcBorders>
              <w:tl2br w:val="nil"/>
              <w:tr2bl w:val="nil"/>
            </w:tcBorders>
            <w:shd w:val="clear" w:color="auto" w:fill="auto"/>
            <w:vAlign w:val="center"/>
          </w:tcPr>
          <w:p w14:paraId="083D341B">
            <w:pPr>
              <w:tabs>
                <w:tab w:val="center" w:pos="4201"/>
                <w:tab w:val="right" w:leader="dot" w:pos="9298"/>
              </w:tabs>
              <w:autoSpaceDE w:val="0"/>
              <w:autoSpaceDN w:val="0"/>
              <w:spacing w:line="240" w:lineRule="auto"/>
              <w:ind w:firstLine="0"/>
              <w:jc w:val="center"/>
              <w:rPr>
                <w:sz w:val="21"/>
                <w:szCs w:val="21"/>
              </w:rPr>
            </w:pPr>
            <w:r>
              <w:rPr>
                <w:sz w:val="21"/>
                <w:szCs w:val="21"/>
              </w:rPr>
              <w:t>应测</w:t>
            </w:r>
          </w:p>
        </w:tc>
        <w:tc>
          <w:tcPr>
            <w:tcW w:w="1264" w:type="dxa"/>
            <w:tcBorders>
              <w:tl2br w:val="nil"/>
              <w:tr2bl w:val="nil"/>
            </w:tcBorders>
            <w:shd w:val="clear" w:color="auto" w:fill="auto"/>
            <w:vAlign w:val="center"/>
          </w:tcPr>
          <w:p w14:paraId="41F741A5">
            <w:pPr>
              <w:tabs>
                <w:tab w:val="center" w:pos="4201"/>
                <w:tab w:val="right" w:leader="dot" w:pos="9298"/>
              </w:tabs>
              <w:autoSpaceDE w:val="0"/>
              <w:autoSpaceDN w:val="0"/>
              <w:spacing w:line="240" w:lineRule="auto"/>
              <w:ind w:firstLine="0"/>
              <w:jc w:val="center"/>
              <w:rPr>
                <w:sz w:val="21"/>
                <w:szCs w:val="21"/>
              </w:rPr>
            </w:pPr>
            <w:r>
              <w:rPr>
                <w:sz w:val="21"/>
                <w:szCs w:val="21"/>
              </w:rPr>
              <w:t>宜测</w:t>
            </w:r>
          </w:p>
        </w:tc>
      </w:tr>
      <w:tr w14:paraId="214845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08" w:type="dxa"/>
            <w:tcBorders>
              <w:tl2br w:val="nil"/>
              <w:tr2bl w:val="nil"/>
            </w:tcBorders>
            <w:shd w:val="clear" w:color="auto" w:fill="auto"/>
            <w:vAlign w:val="center"/>
          </w:tcPr>
          <w:p w14:paraId="0511C6BA">
            <w:pPr>
              <w:tabs>
                <w:tab w:val="center" w:pos="4201"/>
                <w:tab w:val="right" w:leader="dot" w:pos="9298"/>
              </w:tabs>
              <w:autoSpaceDE w:val="0"/>
              <w:autoSpaceDN w:val="0"/>
              <w:spacing w:line="240" w:lineRule="auto"/>
              <w:ind w:firstLine="0"/>
              <w:jc w:val="center"/>
              <w:rPr>
                <w:sz w:val="21"/>
                <w:szCs w:val="21"/>
              </w:rPr>
            </w:pPr>
            <w:r>
              <w:rPr>
                <w:sz w:val="21"/>
                <w:szCs w:val="21"/>
              </w:rPr>
              <w:t>4</w:t>
            </w:r>
          </w:p>
        </w:tc>
        <w:tc>
          <w:tcPr>
            <w:tcW w:w="3793" w:type="dxa"/>
            <w:tcBorders>
              <w:tl2br w:val="nil"/>
              <w:tr2bl w:val="nil"/>
            </w:tcBorders>
            <w:shd w:val="clear" w:color="auto" w:fill="auto"/>
            <w:vAlign w:val="center"/>
          </w:tcPr>
          <w:p w14:paraId="66CC9233">
            <w:pPr>
              <w:tabs>
                <w:tab w:val="center" w:pos="4201"/>
                <w:tab w:val="right" w:leader="dot" w:pos="9298"/>
              </w:tabs>
              <w:autoSpaceDE w:val="0"/>
              <w:autoSpaceDN w:val="0"/>
              <w:spacing w:line="240" w:lineRule="auto"/>
              <w:ind w:firstLine="0"/>
              <w:jc w:val="center"/>
              <w:rPr>
                <w:sz w:val="21"/>
                <w:szCs w:val="21"/>
              </w:rPr>
            </w:pPr>
            <w:r>
              <w:rPr>
                <w:sz w:val="21"/>
                <w:szCs w:val="21"/>
              </w:rPr>
              <w:t>支护桩（墙）结构应力</w:t>
            </w:r>
          </w:p>
        </w:tc>
        <w:tc>
          <w:tcPr>
            <w:tcW w:w="1277" w:type="dxa"/>
            <w:tcBorders>
              <w:tl2br w:val="nil"/>
              <w:tr2bl w:val="nil"/>
            </w:tcBorders>
            <w:shd w:val="clear" w:color="auto" w:fill="auto"/>
            <w:vAlign w:val="center"/>
          </w:tcPr>
          <w:p w14:paraId="4F0831C1">
            <w:pPr>
              <w:tabs>
                <w:tab w:val="center" w:pos="4201"/>
                <w:tab w:val="right" w:leader="dot" w:pos="9298"/>
              </w:tabs>
              <w:autoSpaceDE w:val="0"/>
              <w:autoSpaceDN w:val="0"/>
              <w:spacing w:line="240" w:lineRule="auto"/>
              <w:ind w:firstLine="0"/>
              <w:jc w:val="center"/>
              <w:rPr>
                <w:sz w:val="21"/>
                <w:szCs w:val="21"/>
              </w:rPr>
            </w:pPr>
            <w:r>
              <w:rPr>
                <w:sz w:val="21"/>
                <w:szCs w:val="21"/>
              </w:rPr>
              <w:t>宜测</w:t>
            </w:r>
          </w:p>
        </w:tc>
        <w:tc>
          <w:tcPr>
            <w:tcW w:w="1133" w:type="dxa"/>
            <w:tcBorders>
              <w:tl2br w:val="nil"/>
              <w:tr2bl w:val="nil"/>
            </w:tcBorders>
            <w:shd w:val="clear" w:color="auto" w:fill="auto"/>
            <w:vAlign w:val="center"/>
          </w:tcPr>
          <w:p w14:paraId="40175C6F">
            <w:pPr>
              <w:tabs>
                <w:tab w:val="center" w:pos="4201"/>
                <w:tab w:val="right" w:leader="dot" w:pos="9298"/>
              </w:tabs>
              <w:autoSpaceDE w:val="0"/>
              <w:autoSpaceDN w:val="0"/>
              <w:spacing w:line="240" w:lineRule="auto"/>
              <w:ind w:firstLine="0"/>
              <w:jc w:val="center"/>
              <w:rPr>
                <w:sz w:val="21"/>
                <w:szCs w:val="21"/>
              </w:rPr>
            </w:pPr>
            <w:r>
              <w:rPr>
                <w:sz w:val="21"/>
                <w:szCs w:val="21"/>
              </w:rPr>
              <w:t>宜测</w:t>
            </w:r>
          </w:p>
        </w:tc>
        <w:tc>
          <w:tcPr>
            <w:tcW w:w="1264" w:type="dxa"/>
            <w:tcBorders>
              <w:tl2br w:val="nil"/>
              <w:tr2bl w:val="nil"/>
            </w:tcBorders>
            <w:shd w:val="clear" w:color="auto" w:fill="auto"/>
            <w:vAlign w:val="center"/>
          </w:tcPr>
          <w:p w14:paraId="6AAEC09A">
            <w:pPr>
              <w:tabs>
                <w:tab w:val="center" w:pos="4201"/>
                <w:tab w:val="right" w:leader="dot" w:pos="9298"/>
              </w:tabs>
              <w:autoSpaceDE w:val="0"/>
              <w:autoSpaceDN w:val="0"/>
              <w:spacing w:line="240" w:lineRule="auto"/>
              <w:ind w:firstLine="0"/>
              <w:jc w:val="center"/>
              <w:rPr>
                <w:sz w:val="21"/>
                <w:szCs w:val="21"/>
              </w:rPr>
            </w:pPr>
            <w:r>
              <w:rPr>
                <w:sz w:val="21"/>
                <w:szCs w:val="21"/>
              </w:rPr>
              <w:t>可测</w:t>
            </w:r>
          </w:p>
        </w:tc>
      </w:tr>
      <w:tr w14:paraId="2EE3A2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08" w:type="dxa"/>
            <w:tcBorders>
              <w:tl2br w:val="nil"/>
              <w:tr2bl w:val="nil"/>
            </w:tcBorders>
            <w:shd w:val="clear" w:color="auto" w:fill="auto"/>
            <w:vAlign w:val="center"/>
          </w:tcPr>
          <w:p w14:paraId="260B3783">
            <w:pPr>
              <w:tabs>
                <w:tab w:val="center" w:pos="4201"/>
                <w:tab w:val="right" w:leader="dot" w:pos="9298"/>
              </w:tabs>
              <w:autoSpaceDE w:val="0"/>
              <w:autoSpaceDN w:val="0"/>
              <w:spacing w:line="240" w:lineRule="auto"/>
              <w:ind w:firstLine="0"/>
              <w:jc w:val="center"/>
              <w:rPr>
                <w:sz w:val="21"/>
                <w:szCs w:val="21"/>
              </w:rPr>
            </w:pPr>
            <w:r>
              <w:rPr>
                <w:sz w:val="21"/>
                <w:szCs w:val="21"/>
              </w:rPr>
              <w:t>5</w:t>
            </w:r>
          </w:p>
        </w:tc>
        <w:tc>
          <w:tcPr>
            <w:tcW w:w="3793" w:type="dxa"/>
            <w:tcBorders>
              <w:tl2br w:val="nil"/>
              <w:tr2bl w:val="nil"/>
            </w:tcBorders>
            <w:shd w:val="clear" w:color="auto" w:fill="auto"/>
            <w:vAlign w:val="center"/>
          </w:tcPr>
          <w:p w14:paraId="4F1F09AE">
            <w:pPr>
              <w:tabs>
                <w:tab w:val="center" w:pos="4201"/>
                <w:tab w:val="right" w:leader="dot" w:pos="9298"/>
              </w:tabs>
              <w:autoSpaceDE w:val="0"/>
              <w:autoSpaceDN w:val="0"/>
              <w:spacing w:line="240" w:lineRule="auto"/>
              <w:ind w:firstLine="0"/>
              <w:jc w:val="center"/>
              <w:rPr>
                <w:sz w:val="21"/>
                <w:szCs w:val="21"/>
              </w:rPr>
            </w:pPr>
            <w:r>
              <w:rPr>
                <w:sz w:val="21"/>
                <w:szCs w:val="21"/>
              </w:rPr>
              <w:t>立柱结构竖向位移</w:t>
            </w:r>
          </w:p>
        </w:tc>
        <w:tc>
          <w:tcPr>
            <w:tcW w:w="1277" w:type="dxa"/>
            <w:tcBorders>
              <w:tl2br w:val="nil"/>
              <w:tr2bl w:val="nil"/>
            </w:tcBorders>
            <w:shd w:val="clear" w:color="auto" w:fill="auto"/>
            <w:vAlign w:val="center"/>
          </w:tcPr>
          <w:p w14:paraId="0152EC7B">
            <w:pPr>
              <w:tabs>
                <w:tab w:val="center" w:pos="4201"/>
                <w:tab w:val="right" w:leader="dot" w:pos="9298"/>
              </w:tabs>
              <w:autoSpaceDE w:val="0"/>
              <w:autoSpaceDN w:val="0"/>
              <w:spacing w:line="240" w:lineRule="auto"/>
              <w:ind w:firstLine="0"/>
              <w:jc w:val="center"/>
              <w:rPr>
                <w:sz w:val="21"/>
                <w:szCs w:val="21"/>
              </w:rPr>
            </w:pPr>
            <w:r>
              <w:rPr>
                <w:sz w:val="21"/>
                <w:szCs w:val="21"/>
              </w:rPr>
              <w:t>应测</w:t>
            </w:r>
          </w:p>
        </w:tc>
        <w:tc>
          <w:tcPr>
            <w:tcW w:w="1133" w:type="dxa"/>
            <w:tcBorders>
              <w:tl2br w:val="nil"/>
              <w:tr2bl w:val="nil"/>
            </w:tcBorders>
            <w:shd w:val="clear" w:color="auto" w:fill="auto"/>
            <w:vAlign w:val="center"/>
          </w:tcPr>
          <w:p w14:paraId="38B49903">
            <w:pPr>
              <w:tabs>
                <w:tab w:val="center" w:pos="4201"/>
                <w:tab w:val="right" w:leader="dot" w:pos="9298"/>
              </w:tabs>
              <w:autoSpaceDE w:val="0"/>
              <w:autoSpaceDN w:val="0"/>
              <w:spacing w:line="240" w:lineRule="auto"/>
              <w:ind w:firstLine="0"/>
              <w:jc w:val="center"/>
              <w:rPr>
                <w:sz w:val="21"/>
                <w:szCs w:val="21"/>
              </w:rPr>
            </w:pPr>
            <w:r>
              <w:rPr>
                <w:sz w:val="21"/>
                <w:szCs w:val="21"/>
              </w:rPr>
              <w:t>应测</w:t>
            </w:r>
          </w:p>
        </w:tc>
        <w:tc>
          <w:tcPr>
            <w:tcW w:w="1264" w:type="dxa"/>
            <w:tcBorders>
              <w:tl2br w:val="nil"/>
              <w:tr2bl w:val="nil"/>
            </w:tcBorders>
            <w:shd w:val="clear" w:color="auto" w:fill="auto"/>
            <w:vAlign w:val="center"/>
          </w:tcPr>
          <w:p w14:paraId="7EA0BC52">
            <w:pPr>
              <w:tabs>
                <w:tab w:val="center" w:pos="4201"/>
                <w:tab w:val="right" w:leader="dot" w:pos="9298"/>
              </w:tabs>
              <w:autoSpaceDE w:val="0"/>
              <w:autoSpaceDN w:val="0"/>
              <w:spacing w:line="240" w:lineRule="auto"/>
              <w:ind w:firstLine="0"/>
              <w:jc w:val="center"/>
              <w:rPr>
                <w:sz w:val="21"/>
                <w:szCs w:val="21"/>
              </w:rPr>
            </w:pPr>
            <w:r>
              <w:rPr>
                <w:sz w:val="21"/>
                <w:szCs w:val="21"/>
              </w:rPr>
              <w:t>宜测</w:t>
            </w:r>
          </w:p>
        </w:tc>
      </w:tr>
      <w:tr w14:paraId="4003BC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08" w:type="dxa"/>
            <w:tcBorders>
              <w:tl2br w:val="nil"/>
              <w:tr2bl w:val="nil"/>
            </w:tcBorders>
            <w:shd w:val="clear" w:color="auto" w:fill="auto"/>
            <w:vAlign w:val="center"/>
          </w:tcPr>
          <w:p w14:paraId="7CE6F174">
            <w:pPr>
              <w:tabs>
                <w:tab w:val="center" w:pos="4201"/>
                <w:tab w:val="right" w:leader="dot" w:pos="9298"/>
              </w:tabs>
              <w:autoSpaceDE w:val="0"/>
              <w:autoSpaceDN w:val="0"/>
              <w:spacing w:line="240" w:lineRule="auto"/>
              <w:ind w:firstLine="0"/>
              <w:jc w:val="center"/>
              <w:rPr>
                <w:sz w:val="21"/>
                <w:szCs w:val="21"/>
              </w:rPr>
            </w:pPr>
            <w:r>
              <w:rPr>
                <w:sz w:val="21"/>
                <w:szCs w:val="21"/>
              </w:rPr>
              <w:t>6</w:t>
            </w:r>
          </w:p>
        </w:tc>
        <w:tc>
          <w:tcPr>
            <w:tcW w:w="3793" w:type="dxa"/>
            <w:tcBorders>
              <w:tl2br w:val="nil"/>
              <w:tr2bl w:val="nil"/>
            </w:tcBorders>
            <w:shd w:val="clear" w:color="auto" w:fill="auto"/>
            <w:vAlign w:val="center"/>
          </w:tcPr>
          <w:p w14:paraId="7A0D26FD">
            <w:pPr>
              <w:tabs>
                <w:tab w:val="center" w:pos="4201"/>
                <w:tab w:val="right" w:leader="dot" w:pos="9298"/>
              </w:tabs>
              <w:autoSpaceDE w:val="0"/>
              <w:autoSpaceDN w:val="0"/>
              <w:spacing w:line="240" w:lineRule="auto"/>
              <w:ind w:firstLine="0"/>
              <w:jc w:val="center"/>
              <w:rPr>
                <w:sz w:val="21"/>
                <w:szCs w:val="21"/>
              </w:rPr>
            </w:pPr>
            <w:r>
              <w:rPr>
                <w:sz w:val="21"/>
                <w:szCs w:val="21"/>
              </w:rPr>
              <w:t>立柱结构水平位移</w:t>
            </w:r>
          </w:p>
        </w:tc>
        <w:tc>
          <w:tcPr>
            <w:tcW w:w="1277" w:type="dxa"/>
            <w:tcBorders>
              <w:tl2br w:val="nil"/>
              <w:tr2bl w:val="nil"/>
            </w:tcBorders>
            <w:shd w:val="clear" w:color="auto" w:fill="auto"/>
            <w:vAlign w:val="center"/>
          </w:tcPr>
          <w:p w14:paraId="3F247581">
            <w:pPr>
              <w:tabs>
                <w:tab w:val="center" w:pos="4201"/>
                <w:tab w:val="right" w:leader="dot" w:pos="9298"/>
              </w:tabs>
              <w:autoSpaceDE w:val="0"/>
              <w:autoSpaceDN w:val="0"/>
              <w:spacing w:line="240" w:lineRule="auto"/>
              <w:ind w:firstLine="0"/>
              <w:jc w:val="center"/>
              <w:rPr>
                <w:sz w:val="21"/>
                <w:szCs w:val="21"/>
              </w:rPr>
            </w:pPr>
            <w:r>
              <w:rPr>
                <w:sz w:val="21"/>
                <w:szCs w:val="21"/>
              </w:rPr>
              <w:t>应测</w:t>
            </w:r>
          </w:p>
        </w:tc>
        <w:tc>
          <w:tcPr>
            <w:tcW w:w="1133" w:type="dxa"/>
            <w:tcBorders>
              <w:tl2br w:val="nil"/>
              <w:tr2bl w:val="nil"/>
            </w:tcBorders>
            <w:shd w:val="clear" w:color="auto" w:fill="auto"/>
            <w:vAlign w:val="center"/>
          </w:tcPr>
          <w:p w14:paraId="0B6860F6">
            <w:pPr>
              <w:tabs>
                <w:tab w:val="center" w:pos="4201"/>
                <w:tab w:val="right" w:leader="dot" w:pos="9298"/>
              </w:tabs>
              <w:autoSpaceDE w:val="0"/>
              <w:autoSpaceDN w:val="0"/>
              <w:spacing w:line="240" w:lineRule="auto"/>
              <w:ind w:firstLine="0"/>
              <w:jc w:val="center"/>
              <w:rPr>
                <w:sz w:val="21"/>
                <w:szCs w:val="21"/>
              </w:rPr>
            </w:pPr>
            <w:r>
              <w:rPr>
                <w:sz w:val="21"/>
                <w:szCs w:val="21"/>
              </w:rPr>
              <w:t>宜测</w:t>
            </w:r>
          </w:p>
        </w:tc>
        <w:tc>
          <w:tcPr>
            <w:tcW w:w="1264" w:type="dxa"/>
            <w:tcBorders>
              <w:tl2br w:val="nil"/>
              <w:tr2bl w:val="nil"/>
            </w:tcBorders>
            <w:shd w:val="clear" w:color="auto" w:fill="auto"/>
            <w:vAlign w:val="center"/>
          </w:tcPr>
          <w:p w14:paraId="3F3DABBA">
            <w:pPr>
              <w:tabs>
                <w:tab w:val="center" w:pos="4201"/>
                <w:tab w:val="right" w:leader="dot" w:pos="9298"/>
              </w:tabs>
              <w:autoSpaceDE w:val="0"/>
              <w:autoSpaceDN w:val="0"/>
              <w:spacing w:line="240" w:lineRule="auto"/>
              <w:ind w:firstLine="0"/>
              <w:jc w:val="center"/>
              <w:rPr>
                <w:sz w:val="21"/>
                <w:szCs w:val="21"/>
              </w:rPr>
            </w:pPr>
            <w:r>
              <w:rPr>
                <w:sz w:val="21"/>
                <w:szCs w:val="21"/>
              </w:rPr>
              <w:t>可测</w:t>
            </w:r>
          </w:p>
        </w:tc>
      </w:tr>
      <w:tr w14:paraId="7007DC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08" w:type="dxa"/>
            <w:tcBorders>
              <w:tl2br w:val="nil"/>
              <w:tr2bl w:val="nil"/>
            </w:tcBorders>
            <w:shd w:val="clear" w:color="auto" w:fill="auto"/>
            <w:vAlign w:val="center"/>
          </w:tcPr>
          <w:p w14:paraId="1A30C7E6">
            <w:pPr>
              <w:tabs>
                <w:tab w:val="center" w:pos="4201"/>
                <w:tab w:val="right" w:leader="dot" w:pos="9298"/>
              </w:tabs>
              <w:autoSpaceDE w:val="0"/>
              <w:autoSpaceDN w:val="0"/>
              <w:spacing w:line="240" w:lineRule="auto"/>
              <w:ind w:firstLine="0"/>
              <w:jc w:val="center"/>
              <w:rPr>
                <w:sz w:val="21"/>
                <w:szCs w:val="21"/>
              </w:rPr>
            </w:pPr>
            <w:r>
              <w:rPr>
                <w:sz w:val="21"/>
                <w:szCs w:val="21"/>
              </w:rPr>
              <w:t>7</w:t>
            </w:r>
          </w:p>
        </w:tc>
        <w:tc>
          <w:tcPr>
            <w:tcW w:w="3793" w:type="dxa"/>
            <w:tcBorders>
              <w:tl2br w:val="nil"/>
              <w:tr2bl w:val="nil"/>
            </w:tcBorders>
            <w:shd w:val="clear" w:color="auto" w:fill="auto"/>
            <w:vAlign w:val="center"/>
          </w:tcPr>
          <w:p w14:paraId="6BF1B965">
            <w:pPr>
              <w:tabs>
                <w:tab w:val="center" w:pos="4201"/>
                <w:tab w:val="right" w:leader="dot" w:pos="9298"/>
              </w:tabs>
              <w:autoSpaceDE w:val="0"/>
              <w:autoSpaceDN w:val="0"/>
              <w:spacing w:line="240" w:lineRule="auto"/>
              <w:ind w:firstLine="0"/>
              <w:jc w:val="center"/>
              <w:rPr>
                <w:sz w:val="21"/>
                <w:szCs w:val="21"/>
              </w:rPr>
            </w:pPr>
            <w:r>
              <w:rPr>
                <w:sz w:val="21"/>
                <w:szCs w:val="21"/>
              </w:rPr>
              <w:t>立柱结构应力</w:t>
            </w:r>
          </w:p>
        </w:tc>
        <w:tc>
          <w:tcPr>
            <w:tcW w:w="1277" w:type="dxa"/>
            <w:tcBorders>
              <w:tl2br w:val="nil"/>
              <w:tr2bl w:val="nil"/>
            </w:tcBorders>
            <w:shd w:val="clear" w:color="auto" w:fill="auto"/>
            <w:vAlign w:val="center"/>
          </w:tcPr>
          <w:p w14:paraId="11E2B1D3">
            <w:pPr>
              <w:tabs>
                <w:tab w:val="center" w:pos="4201"/>
                <w:tab w:val="right" w:leader="dot" w:pos="9298"/>
              </w:tabs>
              <w:autoSpaceDE w:val="0"/>
              <w:autoSpaceDN w:val="0"/>
              <w:spacing w:line="240" w:lineRule="auto"/>
              <w:ind w:firstLine="0"/>
              <w:jc w:val="center"/>
              <w:rPr>
                <w:sz w:val="21"/>
                <w:szCs w:val="21"/>
              </w:rPr>
            </w:pPr>
            <w:r>
              <w:rPr>
                <w:sz w:val="21"/>
                <w:szCs w:val="21"/>
              </w:rPr>
              <w:t>宜测</w:t>
            </w:r>
          </w:p>
        </w:tc>
        <w:tc>
          <w:tcPr>
            <w:tcW w:w="1133" w:type="dxa"/>
            <w:tcBorders>
              <w:tl2br w:val="nil"/>
              <w:tr2bl w:val="nil"/>
            </w:tcBorders>
            <w:shd w:val="clear" w:color="auto" w:fill="auto"/>
            <w:vAlign w:val="center"/>
          </w:tcPr>
          <w:p w14:paraId="56A97C32">
            <w:pPr>
              <w:tabs>
                <w:tab w:val="center" w:pos="4201"/>
                <w:tab w:val="right" w:leader="dot" w:pos="9298"/>
              </w:tabs>
              <w:autoSpaceDE w:val="0"/>
              <w:autoSpaceDN w:val="0"/>
              <w:spacing w:line="240" w:lineRule="auto"/>
              <w:ind w:firstLine="0"/>
              <w:jc w:val="center"/>
              <w:rPr>
                <w:sz w:val="21"/>
                <w:szCs w:val="21"/>
              </w:rPr>
            </w:pPr>
            <w:r>
              <w:rPr>
                <w:sz w:val="21"/>
                <w:szCs w:val="21"/>
              </w:rPr>
              <w:t>可测</w:t>
            </w:r>
          </w:p>
        </w:tc>
        <w:tc>
          <w:tcPr>
            <w:tcW w:w="1264" w:type="dxa"/>
            <w:tcBorders>
              <w:tl2br w:val="nil"/>
              <w:tr2bl w:val="nil"/>
            </w:tcBorders>
            <w:shd w:val="clear" w:color="auto" w:fill="auto"/>
            <w:vAlign w:val="center"/>
          </w:tcPr>
          <w:p w14:paraId="5D61D056">
            <w:pPr>
              <w:tabs>
                <w:tab w:val="center" w:pos="4201"/>
                <w:tab w:val="right" w:leader="dot" w:pos="9298"/>
              </w:tabs>
              <w:autoSpaceDE w:val="0"/>
              <w:autoSpaceDN w:val="0"/>
              <w:spacing w:line="240" w:lineRule="auto"/>
              <w:ind w:firstLine="0"/>
              <w:jc w:val="center"/>
              <w:rPr>
                <w:sz w:val="21"/>
                <w:szCs w:val="21"/>
              </w:rPr>
            </w:pPr>
            <w:r>
              <w:rPr>
                <w:sz w:val="21"/>
                <w:szCs w:val="21"/>
              </w:rPr>
              <w:t>可测</w:t>
            </w:r>
          </w:p>
        </w:tc>
      </w:tr>
      <w:tr w14:paraId="259F8C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08" w:type="dxa"/>
            <w:tcBorders>
              <w:tl2br w:val="nil"/>
              <w:tr2bl w:val="nil"/>
            </w:tcBorders>
            <w:shd w:val="clear" w:color="auto" w:fill="auto"/>
            <w:vAlign w:val="center"/>
          </w:tcPr>
          <w:p w14:paraId="381A1528">
            <w:pPr>
              <w:tabs>
                <w:tab w:val="center" w:pos="4201"/>
                <w:tab w:val="right" w:leader="dot" w:pos="9298"/>
              </w:tabs>
              <w:autoSpaceDE w:val="0"/>
              <w:autoSpaceDN w:val="0"/>
              <w:spacing w:line="240" w:lineRule="auto"/>
              <w:ind w:firstLine="0"/>
              <w:jc w:val="center"/>
              <w:rPr>
                <w:sz w:val="21"/>
                <w:szCs w:val="21"/>
              </w:rPr>
            </w:pPr>
            <w:r>
              <w:rPr>
                <w:sz w:val="21"/>
                <w:szCs w:val="21"/>
              </w:rPr>
              <w:t>8</w:t>
            </w:r>
          </w:p>
        </w:tc>
        <w:tc>
          <w:tcPr>
            <w:tcW w:w="3793" w:type="dxa"/>
            <w:tcBorders>
              <w:tl2br w:val="nil"/>
              <w:tr2bl w:val="nil"/>
            </w:tcBorders>
            <w:shd w:val="clear" w:color="auto" w:fill="auto"/>
            <w:vAlign w:val="center"/>
          </w:tcPr>
          <w:p w14:paraId="6C135601">
            <w:pPr>
              <w:tabs>
                <w:tab w:val="center" w:pos="4201"/>
                <w:tab w:val="right" w:leader="dot" w:pos="9298"/>
              </w:tabs>
              <w:autoSpaceDE w:val="0"/>
              <w:autoSpaceDN w:val="0"/>
              <w:spacing w:line="240" w:lineRule="auto"/>
              <w:ind w:firstLine="0"/>
              <w:jc w:val="center"/>
              <w:rPr>
                <w:sz w:val="21"/>
                <w:szCs w:val="21"/>
              </w:rPr>
            </w:pPr>
            <w:r>
              <w:rPr>
                <w:sz w:val="21"/>
                <w:szCs w:val="21"/>
              </w:rPr>
              <w:t>支撑轴力</w:t>
            </w:r>
          </w:p>
        </w:tc>
        <w:tc>
          <w:tcPr>
            <w:tcW w:w="1277" w:type="dxa"/>
            <w:tcBorders>
              <w:tl2br w:val="nil"/>
              <w:tr2bl w:val="nil"/>
            </w:tcBorders>
            <w:shd w:val="clear" w:color="auto" w:fill="auto"/>
            <w:vAlign w:val="center"/>
          </w:tcPr>
          <w:p w14:paraId="0AEB74EA">
            <w:pPr>
              <w:spacing w:line="240" w:lineRule="auto"/>
              <w:ind w:firstLine="0"/>
              <w:jc w:val="center"/>
              <w:rPr>
                <w:sz w:val="21"/>
                <w:szCs w:val="21"/>
              </w:rPr>
            </w:pPr>
            <w:r>
              <w:rPr>
                <w:sz w:val="21"/>
                <w:szCs w:val="21"/>
              </w:rPr>
              <w:t>应测</w:t>
            </w:r>
          </w:p>
        </w:tc>
        <w:tc>
          <w:tcPr>
            <w:tcW w:w="1133" w:type="dxa"/>
            <w:tcBorders>
              <w:tl2br w:val="nil"/>
              <w:tr2bl w:val="nil"/>
            </w:tcBorders>
            <w:shd w:val="clear" w:color="auto" w:fill="auto"/>
            <w:vAlign w:val="center"/>
          </w:tcPr>
          <w:p w14:paraId="2FF29634">
            <w:pPr>
              <w:spacing w:line="240" w:lineRule="auto"/>
              <w:ind w:firstLine="0"/>
              <w:jc w:val="center"/>
              <w:rPr>
                <w:sz w:val="21"/>
                <w:szCs w:val="21"/>
              </w:rPr>
            </w:pPr>
            <w:r>
              <w:rPr>
                <w:sz w:val="21"/>
                <w:szCs w:val="21"/>
              </w:rPr>
              <w:t>应测</w:t>
            </w:r>
          </w:p>
        </w:tc>
        <w:tc>
          <w:tcPr>
            <w:tcW w:w="1264" w:type="dxa"/>
            <w:tcBorders>
              <w:tl2br w:val="nil"/>
              <w:tr2bl w:val="nil"/>
            </w:tcBorders>
            <w:shd w:val="clear" w:color="auto" w:fill="auto"/>
            <w:vAlign w:val="center"/>
          </w:tcPr>
          <w:p w14:paraId="71994F22">
            <w:pPr>
              <w:spacing w:line="240" w:lineRule="auto"/>
              <w:ind w:firstLine="0"/>
              <w:jc w:val="center"/>
              <w:rPr>
                <w:sz w:val="21"/>
                <w:szCs w:val="21"/>
              </w:rPr>
            </w:pPr>
            <w:r>
              <w:rPr>
                <w:sz w:val="21"/>
                <w:szCs w:val="21"/>
              </w:rPr>
              <w:t>应测</w:t>
            </w:r>
          </w:p>
        </w:tc>
      </w:tr>
      <w:tr w14:paraId="1373E4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08" w:type="dxa"/>
            <w:tcBorders>
              <w:tl2br w:val="nil"/>
              <w:tr2bl w:val="nil"/>
            </w:tcBorders>
            <w:shd w:val="clear" w:color="auto" w:fill="auto"/>
            <w:vAlign w:val="center"/>
          </w:tcPr>
          <w:p w14:paraId="25A59BD0">
            <w:pPr>
              <w:tabs>
                <w:tab w:val="center" w:pos="4201"/>
                <w:tab w:val="right" w:leader="dot" w:pos="9298"/>
              </w:tabs>
              <w:autoSpaceDE w:val="0"/>
              <w:autoSpaceDN w:val="0"/>
              <w:spacing w:line="240" w:lineRule="auto"/>
              <w:ind w:firstLine="0"/>
              <w:jc w:val="center"/>
              <w:rPr>
                <w:sz w:val="21"/>
                <w:szCs w:val="21"/>
              </w:rPr>
            </w:pPr>
            <w:r>
              <w:rPr>
                <w:sz w:val="21"/>
                <w:szCs w:val="21"/>
              </w:rPr>
              <w:t>9</w:t>
            </w:r>
          </w:p>
        </w:tc>
        <w:tc>
          <w:tcPr>
            <w:tcW w:w="3793" w:type="dxa"/>
            <w:tcBorders>
              <w:tl2br w:val="nil"/>
              <w:tr2bl w:val="nil"/>
            </w:tcBorders>
            <w:shd w:val="clear" w:color="auto" w:fill="auto"/>
            <w:vAlign w:val="center"/>
          </w:tcPr>
          <w:p w14:paraId="03BAE4B5">
            <w:pPr>
              <w:tabs>
                <w:tab w:val="center" w:pos="4201"/>
                <w:tab w:val="right" w:leader="dot" w:pos="9298"/>
              </w:tabs>
              <w:autoSpaceDE w:val="0"/>
              <w:autoSpaceDN w:val="0"/>
              <w:spacing w:line="240" w:lineRule="auto"/>
              <w:ind w:firstLine="0"/>
              <w:jc w:val="center"/>
              <w:rPr>
                <w:sz w:val="21"/>
                <w:szCs w:val="21"/>
              </w:rPr>
            </w:pPr>
            <w:r>
              <w:rPr>
                <w:sz w:val="21"/>
                <w:szCs w:val="21"/>
              </w:rPr>
              <w:t>锚杆（索）轴力</w:t>
            </w:r>
          </w:p>
        </w:tc>
        <w:tc>
          <w:tcPr>
            <w:tcW w:w="1277" w:type="dxa"/>
            <w:tcBorders>
              <w:tl2br w:val="nil"/>
              <w:tr2bl w:val="nil"/>
            </w:tcBorders>
            <w:shd w:val="clear" w:color="auto" w:fill="auto"/>
            <w:vAlign w:val="center"/>
          </w:tcPr>
          <w:p w14:paraId="251FF8D7">
            <w:pPr>
              <w:spacing w:line="240" w:lineRule="auto"/>
              <w:ind w:firstLine="0"/>
              <w:jc w:val="center"/>
              <w:rPr>
                <w:sz w:val="21"/>
                <w:szCs w:val="21"/>
              </w:rPr>
            </w:pPr>
            <w:r>
              <w:rPr>
                <w:sz w:val="21"/>
                <w:szCs w:val="21"/>
              </w:rPr>
              <w:t>应测</w:t>
            </w:r>
          </w:p>
        </w:tc>
        <w:tc>
          <w:tcPr>
            <w:tcW w:w="1133" w:type="dxa"/>
            <w:tcBorders>
              <w:tl2br w:val="nil"/>
              <w:tr2bl w:val="nil"/>
            </w:tcBorders>
            <w:shd w:val="clear" w:color="auto" w:fill="auto"/>
            <w:vAlign w:val="center"/>
          </w:tcPr>
          <w:p w14:paraId="188E42E2">
            <w:pPr>
              <w:spacing w:line="240" w:lineRule="auto"/>
              <w:ind w:firstLine="0"/>
              <w:jc w:val="center"/>
              <w:rPr>
                <w:sz w:val="21"/>
                <w:szCs w:val="21"/>
              </w:rPr>
            </w:pPr>
            <w:r>
              <w:rPr>
                <w:sz w:val="21"/>
                <w:szCs w:val="21"/>
              </w:rPr>
              <w:t>应测</w:t>
            </w:r>
          </w:p>
        </w:tc>
        <w:tc>
          <w:tcPr>
            <w:tcW w:w="1264" w:type="dxa"/>
            <w:tcBorders>
              <w:tl2br w:val="nil"/>
              <w:tr2bl w:val="nil"/>
            </w:tcBorders>
            <w:shd w:val="clear" w:color="auto" w:fill="auto"/>
            <w:vAlign w:val="center"/>
          </w:tcPr>
          <w:p w14:paraId="2679BD75">
            <w:pPr>
              <w:spacing w:line="240" w:lineRule="auto"/>
              <w:ind w:firstLine="0"/>
              <w:jc w:val="center"/>
              <w:rPr>
                <w:sz w:val="21"/>
                <w:szCs w:val="21"/>
              </w:rPr>
            </w:pPr>
            <w:r>
              <w:rPr>
                <w:sz w:val="21"/>
                <w:szCs w:val="21"/>
              </w:rPr>
              <w:t>应测</w:t>
            </w:r>
          </w:p>
        </w:tc>
      </w:tr>
      <w:tr w14:paraId="464300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8" w:type="dxa"/>
            <w:tcBorders>
              <w:tl2br w:val="nil"/>
              <w:tr2bl w:val="nil"/>
            </w:tcBorders>
            <w:shd w:val="clear" w:color="auto" w:fill="auto"/>
            <w:vAlign w:val="center"/>
          </w:tcPr>
          <w:p w14:paraId="52796899">
            <w:pPr>
              <w:tabs>
                <w:tab w:val="center" w:pos="4201"/>
                <w:tab w:val="right" w:leader="dot" w:pos="9298"/>
              </w:tabs>
              <w:autoSpaceDE w:val="0"/>
              <w:autoSpaceDN w:val="0"/>
              <w:spacing w:line="240" w:lineRule="auto"/>
              <w:ind w:firstLine="0"/>
              <w:jc w:val="center"/>
              <w:rPr>
                <w:sz w:val="21"/>
                <w:szCs w:val="21"/>
              </w:rPr>
            </w:pPr>
            <w:r>
              <w:rPr>
                <w:sz w:val="21"/>
                <w:szCs w:val="21"/>
              </w:rPr>
              <w:t>10</w:t>
            </w:r>
          </w:p>
        </w:tc>
        <w:tc>
          <w:tcPr>
            <w:tcW w:w="3793" w:type="dxa"/>
            <w:tcBorders>
              <w:tl2br w:val="nil"/>
              <w:tr2bl w:val="nil"/>
            </w:tcBorders>
            <w:shd w:val="clear" w:color="auto" w:fill="auto"/>
            <w:vAlign w:val="center"/>
          </w:tcPr>
          <w:p w14:paraId="5FA82554">
            <w:pPr>
              <w:tabs>
                <w:tab w:val="center" w:pos="4201"/>
                <w:tab w:val="right" w:leader="dot" w:pos="9298"/>
              </w:tabs>
              <w:autoSpaceDE w:val="0"/>
              <w:autoSpaceDN w:val="0"/>
              <w:spacing w:line="240" w:lineRule="auto"/>
              <w:ind w:firstLine="0"/>
              <w:jc w:val="center"/>
              <w:rPr>
                <w:sz w:val="21"/>
                <w:szCs w:val="21"/>
              </w:rPr>
            </w:pPr>
            <w:r>
              <w:rPr>
                <w:sz w:val="21"/>
                <w:szCs w:val="21"/>
              </w:rPr>
              <w:t>周边地表竖向位移</w:t>
            </w:r>
          </w:p>
        </w:tc>
        <w:tc>
          <w:tcPr>
            <w:tcW w:w="1277" w:type="dxa"/>
            <w:tcBorders>
              <w:tl2br w:val="nil"/>
              <w:tr2bl w:val="nil"/>
            </w:tcBorders>
            <w:shd w:val="clear" w:color="auto" w:fill="auto"/>
            <w:vAlign w:val="center"/>
          </w:tcPr>
          <w:p w14:paraId="3D213ED0">
            <w:pPr>
              <w:spacing w:line="240" w:lineRule="auto"/>
              <w:ind w:firstLine="0"/>
              <w:jc w:val="center"/>
              <w:rPr>
                <w:sz w:val="21"/>
                <w:szCs w:val="21"/>
              </w:rPr>
            </w:pPr>
            <w:r>
              <w:rPr>
                <w:sz w:val="21"/>
                <w:szCs w:val="21"/>
              </w:rPr>
              <w:t>应测</w:t>
            </w:r>
          </w:p>
        </w:tc>
        <w:tc>
          <w:tcPr>
            <w:tcW w:w="1133" w:type="dxa"/>
            <w:tcBorders>
              <w:tl2br w:val="nil"/>
              <w:tr2bl w:val="nil"/>
            </w:tcBorders>
            <w:shd w:val="clear" w:color="auto" w:fill="auto"/>
            <w:vAlign w:val="center"/>
          </w:tcPr>
          <w:p w14:paraId="5C61688B">
            <w:pPr>
              <w:spacing w:line="240" w:lineRule="auto"/>
              <w:ind w:firstLine="0"/>
              <w:jc w:val="center"/>
              <w:rPr>
                <w:sz w:val="21"/>
                <w:szCs w:val="21"/>
              </w:rPr>
            </w:pPr>
            <w:r>
              <w:rPr>
                <w:sz w:val="21"/>
                <w:szCs w:val="21"/>
              </w:rPr>
              <w:t>应测</w:t>
            </w:r>
          </w:p>
        </w:tc>
        <w:tc>
          <w:tcPr>
            <w:tcW w:w="1264" w:type="dxa"/>
            <w:tcBorders>
              <w:tl2br w:val="nil"/>
              <w:tr2bl w:val="nil"/>
            </w:tcBorders>
            <w:shd w:val="clear" w:color="auto" w:fill="auto"/>
            <w:vAlign w:val="center"/>
          </w:tcPr>
          <w:p w14:paraId="01F17737">
            <w:pPr>
              <w:spacing w:line="240" w:lineRule="auto"/>
              <w:ind w:firstLine="0"/>
              <w:jc w:val="center"/>
              <w:rPr>
                <w:sz w:val="21"/>
                <w:szCs w:val="21"/>
              </w:rPr>
            </w:pPr>
            <w:r>
              <w:rPr>
                <w:sz w:val="21"/>
                <w:szCs w:val="21"/>
              </w:rPr>
              <w:t>应测</w:t>
            </w:r>
          </w:p>
        </w:tc>
      </w:tr>
      <w:tr w14:paraId="785062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08" w:type="dxa"/>
            <w:tcBorders>
              <w:tl2br w:val="nil"/>
              <w:tr2bl w:val="nil"/>
            </w:tcBorders>
            <w:shd w:val="clear" w:color="auto" w:fill="auto"/>
            <w:vAlign w:val="center"/>
          </w:tcPr>
          <w:p w14:paraId="7A06D634">
            <w:pPr>
              <w:tabs>
                <w:tab w:val="center" w:pos="4201"/>
                <w:tab w:val="right" w:leader="dot" w:pos="9298"/>
              </w:tabs>
              <w:autoSpaceDE w:val="0"/>
              <w:autoSpaceDN w:val="0"/>
              <w:spacing w:line="240" w:lineRule="auto"/>
              <w:ind w:firstLine="0"/>
              <w:jc w:val="center"/>
              <w:rPr>
                <w:sz w:val="21"/>
                <w:szCs w:val="21"/>
              </w:rPr>
            </w:pPr>
            <w:r>
              <w:rPr>
                <w:sz w:val="21"/>
                <w:szCs w:val="21"/>
              </w:rPr>
              <w:t>11</w:t>
            </w:r>
          </w:p>
        </w:tc>
        <w:tc>
          <w:tcPr>
            <w:tcW w:w="3793" w:type="dxa"/>
            <w:tcBorders>
              <w:tl2br w:val="nil"/>
              <w:tr2bl w:val="nil"/>
            </w:tcBorders>
            <w:shd w:val="clear" w:color="auto" w:fill="auto"/>
            <w:vAlign w:val="center"/>
          </w:tcPr>
          <w:p w14:paraId="6F4AB5DF">
            <w:pPr>
              <w:tabs>
                <w:tab w:val="center" w:pos="4201"/>
                <w:tab w:val="right" w:leader="dot" w:pos="9298"/>
              </w:tabs>
              <w:autoSpaceDE w:val="0"/>
              <w:autoSpaceDN w:val="0"/>
              <w:spacing w:line="240" w:lineRule="auto"/>
              <w:ind w:firstLine="0"/>
              <w:jc w:val="center"/>
              <w:rPr>
                <w:sz w:val="21"/>
                <w:szCs w:val="21"/>
              </w:rPr>
            </w:pPr>
            <w:r>
              <w:rPr>
                <w:sz w:val="21"/>
                <w:szCs w:val="21"/>
              </w:rPr>
              <w:t>土体深层水平位移</w:t>
            </w:r>
          </w:p>
        </w:tc>
        <w:tc>
          <w:tcPr>
            <w:tcW w:w="1277" w:type="dxa"/>
            <w:tcBorders>
              <w:tl2br w:val="nil"/>
              <w:tr2bl w:val="nil"/>
            </w:tcBorders>
            <w:shd w:val="clear" w:color="auto" w:fill="auto"/>
            <w:vAlign w:val="center"/>
          </w:tcPr>
          <w:p w14:paraId="02811B36">
            <w:pPr>
              <w:spacing w:line="240" w:lineRule="auto"/>
              <w:ind w:firstLine="0"/>
              <w:jc w:val="center"/>
              <w:rPr>
                <w:sz w:val="21"/>
                <w:szCs w:val="21"/>
              </w:rPr>
            </w:pPr>
            <w:r>
              <w:rPr>
                <w:sz w:val="21"/>
                <w:szCs w:val="21"/>
              </w:rPr>
              <w:t>应测</w:t>
            </w:r>
          </w:p>
        </w:tc>
        <w:tc>
          <w:tcPr>
            <w:tcW w:w="1133" w:type="dxa"/>
            <w:tcBorders>
              <w:tl2br w:val="nil"/>
              <w:tr2bl w:val="nil"/>
            </w:tcBorders>
            <w:shd w:val="clear" w:color="auto" w:fill="auto"/>
            <w:vAlign w:val="center"/>
          </w:tcPr>
          <w:p w14:paraId="39A17DD5">
            <w:pPr>
              <w:spacing w:line="240" w:lineRule="auto"/>
              <w:ind w:firstLine="0"/>
              <w:jc w:val="center"/>
              <w:rPr>
                <w:sz w:val="21"/>
                <w:szCs w:val="21"/>
              </w:rPr>
            </w:pPr>
            <w:r>
              <w:rPr>
                <w:sz w:val="21"/>
                <w:szCs w:val="21"/>
              </w:rPr>
              <w:t>应测</w:t>
            </w:r>
          </w:p>
        </w:tc>
        <w:tc>
          <w:tcPr>
            <w:tcW w:w="1264" w:type="dxa"/>
            <w:tcBorders>
              <w:tl2br w:val="nil"/>
              <w:tr2bl w:val="nil"/>
            </w:tcBorders>
            <w:shd w:val="clear" w:color="auto" w:fill="auto"/>
            <w:vAlign w:val="center"/>
          </w:tcPr>
          <w:p w14:paraId="09F35F41">
            <w:pPr>
              <w:spacing w:line="240" w:lineRule="auto"/>
              <w:ind w:firstLine="0"/>
              <w:jc w:val="center"/>
              <w:rPr>
                <w:sz w:val="21"/>
                <w:szCs w:val="21"/>
              </w:rPr>
            </w:pPr>
            <w:r>
              <w:rPr>
                <w:sz w:val="21"/>
                <w:szCs w:val="21"/>
              </w:rPr>
              <w:t>可测</w:t>
            </w:r>
          </w:p>
        </w:tc>
      </w:tr>
      <w:tr w14:paraId="353FB0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08" w:type="dxa"/>
            <w:tcBorders>
              <w:tl2br w:val="nil"/>
              <w:tr2bl w:val="nil"/>
            </w:tcBorders>
            <w:shd w:val="clear" w:color="auto" w:fill="auto"/>
            <w:vAlign w:val="center"/>
          </w:tcPr>
          <w:p w14:paraId="022B6337">
            <w:pPr>
              <w:tabs>
                <w:tab w:val="center" w:pos="4201"/>
                <w:tab w:val="right" w:leader="dot" w:pos="9298"/>
              </w:tabs>
              <w:autoSpaceDE w:val="0"/>
              <w:autoSpaceDN w:val="0"/>
              <w:spacing w:line="240" w:lineRule="auto"/>
              <w:ind w:firstLine="0"/>
              <w:jc w:val="center"/>
              <w:rPr>
                <w:sz w:val="21"/>
                <w:szCs w:val="21"/>
              </w:rPr>
            </w:pPr>
            <w:r>
              <w:rPr>
                <w:sz w:val="21"/>
                <w:szCs w:val="21"/>
              </w:rPr>
              <w:t>12</w:t>
            </w:r>
          </w:p>
        </w:tc>
        <w:tc>
          <w:tcPr>
            <w:tcW w:w="3793" w:type="dxa"/>
            <w:tcBorders>
              <w:tl2br w:val="nil"/>
              <w:tr2bl w:val="nil"/>
            </w:tcBorders>
            <w:shd w:val="clear" w:color="auto" w:fill="auto"/>
            <w:vAlign w:val="center"/>
          </w:tcPr>
          <w:p w14:paraId="1C49A2F2">
            <w:pPr>
              <w:tabs>
                <w:tab w:val="center" w:pos="4201"/>
                <w:tab w:val="right" w:leader="dot" w:pos="9298"/>
              </w:tabs>
              <w:autoSpaceDE w:val="0"/>
              <w:autoSpaceDN w:val="0"/>
              <w:spacing w:line="240" w:lineRule="auto"/>
              <w:ind w:firstLine="0"/>
              <w:jc w:val="center"/>
              <w:rPr>
                <w:sz w:val="21"/>
                <w:szCs w:val="21"/>
              </w:rPr>
            </w:pPr>
            <w:r>
              <w:rPr>
                <w:sz w:val="21"/>
                <w:szCs w:val="21"/>
              </w:rPr>
              <w:t>土体分层竖向位移</w:t>
            </w:r>
          </w:p>
        </w:tc>
        <w:tc>
          <w:tcPr>
            <w:tcW w:w="1277" w:type="dxa"/>
            <w:tcBorders>
              <w:tl2br w:val="nil"/>
              <w:tr2bl w:val="nil"/>
            </w:tcBorders>
            <w:shd w:val="clear" w:color="auto" w:fill="auto"/>
            <w:vAlign w:val="center"/>
          </w:tcPr>
          <w:p w14:paraId="48776485">
            <w:pPr>
              <w:spacing w:line="240" w:lineRule="auto"/>
              <w:ind w:firstLine="0"/>
              <w:jc w:val="center"/>
              <w:rPr>
                <w:sz w:val="21"/>
                <w:szCs w:val="21"/>
              </w:rPr>
            </w:pPr>
            <w:r>
              <w:rPr>
                <w:sz w:val="21"/>
                <w:szCs w:val="21"/>
              </w:rPr>
              <w:t>可测</w:t>
            </w:r>
          </w:p>
        </w:tc>
        <w:tc>
          <w:tcPr>
            <w:tcW w:w="1133" w:type="dxa"/>
            <w:tcBorders>
              <w:tl2br w:val="nil"/>
              <w:tr2bl w:val="nil"/>
            </w:tcBorders>
            <w:shd w:val="clear" w:color="auto" w:fill="auto"/>
            <w:vAlign w:val="center"/>
          </w:tcPr>
          <w:p w14:paraId="57BD97B8">
            <w:pPr>
              <w:spacing w:line="240" w:lineRule="auto"/>
              <w:ind w:firstLine="0"/>
              <w:jc w:val="center"/>
              <w:rPr>
                <w:sz w:val="21"/>
                <w:szCs w:val="21"/>
              </w:rPr>
            </w:pPr>
            <w:r>
              <w:rPr>
                <w:sz w:val="21"/>
                <w:szCs w:val="21"/>
              </w:rPr>
              <w:t>可测</w:t>
            </w:r>
          </w:p>
        </w:tc>
        <w:tc>
          <w:tcPr>
            <w:tcW w:w="1264" w:type="dxa"/>
            <w:tcBorders>
              <w:tl2br w:val="nil"/>
              <w:tr2bl w:val="nil"/>
            </w:tcBorders>
            <w:shd w:val="clear" w:color="auto" w:fill="auto"/>
            <w:vAlign w:val="center"/>
          </w:tcPr>
          <w:p w14:paraId="7E43CDD4">
            <w:pPr>
              <w:spacing w:line="240" w:lineRule="auto"/>
              <w:ind w:firstLine="0"/>
              <w:jc w:val="center"/>
              <w:rPr>
                <w:sz w:val="21"/>
                <w:szCs w:val="21"/>
              </w:rPr>
            </w:pPr>
            <w:r>
              <w:rPr>
                <w:sz w:val="21"/>
                <w:szCs w:val="21"/>
              </w:rPr>
              <w:t>可测</w:t>
            </w:r>
          </w:p>
        </w:tc>
      </w:tr>
      <w:tr w14:paraId="1BB33C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08" w:type="dxa"/>
            <w:tcBorders>
              <w:tl2br w:val="nil"/>
              <w:tr2bl w:val="nil"/>
            </w:tcBorders>
            <w:shd w:val="clear" w:color="auto" w:fill="auto"/>
            <w:vAlign w:val="center"/>
          </w:tcPr>
          <w:p w14:paraId="7C0494B6">
            <w:pPr>
              <w:tabs>
                <w:tab w:val="center" w:pos="4201"/>
                <w:tab w:val="right" w:leader="dot" w:pos="9298"/>
              </w:tabs>
              <w:autoSpaceDE w:val="0"/>
              <w:autoSpaceDN w:val="0"/>
              <w:spacing w:line="240" w:lineRule="auto"/>
              <w:ind w:firstLine="0"/>
              <w:jc w:val="center"/>
              <w:rPr>
                <w:sz w:val="21"/>
                <w:szCs w:val="21"/>
              </w:rPr>
            </w:pPr>
            <w:r>
              <w:rPr>
                <w:sz w:val="21"/>
                <w:szCs w:val="21"/>
              </w:rPr>
              <w:t>13</w:t>
            </w:r>
          </w:p>
        </w:tc>
        <w:tc>
          <w:tcPr>
            <w:tcW w:w="3793" w:type="dxa"/>
            <w:tcBorders>
              <w:tl2br w:val="nil"/>
              <w:tr2bl w:val="nil"/>
            </w:tcBorders>
            <w:shd w:val="clear" w:color="auto" w:fill="auto"/>
            <w:vAlign w:val="center"/>
          </w:tcPr>
          <w:p w14:paraId="7066BF4A">
            <w:pPr>
              <w:tabs>
                <w:tab w:val="center" w:pos="4201"/>
                <w:tab w:val="right" w:leader="dot" w:pos="9298"/>
              </w:tabs>
              <w:autoSpaceDE w:val="0"/>
              <w:autoSpaceDN w:val="0"/>
              <w:spacing w:line="240" w:lineRule="auto"/>
              <w:ind w:firstLine="0"/>
              <w:jc w:val="center"/>
              <w:rPr>
                <w:sz w:val="21"/>
                <w:szCs w:val="21"/>
              </w:rPr>
            </w:pPr>
            <w:r>
              <w:rPr>
                <w:sz w:val="21"/>
                <w:szCs w:val="21"/>
              </w:rPr>
              <w:t>坑底隆起</w:t>
            </w:r>
          </w:p>
        </w:tc>
        <w:tc>
          <w:tcPr>
            <w:tcW w:w="1277" w:type="dxa"/>
            <w:tcBorders>
              <w:tl2br w:val="nil"/>
              <w:tr2bl w:val="nil"/>
            </w:tcBorders>
            <w:shd w:val="clear" w:color="auto" w:fill="auto"/>
            <w:vAlign w:val="center"/>
          </w:tcPr>
          <w:p w14:paraId="1C545FF4">
            <w:pPr>
              <w:spacing w:line="240" w:lineRule="auto"/>
              <w:ind w:firstLine="0"/>
              <w:jc w:val="center"/>
              <w:rPr>
                <w:sz w:val="21"/>
                <w:szCs w:val="21"/>
              </w:rPr>
            </w:pPr>
            <w:r>
              <w:rPr>
                <w:sz w:val="21"/>
                <w:szCs w:val="21"/>
              </w:rPr>
              <w:t>宜测</w:t>
            </w:r>
          </w:p>
        </w:tc>
        <w:tc>
          <w:tcPr>
            <w:tcW w:w="1133" w:type="dxa"/>
            <w:tcBorders>
              <w:tl2br w:val="nil"/>
              <w:tr2bl w:val="nil"/>
            </w:tcBorders>
            <w:shd w:val="clear" w:color="auto" w:fill="auto"/>
            <w:vAlign w:val="center"/>
          </w:tcPr>
          <w:p w14:paraId="6218A3C2">
            <w:pPr>
              <w:spacing w:line="240" w:lineRule="auto"/>
              <w:ind w:firstLine="0"/>
              <w:jc w:val="center"/>
              <w:rPr>
                <w:sz w:val="21"/>
                <w:szCs w:val="21"/>
              </w:rPr>
            </w:pPr>
            <w:r>
              <w:rPr>
                <w:sz w:val="21"/>
                <w:szCs w:val="21"/>
              </w:rPr>
              <w:t>宜测</w:t>
            </w:r>
          </w:p>
        </w:tc>
        <w:tc>
          <w:tcPr>
            <w:tcW w:w="1264" w:type="dxa"/>
            <w:tcBorders>
              <w:tl2br w:val="nil"/>
              <w:tr2bl w:val="nil"/>
            </w:tcBorders>
            <w:shd w:val="clear" w:color="auto" w:fill="auto"/>
            <w:vAlign w:val="center"/>
          </w:tcPr>
          <w:p w14:paraId="0F4AE0D5">
            <w:pPr>
              <w:spacing w:line="240" w:lineRule="auto"/>
              <w:ind w:firstLine="0"/>
              <w:jc w:val="center"/>
              <w:rPr>
                <w:sz w:val="21"/>
                <w:szCs w:val="21"/>
              </w:rPr>
            </w:pPr>
            <w:r>
              <w:rPr>
                <w:sz w:val="21"/>
                <w:szCs w:val="21"/>
              </w:rPr>
              <w:t>可测</w:t>
            </w:r>
          </w:p>
        </w:tc>
      </w:tr>
      <w:tr w14:paraId="2DCCB4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08" w:type="dxa"/>
            <w:tcBorders>
              <w:tl2br w:val="nil"/>
              <w:tr2bl w:val="nil"/>
            </w:tcBorders>
            <w:shd w:val="clear" w:color="auto" w:fill="auto"/>
            <w:vAlign w:val="center"/>
          </w:tcPr>
          <w:p w14:paraId="674D8959">
            <w:pPr>
              <w:tabs>
                <w:tab w:val="center" w:pos="4201"/>
                <w:tab w:val="right" w:leader="dot" w:pos="9298"/>
              </w:tabs>
              <w:autoSpaceDE w:val="0"/>
              <w:autoSpaceDN w:val="0"/>
              <w:spacing w:line="240" w:lineRule="auto"/>
              <w:ind w:firstLine="0"/>
              <w:jc w:val="center"/>
              <w:rPr>
                <w:sz w:val="21"/>
                <w:szCs w:val="21"/>
              </w:rPr>
            </w:pPr>
            <w:r>
              <w:rPr>
                <w:sz w:val="21"/>
                <w:szCs w:val="21"/>
              </w:rPr>
              <w:t>14</w:t>
            </w:r>
          </w:p>
        </w:tc>
        <w:tc>
          <w:tcPr>
            <w:tcW w:w="3793" w:type="dxa"/>
            <w:tcBorders>
              <w:tl2br w:val="nil"/>
              <w:tr2bl w:val="nil"/>
            </w:tcBorders>
            <w:shd w:val="clear" w:color="auto" w:fill="auto"/>
            <w:vAlign w:val="center"/>
          </w:tcPr>
          <w:p w14:paraId="3AEF5E88">
            <w:pPr>
              <w:tabs>
                <w:tab w:val="center" w:pos="4201"/>
                <w:tab w:val="right" w:leader="dot" w:pos="9298"/>
              </w:tabs>
              <w:autoSpaceDE w:val="0"/>
              <w:autoSpaceDN w:val="0"/>
              <w:spacing w:line="240" w:lineRule="auto"/>
              <w:ind w:firstLine="0"/>
              <w:jc w:val="center"/>
              <w:rPr>
                <w:sz w:val="21"/>
                <w:szCs w:val="21"/>
              </w:rPr>
            </w:pPr>
            <w:r>
              <w:rPr>
                <w:sz w:val="21"/>
                <w:szCs w:val="21"/>
              </w:rPr>
              <w:t>支护桩（墙）侧向土压力</w:t>
            </w:r>
          </w:p>
        </w:tc>
        <w:tc>
          <w:tcPr>
            <w:tcW w:w="1277" w:type="dxa"/>
            <w:tcBorders>
              <w:tl2br w:val="nil"/>
              <w:tr2bl w:val="nil"/>
            </w:tcBorders>
            <w:shd w:val="clear" w:color="auto" w:fill="auto"/>
            <w:vAlign w:val="center"/>
          </w:tcPr>
          <w:p w14:paraId="195641F6">
            <w:pPr>
              <w:spacing w:line="240" w:lineRule="auto"/>
              <w:ind w:firstLine="0"/>
              <w:jc w:val="center"/>
              <w:rPr>
                <w:sz w:val="21"/>
                <w:szCs w:val="21"/>
              </w:rPr>
            </w:pPr>
            <w:r>
              <w:rPr>
                <w:sz w:val="21"/>
                <w:szCs w:val="21"/>
              </w:rPr>
              <w:t>宜测</w:t>
            </w:r>
          </w:p>
        </w:tc>
        <w:tc>
          <w:tcPr>
            <w:tcW w:w="1133" w:type="dxa"/>
            <w:tcBorders>
              <w:tl2br w:val="nil"/>
              <w:tr2bl w:val="nil"/>
            </w:tcBorders>
            <w:shd w:val="clear" w:color="auto" w:fill="auto"/>
            <w:vAlign w:val="center"/>
          </w:tcPr>
          <w:p w14:paraId="35AED192">
            <w:pPr>
              <w:spacing w:line="240" w:lineRule="auto"/>
              <w:ind w:firstLine="0"/>
              <w:jc w:val="center"/>
              <w:rPr>
                <w:sz w:val="21"/>
                <w:szCs w:val="21"/>
              </w:rPr>
            </w:pPr>
            <w:r>
              <w:rPr>
                <w:sz w:val="21"/>
                <w:szCs w:val="21"/>
              </w:rPr>
              <w:t>宜测</w:t>
            </w:r>
          </w:p>
        </w:tc>
        <w:tc>
          <w:tcPr>
            <w:tcW w:w="1264" w:type="dxa"/>
            <w:tcBorders>
              <w:tl2br w:val="nil"/>
              <w:tr2bl w:val="nil"/>
            </w:tcBorders>
            <w:shd w:val="clear" w:color="auto" w:fill="auto"/>
            <w:vAlign w:val="center"/>
          </w:tcPr>
          <w:p w14:paraId="208FD8A5">
            <w:pPr>
              <w:spacing w:line="240" w:lineRule="auto"/>
              <w:ind w:firstLine="0"/>
              <w:jc w:val="center"/>
              <w:rPr>
                <w:sz w:val="21"/>
                <w:szCs w:val="21"/>
              </w:rPr>
            </w:pPr>
            <w:r>
              <w:rPr>
                <w:sz w:val="21"/>
                <w:szCs w:val="21"/>
              </w:rPr>
              <w:t>可测</w:t>
            </w:r>
          </w:p>
        </w:tc>
      </w:tr>
      <w:tr w14:paraId="610078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08" w:type="dxa"/>
            <w:tcBorders>
              <w:tl2br w:val="nil"/>
              <w:tr2bl w:val="nil"/>
            </w:tcBorders>
            <w:shd w:val="clear" w:color="auto" w:fill="auto"/>
            <w:vAlign w:val="center"/>
          </w:tcPr>
          <w:p w14:paraId="42C6065E">
            <w:pPr>
              <w:tabs>
                <w:tab w:val="center" w:pos="4201"/>
                <w:tab w:val="right" w:leader="dot" w:pos="9298"/>
              </w:tabs>
              <w:autoSpaceDE w:val="0"/>
              <w:autoSpaceDN w:val="0"/>
              <w:spacing w:line="240" w:lineRule="auto"/>
              <w:ind w:firstLine="0"/>
              <w:jc w:val="center"/>
              <w:rPr>
                <w:sz w:val="21"/>
                <w:szCs w:val="21"/>
              </w:rPr>
            </w:pPr>
            <w:r>
              <w:rPr>
                <w:sz w:val="21"/>
                <w:szCs w:val="21"/>
              </w:rPr>
              <w:t>15</w:t>
            </w:r>
          </w:p>
        </w:tc>
        <w:tc>
          <w:tcPr>
            <w:tcW w:w="3793" w:type="dxa"/>
            <w:tcBorders>
              <w:tl2br w:val="nil"/>
              <w:tr2bl w:val="nil"/>
            </w:tcBorders>
            <w:shd w:val="clear" w:color="auto" w:fill="auto"/>
            <w:vAlign w:val="center"/>
          </w:tcPr>
          <w:p w14:paraId="30B73AB6">
            <w:pPr>
              <w:tabs>
                <w:tab w:val="center" w:pos="4201"/>
                <w:tab w:val="right" w:leader="dot" w:pos="9298"/>
              </w:tabs>
              <w:autoSpaceDE w:val="0"/>
              <w:autoSpaceDN w:val="0"/>
              <w:spacing w:line="240" w:lineRule="auto"/>
              <w:ind w:firstLine="0"/>
              <w:jc w:val="center"/>
              <w:rPr>
                <w:sz w:val="21"/>
                <w:szCs w:val="21"/>
              </w:rPr>
            </w:pPr>
            <w:r>
              <w:rPr>
                <w:sz w:val="21"/>
                <w:szCs w:val="21"/>
              </w:rPr>
              <w:t>地下水位</w:t>
            </w:r>
          </w:p>
        </w:tc>
        <w:tc>
          <w:tcPr>
            <w:tcW w:w="1277" w:type="dxa"/>
            <w:tcBorders>
              <w:tl2br w:val="nil"/>
              <w:tr2bl w:val="nil"/>
            </w:tcBorders>
            <w:shd w:val="clear" w:color="auto" w:fill="auto"/>
            <w:vAlign w:val="center"/>
          </w:tcPr>
          <w:p w14:paraId="1BF28338">
            <w:pPr>
              <w:spacing w:line="240" w:lineRule="auto"/>
              <w:ind w:firstLine="0"/>
              <w:jc w:val="center"/>
              <w:rPr>
                <w:sz w:val="21"/>
                <w:szCs w:val="21"/>
              </w:rPr>
            </w:pPr>
            <w:r>
              <w:rPr>
                <w:sz w:val="21"/>
                <w:szCs w:val="21"/>
              </w:rPr>
              <w:t>应测</w:t>
            </w:r>
          </w:p>
        </w:tc>
        <w:tc>
          <w:tcPr>
            <w:tcW w:w="1133" w:type="dxa"/>
            <w:tcBorders>
              <w:tl2br w:val="nil"/>
              <w:tr2bl w:val="nil"/>
            </w:tcBorders>
            <w:shd w:val="clear" w:color="auto" w:fill="auto"/>
            <w:vAlign w:val="center"/>
          </w:tcPr>
          <w:p w14:paraId="152BACCF">
            <w:pPr>
              <w:spacing w:line="240" w:lineRule="auto"/>
              <w:ind w:firstLine="0"/>
              <w:jc w:val="center"/>
              <w:rPr>
                <w:sz w:val="21"/>
                <w:szCs w:val="21"/>
              </w:rPr>
            </w:pPr>
            <w:r>
              <w:rPr>
                <w:sz w:val="21"/>
                <w:szCs w:val="21"/>
              </w:rPr>
              <w:t>应测</w:t>
            </w:r>
          </w:p>
        </w:tc>
        <w:tc>
          <w:tcPr>
            <w:tcW w:w="1264" w:type="dxa"/>
            <w:tcBorders>
              <w:tl2br w:val="nil"/>
              <w:tr2bl w:val="nil"/>
            </w:tcBorders>
            <w:shd w:val="clear" w:color="auto" w:fill="auto"/>
            <w:vAlign w:val="center"/>
          </w:tcPr>
          <w:p w14:paraId="2BADBDDF">
            <w:pPr>
              <w:spacing w:line="240" w:lineRule="auto"/>
              <w:ind w:firstLine="0"/>
              <w:jc w:val="center"/>
              <w:rPr>
                <w:sz w:val="21"/>
                <w:szCs w:val="21"/>
              </w:rPr>
            </w:pPr>
            <w:r>
              <w:rPr>
                <w:sz w:val="21"/>
                <w:szCs w:val="21"/>
              </w:rPr>
              <w:t>应测</w:t>
            </w:r>
          </w:p>
        </w:tc>
      </w:tr>
      <w:tr w14:paraId="07353B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08" w:type="dxa"/>
            <w:tcBorders>
              <w:tl2br w:val="nil"/>
              <w:tr2bl w:val="nil"/>
            </w:tcBorders>
            <w:shd w:val="clear" w:color="auto" w:fill="auto"/>
            <w:vAlign w:val="center"/>
          </w:tcPr>
          <w:p w14:paraId="1D5D87AF">
            <w:pPr>
              <w:tabs>
                <w:tab w:val="center" w:pos="4201"/>
                <w:tab w:val="right" w:leader="dot" w:pos="9298"/>
              </w:tabs>
              <w:autoSpaceDE w:val="0"/>
              <w:autoSpaceDN w:val="0"/>
              <w:spacing w:line="240" w:lineRule="auto"/>
              <w:ind w:firstLine="0"/>
              <w:jc w:val="center"/>
              <w:rPr>
                <w:sz w:val="21"/>
                <w:szCs w:val="21"/>
              </w:rPr>
            </w:pPr>
            <w:r>
              <w:rPr>
                <w:sz w:val="21"/>
                <w:szCs w:val="21"/>
              </w:rPr>
              <w:t>16</w:t>
            </w:r>
          </w:p>
        </w:tc>
        <w:tc>
          <w:tcPr>
            <w:tcW w:w="3793" w:type="dxa"/>
            <w:tcBorders>
              <w:tl2br w:val="nil"/>
              <w:tr2bl w:val="nil"/>
            </w:tcBorders>
            <w:shd w:val="clear" w:color="auto" w:fill="auto"/>
            <w:vAlign w:val="center"/>
          </w:tcPr>
          <w:p w14:paraId="5CCF265F">
            <w:pPr>
              <w:tabs>
                <w:tab w:val="center" w:pos="4201"/>
                <w:tab w:val="right" w:leader="dot" w:pos="9298"/>
              </w:tabs>
              <w:autoSpaceDE w:val="0"/>
              <w:autoSpaceDN w:val="0"/>
              <w:spacing w:line="240" w:lineRule="auto"/>
              <w:ind w:firstLine="0"/>
              <w:jc w:val="center"/>
              <w:rPr>
                <w:sz w:val="21"/>
                <w:szCs w:val="21"/>
              </w:rPr>
            </w:pPr>
            <w:r>
              <w:rPr>
                <w:sz w:val="21"/>
                <w:szCs w:val="21"/>
              </w:rPr>
              <w:t>孔隙水压力</w:t>
            </w:r>
          </w:p>
        </w:tc>
        <w:tc>
          <w:tcPr>
            <w:tcW w:w="1277" w:type="dxa"/>
            <w:tcBorders>
              <w:tl2br w:val="nil"/>
              <w:tr2bl w:val="nil"/>
            </w:tcBorders>
            <w:shd w:val="clear" w:color="auto" w:fill="auto"/>
            <w:vAlign w:val="center"/>
          </w:tcPr>
          <w:p w14:paraId="463B3F9D">
            <w:pPr>
              <w:spacing w:line="240" w:lineRule="auto"/>
              <w:ind w:firstLine="0"/>
              <w:jc w:val="center"/>
              <w:rPr>
                <w:sz w:val="21"/>
                <w:szCs w:val="21"/>
              </w:rPr>
            </w:pPr>
            <w:r>
              <w:rPr>
                <w:sz w:val="21"/>
                <w:szCs w:val="21"/>
              </w:rPr>
              <w:t>可测</w:t>
            </w:r>
          </w:p>
        </w:tc>
        <w:tc>
          <w:tcPr>
            <w:tcW w:w="1133" w:type="dxa"/>
            <w:tcBorders>
              <w:tl2br w:val="nil"/>
              <w:tr2bl w:val="nil"/>
            </w:tcBorders>
            <w:shd w:val="clear" w:color="auto" w:fill="auto"/>
            <w:vAlign w:val="center"/>
          </w:tcPr>
          <w:p w14:paraId="16BCA730">
            <w:pPr>
              <w:spacing w:line="240" w:lineRule="auto"/>
              <w:ind w:firstLine="0"/>
              <w:jc w:val="center"/>
              <w:rPr>
                <w:sz w:val="21"/>
                <w:szCs w:val="21"/>
              </w:rPr>
            </w:pPr>
            <w:r>
              <w:rPr>
                <w:sz w:val="21"/>
                <w:szCs w:val="21"/>
              </w:rPr>
              <w:t>可测</w:t>
            </w:r>
          </w:p>
        </w:tc>
        <w:tc>
          <w:tcPr>
            <w:tcW w:w="1264" w:type="dxa"/>
            <w:tcBorders>
              <w:tl2br w:val="nil"/>
              <w:tr2bl w:val="nil"/>
            </w:tcBorders>
            <w:shd w:val="clear" w:color="auto" w:fill="auto"/>
            <w:vAlign w:val="center"/>
          </w:tcPr>
          <w:p w14:paraId="787629DC">
            <w:pPr>
              <w:spacing w:line="240" w:lineRule="auto"/>
              <w:ind w:firstLine="0"/>
              <w:jc w:val="center"/>
              <w:rPr>
                <w:sz w:val="21"/>
                <w:szCs w:val="21"/>
              </w:rPr>
            </w:pPr>
            <w:r>
              <w:rPr>
                <w:sz w:val="21"/>
                <w:szCs w:val="21"/>
              </w:rPr>
              <w:t>可测</w:t>
            </w:r>
          </w:p>
        </w:tc>
      </w:tr>
    </w:tbl>
    <w:p w14:paraId="1CF5D259"/>
    <w:p w14:paraId="588778F3">
      <w:pPr>
        <w:ind w:firstLine="0"/>
        <w:rPr>
          <w:bCs/>
        </w:rPr>
      </w:pPr>
      <w:r>
        <w:rPr>
          <w:b/>
          <w:bCs/>
        </w:rPr>
        <w:t>7.2.6　</w:t>
      </w:r>
      <w:r>
        <w:rPr>
          <w:bCs/>
        </w:rPr>
        <w:t>采用仪器监测时周边环境的监测项目应按表7.2.6进行选择。</w:t>
      </w:r>
    </w:p>
    <w:p w14:paraId="3C92DF5B">
      <w:pPr>
        <w:jc w:val="center"/>
        <w:rPr>
          <w:b/>
          <w:bCs/>
          <w:color w:val="auto"/>
          <w:sz w:val="21"/>
          <w:szCs w:val="21"/>
        </w:rPr>
      </w:pPr>
      <w:r>
        <w:rPr>
          <w:b/>
          <w:bCs/>
          <w:color w:val="auto"/>
          <w:sz w:val="21"/>
          <w:szCs w:val="21"/>
        </w:rPr>
        <w:t>表7.2.6　管廊周边环境监测项目表</w:t>
      </w:r>
    </w:p>
    <w:tbl>
      <w:tblPr>
        <w:tblStyle w:val="14"/>
        <w:tblW w:w="506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824"/>
        <w:gridCol w:w="2637"/>
        <w:gridCol w:w="1968"/>
        <w:gridCol w:w="2214"/>
      </w:tblGrid>
      <w:tr w14:paraId="04D9BB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1055" w:type="pct"/>
            <w:vMerge w:val="restart"/>
            <w:tcBorders>
              <w:tl2br w:val="nil"/>
              <w:tr2bl w:val="nil"/>
            </w:tcBorders>
            <w:shd w:val="clear" w:color="auto" w:fill="auto"/>
            <w:vAlign w:val="center"/>
          </w:tcPr>
          <w:p w14:paraId="0235B992">
            <w:pPr>
              <w:pStyle w:val="31"/>
              <w:widowControl w:val="0"/>
              <w:rPr>
                <w:rFonts w:ascii="Times New Roman"/>
                <w:sz w:val="21"/>
                <w:szCs w:val="21"/>
              </w:rPr>
            </w:pPr>
            <w:r>
              <w:rPr>
                <w:rFonts w:ascii="Times New Roman"/>
                <w:sz w:val="21"/>
                <w:szCs w:val="21"/>
              </w:rPr>
              <w:t>监测对象</w:t>
            </w:r>
          </w:p>
        </w:tc>
        <w:tc>
          <w:tcPr>
            <w:tcW w:w="1525" w:type="pct"/>
            <w:vMerge w:val="restart"/>
            <w:tcBorders>
              <w:tl2br w:val="nil"/>
              <w:tr2bl w:val="nil"/>
            </w:tcBorders>
            <w:shd w:val="clear" w:color="auto" w:fill="auto"/>
            <w:vAlign w:val="center"/>
          </w:tcPr>
          <w:p w14:paraId="32A8230C">
            <w:pPr>
              <w:pStyle w:val="31"/>
              <w:widowControl w:val="0"/>
              <w:rPr>
                <w:rFonts w:ascii="Times New Roman"/>
                <w:sz w:val="21"/>
                <w:szCs w:val="21"/>
              </w:rPr>
            </w:pPr>
            <w:r>
              <w:rPr>
                <w:rFonts w:ascii="Times New Roman"/>
                <w:sz w:val="21"/>
                <w:szCs w:val="21"/>
              </w:rPr>
              <w:t>监测项目</w:t>
            </w:r>
          </w:p>
        </w:tc>
        <w:tc>
          <w:tcPr>
            <w:tcW w:w="2418" w:type="pct"/>
            <w:gridSpan w:val="2"/>
            <w:tcBorders>
              <w:tl2br w:val="nil"/>
              <w:tr2bl w:val="nil"/>
            </w:tcBorders>
            <w:shd w:val="clear" w:color="auto" w:fill="auto"/>
            <w:vAlign w:val="center"/>
          </w:tcPr>
          <w:p w14:paraId="27481096">
            <w:pPr>
              <w:pStyle w:val="31"/>
              <w:widowControl w:val="0"/>
              <w:rPr>
                <w:rFonts w:ascii="Times New Roman"/>
                <w:sz w:val="21"/>
                <w:szCs w:val="21"/>
              </w:rPr>
            </w:pPr>
            <w:r>
              <w:rPr>
                <w:rFonts w:ascii="Times New Roman"/>
                <w:sz w:val="21"/>
                <w:szCs w:val="21"/>
              </w:rPr>
              <w:t>工程影响分区</w:t>
            </w:r>
          </w:p>
        </w:tc>
      </w:tr>
      <w:tr w14:paraId="2DD0D4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1055" w:type="pct"/>
            <w:vMerge w:val="continue"/>
            <w:tcBorders>
              <w:tl2br w:val="nil"/>
              <w:tr2bl w:val="nil"/>
            </w:tcBorders>
            <w:shd w:val="clear" w:color="auto" w:fill="auto"/>
            <w:vAlign w:val="center"/>
          </w:tcPr>
          <w:p w14:paraId="0697FFD3">
            <w:pPr>
              <w:pStyle w:val="31"/>
              <w:widowControl w:val="0"/>
              <w:rPr>
                <w:rFonts w:ascii="Times New Roman"/>
                <w:sz w:val="21"/>
                <w:szCs w:val="21"/>
              </w:rPr>
            </w:pPr>
          </w:p>
        </w:tc>
        <w:tc>
          <w:tcPr>
            <w:tcW w:w="1525" w:type="pct"/>
            <w:vMerge w:val="continue"/>
            <w:tcBorders>
              <w:tl2br w:val="nil"/>
              <w:tr2bl w:val="nil"/>
            </w:tcBorders>
            <w:shd w:val="clear" w:color="auto" w:fill="auto"/>
            <w:vAlign w:val="center"/>
          </w:tcPr>
          <w:p w14:paraId="714FCCD4">
            <w:pPr>
              <w:pStyle w:val="31"/>
              <w:widowControl w:val="0"/>
              <w:rPr>
                <w:rFonts w:ascii="Times New Roman"/>
                <w:sz w:val="21"/>
                <w:szCs w:val="21"/>
              </w:rPr>
            </w:pPr>
          </w:p>
        </w:tc>
        <w:tc>
          <w:tcPr>
            <w:tcW w:w="1138" w:type="pct"/>
            <w:tcBorders>
              <w:tl2br w:val="nil"/>
              <w:tr2bl w:val="nil"/>
            </w:tcBorders>
            <w:shd w:val="clear" w:color="auto" w:fill="auto"/>
            <w:vAlign w:val="center"/>
          </w:tcPr>
          <w:p w14:paraId="501D4BCC">
            <w:pPr>
              <w:pStyle w:val="31"/>
              <w:widowControl w:val="0"/>
              <w:rPr>
                <w:rFonts w:ascii="Times New Roman"/>
                <w:sz w:val="21"/>
                <w:szCs w:val="21"/>
              </w:rPr>
            </w:pPr>
            <w:r>
              <w:rPr>
                <w:rFonts w:ascii="Times New Roman"/>
                <w:sz w:val="21"/>
                <w:szCs w:val="21"/>
              </w:rPr>
              <w:t>主要影响区</w:t>
            </w:r>
          </w:p>
        </w:tc>
        <w:tc>
          <w:tcPr>
            <w:tcW w:w="1280" w:type="pct"/>
            <w:tcBorders>
              <w:tl2br w:val="nil"/>
              <w:tr2bl w:val="nil"/>
            </w:tcBorders>
            <w:shd w:val="clear" w:color="auto" w:fill="auto"/>
            <w:vAlign w:val="center"/>
          </w:tcPr>
          <w:p w14:paraId="3D30E6BB">
            <w:pPr>
              <w:pStyle w:val="31"/>
              <w:widowControl w:val="0"/>
              <w:rPr>
                <w:rFonts w:ascii="Times New Roman"/>
                <w:sz w:val="21"/>
                <w:szCs w:val="21"/>
              </w:rPr>
            </w:pPr>
            <w:r>
              <w:rPr>
                <w:rFonts w:ascii="Times New Roman"/>
                <w:sz w:val="21"/>
                <w:szCs w:val="21"/>
              </w:rPr>
              <w:t>次要影响区</w:t>
            </w:r>
          </w:p>
        </w:tc>
      </w:tr>
      <w:tr w14:paraId="463C02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55" w:type="pct"/>
            <w:vMerge w:val="restart"/>
            <w:tcBorders>
              <w:tl2br w:val="nil"/>
              <w:tr2bl w:val="nil"/>
            </w:tcBorders>
            <w:shd w:val="clear" w:color="auto" w:fill="auto"/>
            <w:vAlign w:val="center"/>
          </w:tcPr>
          <w:p w14:paraId="17DF34E2">
            <w:pPr>
              <w:pStyle w:val="31"/>
              <w:widowControl w:val="0"/>
              <w:rPr>
                <w:rFonts w:ascii="Times New Roman"/>
                <w:sz w:val="21"/>
                <w:szCs w:val="21"/>
              </w:rPr>
            </w:pPr>
            <w:r>
              <w:rPr>
                <w:rFonts w:ascii="Times New Roman"/>
                <w:sz w:val="21"/>
                <w:szCs w:val="21"/>
              </w:rPr>
              <w:t>建构筑物</w:t>
            </w:r>
          </w:p>
        </w:tc>
        <w:tc>
          <w:tcPr>
            <w:tcW w:w="1525" w:type="pct"/>
            <w:tcBorders>
              <w:tl2br w:val="nil"/>
              <w:tr2bl w:val="nil"/>
            </w:tcBorders>
            <w:shd w:val="clear" w:color="auto" w:fill="auto"/>
            <w:vAlign w:val="center"/>
          </w:tcPr>
          <w:p w14:paraId="046F924F">
            <w:pPr>
              <w:pStyle w:val="31"/>
              <w:widowControl w:val="0"/>
              <w:rPr>
                <w:rFonts w:ascii="Times New Roman"/>
                <w:sz w:val="21"/>
                <w:szCs w:val="21"/>
              </w:rPr>
            </w:pPr>
            <w:r>
              <w:rPr>
                <w:rFonts w:ascii="Times New Roman"/>
                <w:sz w:val="21"/>
                <w:szCs w:val="21"/>
              </w:rPr>
              <w:t>竖向位移</w:t>
            </w:r>
          </w:p>
        </w:tc>
        <w:tc>
          <w:tcPr>
            <w:tcW w:w="1138" w:type="pct"/>
            <w:tcBorders>
              <w:tl2br w:val="nil"/>
              <w:tr2bl w:val="nil"/>
            </w:tcBorders>
            <w:shd w:val="clear" w:color="auto" w:fill="auto"/>
            <w:vAlign w:val="center"/>
          </w:tcPr>
          <w:p w14:paraId="4CF896A9">
            <w:pPr>
              <w:pStyle w:val="31"/>
              <w:widowControl w:val="0"/>
              <w:rPr>
                <w:rFonts w:ascii="Times New Roman"/>
                <w:sz w:val="21"/>
                <w:szCs w:val="21"/>
              </w:rPr>
            </w:pPr>
            <w:r>
              <w:rPr>
                <w:rFonts w:ascii="Times New Roman"/>
                <w:sz w:val="21"/>
                <w:szCs w:val="21"/>
              </w:rPr>
              <w:t>应测</w:t>
            </w:r>
          </w:p>
        </w:tc>
        <w:tc>
          <w:tcPr>
            <w:tcW w:w="1280" w:type="pct"/>
            <w:tcBorders>
              <w:tl2br w:val="nil"/>
              <w:tr2bl w:val="nil"/>
            </w:tcBorders>
            <w:shd w:val="clear" w:color="auto" w:fill="auto"/>
            <w:vAlign w:val="center"/>
          </w:tcPr>
          <w:p w14:paraId="10CEC2E5">
            <w:pPr>
              <w:pStyle w:val="31"/>
              <w:widowControl w:val="0"/>
              <w:rPr>
                <w:rFonts w:ascii="Times New Roman"/>
                <w:sz w:val="21"/>
                <w:szCs w:val="21"/>
              </w:rPr>
            </w:pPr>
            <w:r>
              <w:rPr>
                <w:rFonts w:ascii="Times New Roman"/>
                <w:sz w:val="21"/>
                <w:szCs w:val="21"/>
              </w:rPr>
              <w:t>应测</w:t>
            </w:r>
          </w:p>
        </w:tc>
      </w:tr>
      <w:tr w14:paraId="2AED69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55" w:type="pct"/>
            <w:vMerge w:val="continue"/>
            <w:tcBorders>
              <w:tl2br w:val="nil"/>
              <w:tr2bl w:val="nil"/>
            </w:tcBorders>
            <w:shd w:val="clear" w:color="auto" w:fill="auto"/>
            <w:vAlign w:val="center"/>
          </w:tcPr>
          <w:p w14:paraId="373BA9B3">
            <w:pPr>
              <w:pStyle w:val="31"/>
              <w:widowControl w:val="0"/>
              <w:rPr>
                <w:rFonts w:ascii="Times New Roman"/>
                <w:sz w:val="21"/>
                <w:szCs w:val="21"/>
              </w:rPr>
            </w:pPr>
          </w:p>
        </w:tc>
        <w:tc>
          <w:tcPr>
            <w:tcW w:w="1525" w:type="pct"/>
            <w:tcBorders>
              <w:tl2br w:val="nil"/>
              <w:tr2bl w:val="nil"/>
            </w:tcBorders>
            <w:shd w:val="clear" w:color="auto" w:fill="auto"/>
            <w:vAlign w:val="center"/>
          </w:tcPr>
          <w:p w14:paraId="7D629337">
            <w:pPr>
              <w:pStyle w:val="31"/>
              <w:widowControl w:val="0"/>
              <w:rPr>
                <w:rFonts w:ascii="Times New Roman"/>
                <w:sz w:val="21"/>
                <w:szCs w:val="21"/>
              </w:rPr>
            </w:pPr>
            <w:r>
              <w:rPr>
                <w:rFonts w:ascii="Times New Roman"/>
                <w:sz w:val="21"/>
                <w:szCs w:val="21"/>
              </w:rPr>
              <w:t>水平位移</w:t>
            </w:r>
          </w:p>
        </w:tc>
        <w:tc>
          <w:tcPr>
            <w:tcW w:w="1138" w:type="pct"/>
            <w:tcBorders>
              <w:tl2br w:val="nil"/>
              <w:tr2bl w:val="nil"/>
            </w:tcBorders>
            <w:shd w:val="clear" w:color="auto" w:fill="auto"/>
            <w:vAlign w:val="center"/>
          </w:tcPr>
          <w:p w14:paraId="72092AB9">
            <w:pPr>
              <w:pStyle w:val="31"/>
              <w:widowControl w:val="0"/>
              <w:rPr>
                <w:rFonts w:ascii="Times New Roman"/>
                <w:sz w:val="21"/>
                <w:szCs w:val="21"/>
              </w:rPr>
            </w:pPr>
            <w:r>
              <w:rPr>
                <w:rFonts w:ascii="Times New Roman"/>
                <w:sz w:val="21"/>
                <w:szCs w:val="21"/>
              </w:rPr>
              <w:t>宜测</w:t>
            </w:r>
          </w:p>
        </w:tc>
        <w:tc>
          <w:tcPr>
            <w:tcW w:w="1280" w:type="pct"/>
            <w:tcBorders>
              <w:tl2br w:val="nil"/>
              <w:tr2bl w:val="nil"/>
            </w:tcBorders>
            <w:shd w:val="clear" w:color="auto" w:fill="auto"/>
            <w:vAlign w:val="center"/>
          </w:tcPr>
          <w:p w14:paraId="785E81DF">
            <w:pPr>
              <w:pStyle w:val="31"/>
              <w:widowControl w:val="0"/>
              <w:rPr>
                <w:rFonts w:ascii="Times New Roman"/>
                <w:sz w:val="21"/>
                <w:szCs w:val="21"/>
              </w:rPr>
            </w:pPr>
            <w:r>
              <w:rPr>
                <w:rFonts w:ascii="Times New Roman"/>
                <w:sz w:val="21"/>
                <w:szCs w:val="21"/>
              </w:rPr>
              <w:t>可测</w:t>
            </w:r>
          </w:p>
        </w:tc>
      </w:tr>
      <w:tr w14:paraId="6739A9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55" w:type="pct"/>
            <w:vMerge w:val="continue"/>
            <w:tcBorders>
              <w:tl2br w:val="nil"/>
              <w:tr2bl w:val="nil"/>
            </w:tcBorders>
            <w:shd w:val="clear" w:color="auto" w:fill="auto"/>
            <w:vAlign w:val="center"/>
          </w:tcPr>
          <w:p w14:paraId="6D15A2E5">
            <w:pPr>
              <w:pStyle w:val="31"/>
              <w:widowControl w:val="0"/>
              <w:rPr>
                <w:rFonts w:ascii="Times New Roman"/>
                <w:sz w:val="21"/>
                <w:szCs w:val="21"/>
              </w:rPr>
            </w:pPr>
          </w:p>
        </w:tc>
        <w:tc>
          <w:tcPr>
            <w:tcW w:w="1525" w:type="pct"/>
            <w:tcBorders>
              <w:tl2br w:val="nil"/>
              <w:tr2bl w:val="nil"/>
            </w:tcBorders>
            <w:shd w:val="clear" w:color="auto" w:fill="auto"/>
            <w:vAlign w:val="center"/>
          </w:tcPr>
          <w:p w14:paraId="42CC11B6">
            <w:pPr>
              <w:pStyle w:val="31"/>
              <w:widowControl w:val="0"/>
              <w:rPr>
                <w:rFonts w:ascii="Times New Roman"/>
                <w:sz w:val="21"/>
                <w:szCs w:val="21"/>
              </w:rPr>
            </w:pPr>
            <w:r>
              <w:rPr>
                <w:rFonts w:ascii="Times New Roman"/>
                <w:sz w:val="21"/>
                <w:szCs w:val="21"/>
              </w:rPr>
              <w:t>倾斜</w:t>
            </w:r>
          </w:p>
        </w:tc>
        <w:tc>
          <w:tcPr>
            <w:tcW w:w="1138" w:type="pct"/>
            <w:tcBorders>
              <w:tl2br w:val="nil"/>
              <w:tr2bl w:val="nil"/>
            </w:tcBorders>
            <w:shd w:val="clear" w:color="auto" w:fill="auto"/>
            <w:vAlign w:val="center"/>
          </w:tcPr>
          <w:p w14:paraId="5FC81BE4">
            <w:pPr>
              <w:pStyle w:val="31"/>
              <w:widowControl w:val="0"/>
              <w:rPr>
                <w:rFonts w:ascii="Times New Roman"/>
                <w:sz w:val="21"/>
                <w:szCs w:val="21"/>
              </w:rPr>
            </w:pPr>
            <w:r>
              <w:rPr>
                <w:rFonts w:ascii="Times New Roman"/>
                <w:sz w:val="21"/>
                <w:szCs w:val="21"/>
              </w:rPr>
              <w:t>宜测</w:t>
            </w:r>
          </w:p>
        </w:tc>
        <w:tc>
          <w:tcPr>
            <w:tcW w:w="1280" w:type="pct"/>
            <w:tcBorders>
              <w:tl2br w:val="nil"/>
              <w:tr2bl w:val="nil"/>
            </w:tcBorders>
            <w:shd w:val="clear" w:color="auto" w:fill="auto"/>
            <w:vAlign w:val="center"/>
          </w:tcPr>
          <w:p w14:paraId="043EAFF1">
            <w:pPr>
              <w:pStyle w:val="31"/>
              <w:widowControl w:val="0"/>
              <w:rPr>
                <w:rFonts w:ascii="Times New Roman"/>
                <w:sz w:val="21"/>
                <w:szCs w:val="21"/>
              </w:rPr>
            </w:pPr>
            <w:r>
              <w:rPr>
                <w:rFonts w:ascii="Times New Roman"/>
                <w:sz w:val="21"/>
                <w:szCs w:val="21"/>
              </w:rPr>
              <w:t>可测</w:t>
            </w:r>
          </w:p>
        </w:tc>
      </w:tr>
      <w:tr w14:paraId="68E7F8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55" w:type="pct"/>
            <w:vMerge w:val="continue"/>
            <w:tcBorders>
              <w:tl2br w:val="nil"/>
              <w:tr2bl w:val="nil"/>
            </w:tcBorders>
            <w:shd w:val="clear" w:color="auto" w:fill="auto"/>
            <w:vAlign w:val="center"/>
          </w:tcPr>
          <w:p w14:paraId="38FC9A1B">
            <w:pPr>
              <w:pStyle w:val="31"/>
              <w:widowControl w:val="0"/>
              <w:rPr>
                <w:rFonts w:ascii="Times New Roman"/>
                <w:sz w:val="21"/>
                <w:szCs w:val="21"/>
              </w:rPr>
            </w:pPr>
          </w:p>
        </w:tc>
        <w:tc>
          <w:tcPr>
            <w:tcW w:w="1525" w:type="pct"/>
            <w:tcBorders>
              <w:tl2br w:val="nil"/>
              <w:tr2bl w:val="nil"/>
            </w:tcBorders>
            <w:shd w:val="clear" w:color="auto" w:fill="auto"/>
            <w:vAlign w:val="center"/>
          </w:tcPr>
          <w:p w14:paraId="0FDC058B">
            <w:pPr>
              <w:pStyle w:val="31"/>
              <w:widowControl w:val="0"/>
              <w:rPr>
                <w:rFonts w:ascii="Times New Roman"/>
                <w:sz w:val="21"/>
                <w:szCs w:val="21"/>
              </w:rPr>
            </w:pPr>
            <w:r>
              <w:rPr>
                <w:rFonts w:ascii="Times New Roman"/>
                <w:sz w:val="21"/>
                <w:szCs w:val="21"/>
              </w:rPr>
              <w:t>裂缝</w:t>
            </w:r>
          </w:p>
        </w:tc>
        <w:tc>
          <w:tcPr>
            <w:tcW w:w="1138" w:type="pct"/>
            <w:tcBorders>
              <w:tl2br w:val="nil"/>
              <w:tr2bl w:val="nil"/>
            </w:tcBorders>
            <w:shd w:val="clear" w:color="auto" w:fill="auto"/>
            <w:vAlign w:val="center"/>
          </w:tcPr>
          <w:p w14:paraId="1FD1B204">
            <w:pPr>
              <w:pStyle w:val="31"/>
              <w:widowControl w:val="0"/>
              <w:rPr>
                <w:rFonts w:ascii="Times New Roman"/>
                <w:sz w:val="21"/>
                <w:szCs w:val="21"/>
              </w:rPr>
            </w:pPr>
            <w:r>
              <w:rPr>
                <w:rFonts w:ascii="Times New Roman"/>
                <w:sz w:val="21"/>
                <w:szCs w:val="21"/>
              </w:rPr>
              <w:t>应测</w:t>
            </w:r>
          </w:p>
        </w:tc>
        <w:tc>
          <w:tcPr>
            <w:tcW w:w="1280" w:type="pct"/>
            <w:tcBorders>
              <w:tl2br w:val="nil"/>
              <w:tr2bl w:val="nil"/>
            </w:tcBorders>
            <w:shd w:val="clear" w:color="auto" w:fill="auto"/>
            <w:vAlign w:val="center"/>
          </w:tcPr>
          <w:p w14:paraId="76058240">
            <w:pPr>
              <w:pStyle w:val="31"/>
              <w:widowControl w:val="0"/>
              <w:rPr>
                <w:rFonts w:ascii="Times New Roman"/>
                <w:sz w:val="21"/>
                <w:szCs w:val="21"/>
              </w:rPr>
            </w:pPr>
            <w:r>
              <w:rPr>
                <w:rFonts w:ascii="Times New Roman"/>
                <w:sz w:val="21"/>
                <w:szCs w:val="21"/>
              </w:rPr>
              <w:t>可测</w:t>
            </w:r>
          </w:p>
        </w:tc>
      </w:tr>
      <w:tr w14:paraId="43644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55" w:type="pct"/>
            <w:vMerge w:val="restart"/>
            <w:tcBorders>
              <w:tl2br w:val="nil"/>
              <w:tr2bl w:val="nil"/>
            </w:tcBorders>
            <w:shd w:val="clear" w:color="auto" w:fill="auto"/>
            <w:vAlign w:val="center"/>
          </w:tcPr>
          <w:p w14:paraId="6396249E">
            <w:pPr>
              <w:pStyle w:val="31"/>
              <w:widowControl w:val="0"/>
              <w:rPr>
                <w:rFonts w:ascii="Times New Roman"/>
                <w:sz w:val="21"/>
                <w:szCs w:val="21"/>
              </w:rPr>
            </w:pPr>
            <w:r>
              <w:rPr>
                <w:rFonts w:ascii="Times New Roman"/>
                <w:sz w:val="21"/>
                <w:szCs w:val="21"/>
              </w:rPr>
              <w:t>地下管线</w:t>
            </w:r>
          </w:p>
        </w:tc>
        <w:tc>
          <w:tcPr>
            <w:tcW w:w="1525" w:type="pct"/>
            <w:tcBorders>
              <w:tl2br w:val="nil"/>
              <w:tr2bl w:val="nil"/>
            </w:tcBorders>
            <w:shd w:val="clear" w:color="auto" w:fill="auto"/>
            <w:vAlign w:val="center"/>
          </w:tcPr>
          <w:p w14:paraId="70B54876">
            <w:pPr>
              <w:pStyle w:val="31"/>
              <w:widowControl w:val="0"/>
              <w:rPr>
                <w:rFonts w:ascii="Times New Roman"/>
                <w:sz w:val="21"/>
                <w:szCs w:val="21"/>
              </w:rPr>
            </w:pPr>
            <w:r>
              <w:rPr>
                <w:rFonts w:ascii="Times New Roman"/>
                <w:sz w:val="21"/>
                <w:szCs w:val="21"/>
              </w:rPr>
              <w:t>竖向位移</w:t>
            </w:r>
          </w:p>
        </w:tc>
        <w:tc>
          <w:tcPr>
            <w:tcW w:w="1138" w:type="pct"/>
            <w:tcBorders>
              <w:tl2br w:val="nil"/>
              <w:tr2bl w:val="nil"/>
            </w:tcBorders>
            <w:shd w:val="clear" w:color="auto" w:fill="auto"/>
            <w:vAlign w:val="center"/>
          </w:tcPr>
          <w:p w14:paraId="69085020">
            <w:pPr>
              <w:pStyle w:val="31"/>
              <w:widowControl w:val="0"/>
              <w:rPr>
                <w:rFonts w:ascii="Times New Roman"/>
                <w:sz w:val="21"/>
                <w:szCs w:val="21"/>
              </w:rPr>
            </w:pPr>
            <w:r>
              <w:rPr>
                <w:rFonts w:ascii="Times New Roman"/>
                <w:sz w:val="21"/>
                <w:szCs w:val="21"/>
              </w:rPr>
              <w:t>应测</w:t>
            </w:r>
          </w:p>
        </w:tc>
        <w:tc>
          <w:tcPr>
            <w:tcW w:w="1280" w:type="pct"/>
            <w:tcBorders>
              <w:tl2br w:val="nil"/>
              <w:tr2bl w:val="nil"/>
            </w:tcBorders>
            <w:shd w:val="clear" w:color="auto" w:fill="auto"/>
            <w:vAlign w:val="center"/>
          </w:tcPr>
          <w:p w14:paraId="48EBE2C9">
            <w:pPr>
              <w:pStyle w:val="31"/>
              <w:widowControl w:val="0"/>
              <w:rPr>
                <w:rFonts w:ascii="Times New Roman"/>
                <w:sz w:val="21"/>
                <w:szCs w:val="21"/>
              </w:rPr>
            </w:pPr>
            <w:r>
              <w:rPr>
                <w:rFonts w:ascii="Times New Roman"/>
                <w:sz w:val="21"/>
                <w:szCs w:val="21"/>
              </w:rPr>
              <w:t>宜测</w:t>
            </w:r>
          </w:p>
        </w:tc>
      </w:tr>
      <w:tr w14:paraId="0E277D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55" w:type="pct"/>
            <w:vMerge w:val="continue"/>
            <w:tcBorders>
              <w:tl2br w:val="nil"/>
              <w:tr2bl w:val="nil"/>
            </w:tcBorders>
            <w:shd w:val="clear" w:color="auto" w:fill="auto"/>
            <w:vAlign w:val="center"/>
          </w:tcPr>
          <w:p w14:paraId="561F04AF">
            <w:pPr>
              <w:pStyle w:val="31"/>
              <w:widowControl w:val="0"/>
              <w:rPr>
                <w:rFonts w:ascii="Times New Roman"/>
                <w:sz w:val="21"/>
                <w:szCs w:val="21"/>
              </w:rPr>
            </w:pPr>
          </w:p>
        </w:tc>
        <w:tc>
          <w:tcPr>
            <w:tcW w:w="1525" w:type="pct"/>
            <w:tcBorders>
              <w:tl2br w:val="nil"/>
              <w:tr2bl w:val="nil"/>
            </w:tcBorders>
            <w:shd w:val="clear" w:color="auto" w:fill="auto"/>
            <w:vAlign w:val="center"/>
          </w:tcPr>
          <w:p w14:paraId="7ECB84D1">
            <w:pPr>
              <w:pStyle w:val="31"/>
              <w:widowControl w:val="0"/>
              <w:rPr>
                <w:rFonts w:ascii="Times New Roman"/>
                <w:sz w:val="21"/>
                <w:szCs w:val="21"/>
              </w:rPr>
            </w:pPr>
            <w:r>
              <w:rPr>
                <w:rFonts w:ascii="Times New Roman"/>
                <w:sz w:val="21"/>
                <w:szCs w:val="21"/>
              </w:rPr>
              <w:t>水平位移</w:t>
            </w:r>
          </w:p>
        </w:tc>
        <w:tc>
          <w:tcPr>
            <w:tcW w:w="1138" w:type="pct"/>
            <w:tcBorders>
              <w:tl2br w:val="nil"/>
              <w:tr2bl w:val="nil"/>
            </w:tcBorders>
            <w:shd w:val="clear" w:color="auto" w:fill="auto"/>
            <w:vAlign w:val="center"/>
          </w:tcPr>
          <w:p w14:paraId="7CFFE49E">
            <w:pPr>
              <w:pStyle w:val="31"/>
              <w:widowControl w:val="0"/>
              <w:rPr>
                <w:rFonts w:ascii="Times New Roman"/>
                <w:sz w:val="21"/>
                <w:szCs w:val="21"/>
              </w:rPr>
            </w:pPr>
            <w:r>
              <w:rPr>
                <w:rFonts w:ascii="Times New Roman"/>
                <w:sz w:val="21"/>
                <w:szCs w:val="21"/>
              </w:rPr>
              <w:t>可测</w:t>
            </w:r>
          </w:p>
        </w:tc>
        <w:tc>
          <w:tcPr>
            <w:tcW w:w="1280" w:type="pct"/>
            <w:tcBorders>
              <w:tl2br w:val="nil"/>
              <w:tr2bl w:val="nil"/>
            </w:tcBorders>
            <w:shd w:val="clear" w:color="auto" w:fill="auto"/>
            <w:vAlign w:val="center"/>
          </w:tcPr>
          <w:p w14:paraId="6B74BEEB">
            <w:pPr>
              <w:pStyle w:val="31"/>
              <w:widowControl w:val="0"/>
              <w:rPr>
                <w:rFonts w:ascii="Times New Roman"/>
                <w:sz w:val="21"/>
                <w:szCs w:val="21"/>
              </w:rPr>
            </w:pPr>
            <w:r>
              <w:rPr>
                <w:rFonts w:ascii="Times New Roman"/>
                <w:sz w:val="21"/>
                <w:szCs w:val="21"/>
              </w:rPr>
              <w:t>可测</w:t>
            </w:r>
          </w:p>
        </w:tc>
      </w:tr>
      <w:tr w14:paraId="50DDF2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55" w:type="pct"/>
            <w:vMerge w:val="restart"/>
            <w:tcBorders>
              <w:tl2br w:val="nil"/>
              <w:tr2bl w:val="nil"/>
            </w:tcBorders>
            <w:shd w:val="clear" w:color="auto" w:fill="auto"/>
            <w:vAlign w:val="center"/>
          </w:tcPr>
          <w:p w14:paraId="197526A7">
            <w:pPr>
              <w:pStyle w:val="31"/>
              <w:widowControl w:val="0"/>
              <w:rPr>
                <w:rFonts w:ascii="Times New Roman"/>
                <w:sz w:val="21"/>
                <w:szCs w:val="21"/>
              </w:rPr>
            </w:pPr>
            <w:r>
              <w:rPr>
                <w:rFonts w:ascii="Times New Roman"/>
                <w:sz w:val="21"/>
                <w:szCs w:val="21"/>
              </w:rPr>
              <w:t>道路</w:t>
            </w:r>
          </w:p>
        </w:tc>
        <w:tc>
          <w:tcPr>
            <w:tcW w:w="1525" w:type="pct"/>
            <w:tcBorders>
              <w:tl2br w:val="nil"/>
              <w:tr2bl w:val="nil"/>
            </w:tcBorders>
            <w:shd w:val="clear" w:color="auto" w:fill="auto"/>
            <w:vAlign w:val="center"/>
          </w:tcPr>
          <w:p w14:paraId="2D19E812">
            <w:pPr>
              <w:pStyle w:val="31"/>
              <w:widowControl w:val="0"/>
              <w:rPr>
                <w:rFonts w:ascii="Times New Roman"/>
                <w:sz w:val="21"/>
                <w:szCs w:val="21"/>
              </w:rPr>
            </w:pPr>
            <w:r>
              <w:rPr>
                <w:rFonts w:ascii="Times New Roman"/>
                <w:sz w:val="21"/>
                <w:szCs w:val="21"/>
              </w:rPr>
              <w:t>差异沉降</w:t>
            </w:r>
          </w:p>
        </w:tc>
        <w:tc>
          <w:tcPr>
            <w:tcW w:w="1138" w:type="pct"/>
            <w:tcBorders>
              <w:tl2br w:val="nil"/>
              <w:tr2bl w:val="nil"/>
            </w:tcBorders>
            <w:shd w:val="clear" w:color="auto" w:fill="auto"/>
            <w:vAlign w:val="center"/>
          </w:tcPr>
          <w:p w14:paraId="0677EC60">
            <w:pPr>
              <w:pStyle w:val="31"/>
              <w:widowControl w:val="0"/>
              <w:rPr>
                <w:rFonts w:ascii="Times New Roman"/>
                <w:sz w:val="21"/>
                <w:szCs w:val="21"/>
              </w:rPr>
            </w:pPr>
            <w:r>
              <w:rPr>
                <w:rFonts w:ascii="Times New Roman"/>
                <w:sz w:val="21"/>
                <w:szCs w:val="21"/>
              </w:rPr>
              <w:t>应测</w:t>
            </w:r>
          </w:p>
        </w:tc>
        <w:tc>
          <w:tcPr>
            <w:tcW w:w="1280" w:type="pct"/>
            <w:tcBorders>
              <w:tl2br w:val="nil"/>
              <w:tr2bl w:val="nil"/>
            </w:tcBorders>
            <w:shd w:val="clear" w:color="auto" w:fill="auto"/>
            <w:vAlign w:val="center"/>
          </w:tcPr>
          <w:p w14:paraId="364D36BB">
            <w:pPr>
              <w:pStyle w:val="31"/>
              <w:widowControl w:val="0"/>
              <w:rPr>
                <w:rFonts w:ascii="Times New Roman"/>
                <w:sz w:val="21"/>
                <w:szCs w:val="21"/>
              </w:rPr>
            </w:pPr>
            <w:r>
              <w:rPr>
                <w:rFonts w:ascii="Times New Roman"/>
                <w:sz w:val="21"/>
                <w:szCs w:val="21"/>
              </w:rPr>
              <w:t>可测</w:t>
            </w:r>
          </w:p>
        </w:tc>
      </w:tr>
      <w:tr w14:paraId="30D5F6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55" w:type="pct"/>
            <w:vMerge w:val="continue"/>
            <w:tcBorders>
              <w:tl2br w:val="nil"/>
              <w:tr2bl w:val="nil"/>
            </w:tcBorders>
            <w:shd w:val="clear" w:color="auto" w:fill="auto"/>
            <w:vAlign w:val="center"/>
          </w:tcPr>
          <w:p w14:paraId="77BD1E20">
            <w:pPr>
              <w:pStyle w:val="31"/>
              <w:widowControl w:val="0"/>
              <w:rPr>
                <w:rFonts w:ascii="Times New Roman"/>
                <w:sz w:val="21"/>
                <w:szCs w:val="21"/>
              </w:rPr>
            </w:pPr>
          </w:p>
        </w:tc>
        <w:tc>
          <w:tcPr>
            <w:tcW w:w="1525" w:type="pct"/>
            <w:tcBorders>
              <w:tl2br w:val="nil"/>
              <w:tr2bl w:val="nil"/>
            </w:tcBorders>
            <w:shd w:val="clear" w:color="auto" w:fill="auto"/>
            <w:vAlign w:val="center"/>
          </w:tcPr>
          <w:p w14:paraId="5803F307">
            <w:pPr>
              <w:pStyle w:val="31"/>
              <w:widowControl w:val="0"/>
              <w:rPr>
                <w:rFonts w:ascii="Times New Roman"/>
                <w:sz w:val="21"/>
                <w:szCs w:val="21"/>
              </w:rPr>
            </w:pPr>
            <w:r>
              <w:rPr>
                <w:rFonts w:ascii="Times New Roman"/>
                <w:sz w:val="21"/>
                <w:szCs w:val="21"/>
              </w:rPr>
              <w:t>路面竖向位移</w:t>
            </w:r>
          </w:p>
        </w:tc>
        <w:tc>
          <w:tcPr>
            <w:tcW w:w="1138" w:type="pct"/>
            <w:tcBorders>
              <w:tl2br w:val="nil"/>
              <w:tr2bl w:val="nil"/>
            </w:tcBorders>
            <w:shd w:val="clear" w:color="auto" w:fill="auto"/>
            <w:vAlign w:val="center"/>
          </w:tcPr>
          <w:p w14:paraId="099E8A27">
            <w:pPr>
              <w:pStyle w:val="31"/>
              <w:widowControl w:val="0"/>
              <w:rPr>
                <w:rFonts w:ascii="Times New Roman"/>
                <w:sz w:val="21"/>
                <w:szCs w:val="21"/>
              </w:rPr>
            </w:pPr>
            <w:r>
              <w:rPr>
                <w:rFonts w:ascii="Times New Roman"/>
                <w:sz w:val="21"/>
                <w:szCs w:val="21"/>
              </w:rPr>
              <w:t>应测</w:t>
            </w:r>
          </w:p>
        </w:tc>
        <w:tc>
          <w:tcPr>
            <w:tcW w:w="1280" w:type="pct"/>
            <w:tcBorders>
              <w:tl2br w:val="nil"/>
              <w:tr2bl w:val="nil"/>
            </w:tcBorders>
            <w:shd w:val="clear" w:color="auto" w:fill="auto"/>
            <w:vAlign w:val="center"/>
          </w:tcPr>
          <w:p w14:paraId="5F8E9D26">
            <w:pPr>
              <w:pStyle w:val="31"/>
              <w:widowControl w:val="0"/>
              <w:rPr>
                <w:rFonts w:ascii="Times New Roman"/>
                <w:sz w:val="21"/>
                <w:szCs w:val="21"/>
              </w:rPr>
            </w:pPr>
            <w:r>
              <w:rPr>
                <w:rFonts w:ascii="Times New Roman"/>
                <w:sz w:val="21"/>
                <w:szCs w:val="21"/>
              </w:rPr>
              <w:t>可测</w:t>
            </w:r>
          </w:p>
        </w:tc>
      </w:tr>
      <w:tr w14:paraId="2A9659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55" w:type="pct"/>
            <w:vMerge w:val="restart"/>
            <w:tcBorders>
              <w:tl2br w:val="nil"/>
              <w:tr2bl w:val="nil"/>
            </w:tcBorders>
            <w:shd w:val="clear" w:color="auto" w:fill="auto"/>
            <w:vAlign w:val="center"/>
          </w:tcPr>
          <w:p w14:paraId="29A6D157">
            <w:pPr>
              <w:pStyle w:val="31"/>
              <w:widowControl w:val="0"/>
              <w:rPr>
                <w:rFonts w:ascii="Times New Roman"/>
                <w:sz w:val="21"/>
                <w:szCs w:val="21"/>
              </w:rPr>
            </w:pPr>
            <w:r>
              <w:rPr>
                <w:rFonts w:ascii="Times New Roman"/>
                <w:sz w:val="21"/>
                <w:szCs w:val="21"/>
              </w:rPr>
              <w:t>桥梁</w:t>
            </w:r>
          </w:p>
        </w:tc>
        <w:tc>
          <w:tcPr>
            <w:tcW w:w="1525" w:type="pct"/>
            <w:tcBorders>
              <w:tl2br w:val="nil"/>
              <w:tr2bl w:val="nil"/>
            </w:tcBorders>
            <w:shd w:val="clear" w:color="auto" w:fill="auto"/>
            <w:vAlign w:val="center"/>
          </w:tcPr>
          <w:p w14:paraId="08FB7D85">
            <w:pPr>
              <w:pStyle w:val="31"/>
              <w:widowControl w:val="0"/>
              <w:rPr>
                <w:rFonts w:ascii="Times New Roman"/>
                <w:sz w:val="21"/>
                <w:szCs w:val="21"/>
              </w:rPr>
            </w:pPr>
            <w:r>
              <w:rPr>
                <w:rFonts w:ascii="Times New Roman"/>
                <w:sz w:val="21"/>
                <w:szCs w:val="21"/>
              </w:rPr>
              <w:t>墩台竖向位移</w:t>
            </w:r>
          </w:p>
        </w:tc>
        <w:tc>
          <w:tcPr>
            <w:tcW w:w="1138" w:type="pct"/>
            <w:tcBorders>
              <w:tl2br w:val="nil"/>
              <w:tr2bl w:val="nil"/>
            </w:tcBorders>
            <w:shd w:val="clear" w:color="auto" w:fill="auto"/>
            <w:vAlign w:val="center"/>
          </w:tcPr>
          <w:p w14:paraId="15F787A7">
            <w:pPr>
              <w:pStyle w:val="31"/>
              <w:widowControl w:val="0"/>
              <w:rPr>
                <w:rFonts w:ascii="Times New Roman"/>
                <w:sz w:val="21"/>
                <w:szCs w:val="21"/>
              </w:rPr>
            </w:pPr>
            <w:r>
              <w:rPr>
                <w:rFonts w:ascii="Times New Roman"/>
                <w:sz w:val="21"/>
                <w:szCs w:val="21"/>
              </w:rPr>
              <w:t>应测</w:t>
            </w:r>
          </w:p>
        </w:tc>
        <w:tc>
          <w:tcPr>
            <w:tcW w:w="1280" w:type="pct"/>
            <w:tcBorders>
              <w:tl2br w:val="nil"/>
              <w:tr2bl w:val="nil"/>
            </w:tcBorders>
            <w:shd w:val="clear" w:color="auto" w:fill="auto"/>
            <w:vAlign w:val="center"/>
          </w:tcPr>
          <w:p w14:paraId="3CD73D38">
            <w:pPr>
              <w:pStyle w:val="31"/>
              <w:widowControl w:val="0"/>
              <w:rPr>
                <w:rFonts w:ascii="Times New Roman"/>
                <w:sz w:val="21"/>
                <w:szCs w:val="21"/>
              </w:rPr>
            </w:pPr>
            <w:r>
              <w:rPr>
                <w:rFonts w:ascii="Times New Roman"/>
                <w:sz w:val="21"/>
                <w:szCs w:val="21"/>
              </w:rPr>
              <w:t>应测</w:t>
            </w:r>
          </w:p>
        </w:tc>
      </w:tr>
      <w:tr w14:paraId="06301D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55" w:type="pct"/>
            <w:vMerge w:val="continue"/>
            <w:tcBorders>
              <w:tl2br w:val="nil"/>
              <w:tr2bl w:val="nil"/>
            </w:tcBorders>
            <w:shd w:val="clear" w:color="auto" w:fill="auto"/>
            <w:vAlign w:val="center"/>
          </w:tcPr>
          <w:p w14:paraId="28A3A3DE">
            <w:pPr>
              <w:pStyle w:val="31"/>
              <w:widowControl w:val="0"/>
              <w:rPr>
                <w:rFonts w:ascii="Times New Roman"/>
                <w:sz w:val="21"/>
                <w:szCs w:val="21"/>
              </w:rPr>
            </w:pPr>
          </w:p>
        </w:tc>
        <w:tc>
          <w:tcPr>
            <w:tcW w:w="1525" w:type="pct"/>
            <w:tcBorders>
              <w:tl2br w:val="nil"/>
              <w:tr2bl w:val="nil"/>
            </w:tcBorders>
            <w:shd w:val="clear" w:color="auto" w:fill="auto"/>
            <w:vAlign w:val="center"/>
          </w:tcPr>
          <w:p w14:paraId="7AAED49A">
            <w:pPr>
              <w:pStyle w:val="31"/>
              <w:widowControl w:val="0"/>
              <w:rPr>
                <w:rFonts w:ascii="Times New Roman"/>
                <w:sz w:val="21"/>
                <w:szCs w:val="21"/>
              </w:rPr>
            </w:pPr>
            <w:r>
              <w:rPr>
                <w:rFonts w:ascii="Times New Roman"/>
                <w:sz w:val="21"/>
                <w:szCs w:val="21"/>
              </w:rPr>
              <w:t>墩台差异沉降</w:t>
            </w:r>
          </w:p>
        </w:tc>
        <w:tc>
          <w:tcPr>
            <w:tcW w:w="1138" w:type="pct"/>
            <w:tcBorders>
              <w:tl2br w:val="nil"/>
              <w:tr2bl w:val="nil"/>
            </w:tcBorders>
            <w:shd w:val="clear" w:color="auto" w:fill="auto"/>
            <w:vAlign w:val="center"/>
          </w:tcPr>
          <w:p w14:paraId="5E6D7FF4">
            <w:pPr>
              <w:pStyle w:val="31"/>
              <w:widowControl w:val="0"/>
              <w:rPr>
                <w:rFonts w:ascii="Times New Roman"/>
                <w:sz w:val="21"/>
                <w:szCs w:val="21"/>
              </w:rPr>
            </w:pPr>
            <w:r>
              <w:rPr>
                <w:rFonts w:ascii="Times New Roman"/>
                <w:sz w:val="21"/>
                <w:szCs w:val="21"/>
              </w:rPr>
              <w:t>应测</w:t>
            </w:r>
          </w:p>
        </w:tc>
        <w:tc>
          <w:tcPr>
            <w:tcW w:w="1280" w:type="pct"/>
            <w:tcBorders>
              <w:tl2br w:val="nil"/>
              <w:tr2bl w:val="nil"/>
            </w:tcBorders>
            <w:shd w:val="clear" w:color="auto" w:fill="auto"/>
            <w:vAlign w:val="center"/>
          </w:tcPr>
          <w:p w14:paraId="009947DE">
            <w:pPr>
              <w:pStyle w:val="31"/>
              <w:widowControl w:val="0"/>
              <w:rPr>
                <w:rFonts w:ascii="Times New Roman"/>
                <w:sz w:val="21"/>
                <w:szCs w:val="21"/>
              </w:rPr>
            </w:pPr>
            <w:r>
              <w:rPr>
                <w:rFonts w:ascii="Times New Roman"/>
                <w:sz w:val="21"/>
                <w:szCs w:val="21"/>
              </w:rPr>
              <w:t>应测</w:t>
            </w:r>
          </w:p>
        </w:tc>
      </w:tr>
      <w:tr w14:paraId="3CC045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55" w:type="pct"/>
            <w:vMerge w:val="continue"/>
            <w:tcBorders>
              <w:tl2br w:val="nil"/>
              <w:tr2bl w:val="nil"/>
            </w:tcBorders>
            <w:shd w:val="clear" w:color="auto" w:fill="auto"/>
            <w:vAlign w:val="center"/>
          </w:tcPr>
          <w:p w14:paraId="0FBCF515">
            <w:pPr>
              <w:pStyle w:val="31"/>
              <w:widowControl w:val="0"/>
              <w:rPr>
                <w:rFonts w:ascii="Times New Roman"/>
                <w:sz w:val="21"/>
                <w:szCs w:val="21"/>
              </w:rPr>
            </w:pPr>
          </w:p>
        </w:tc>
        <w:tc>
          <w:tcPr>
            <w:tcW w:w="1525" w:type="pct"/>
            <w:tcBorders>
              <w:tl2br w:val="nil"/>
              <w:tr2bl w:val="nil"/>
            </w:tcBorders>
            <w:shd w:val="clear" w:color="auto" w:fill="auto"/>
            <w:vAlign w:val="center"/>
          </w:tcPr>
          <w:p w14:paraId="67279E72">
            <w:pPr>
              <w:pStyle w:val="31"/>
              <w:widowControl w:val="0"/>
              <w:rPr>
                <w:rFonts w:ascii="Times New Roman"/>
                <w:sz w:val="21"/>
                <w:szCs w:val="21"/>
              </w:rPr>
            </w:pPr>
            <w:r>
              <w:rPr>
                <w:rFonts w:ascii="Times New Roman"/>
                <w:sz w:val="21"/>
                <w:szCs w:val="21"/>
              </w:rPr>
              <w:t>墩柱倾斜</w:t>
            </w:r>
          </w:p>
        </w:tc>
        <w:tc>
          <w:tcPr>
            <w:tcW w:w="1138" w:type="pct"/>
            <w:tcBorders>
              <w:tl2br w:val="nil"/>
              <w:tr2bl w:val="nil"/>
            </w:tcBorders>
            <w:shd w:val="clear" w:color="auto" w:fill="auto"/>
            <w:vAlign w:val="center"/>
          </w:tcPr>
          <w:p w14:paraId="74FC4645">
            <w:pPr>
              <w:pStyle w:val="31"/>
              <w:widowControl w:val="0"/>
              <w:rPr>
                <w:rFonts w:ascii="Times New Roman"/>
                <w:sz w:val="21"/>
                <w:szCs w:val="21"/>
              </w:rPr>
            </w:pPr>
            <w:r>
              <w:rPr>
                <w:rFonts w:ascii="Times New Roman"/>
                <w:sz w:val="21"/>
                <w:szCs w:val="21"/>
              </w:rPr>
              <w:t>应测</w:t>
            </w:r>
          </w:p>
        </w:tc>
        <w:tc>
          <w:tcPr>
            <w:tcW w:w="1280" w:type="pct"/>
            <w:tcBorders>
              <w:tl2br w:val="nil"/>
              <w:tr2bl w:val="nil"/>
            </w:tcBorders>
            <w:shd w:val="clear" w:color="auto" w:fill="auto"/>
            <w:vAlign w:val="center"/>
          </w:tcPr>
          <w:p w14:paraId="16167569">
            <w:pPr>
              <w:pStyle w:val="31"/>
              <w:widowControl w:val="0"/>
              <w:rPr>
                <w:rFonts w:ascii="Times New Roman"/>
                <w:sz w:val="21"/>
                <w:szCs w:val="21"/>
              </w:rPr>
            </w:pPr>
            <w:r>
              <w:rPr>
                <w:rFonts w:ascii="Times New Roman"/>
                <w:sz w:val="21"/>
                <w:szCs w:val="21"/>
              </w:rPr>
              <w:t>应测</w:t>
            </w:r>
          </w:p>
        </w:tc>
      </w:tr>
      <w:tr w14:paraId="38984B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55" w:type="pct"/>
            <w:vMerge w:val="restart"/>
            <w:tcBorders>
              <w:tl2br w:val="nil"/>
              <w:tr2bl w:val="nil"/>
            </w:tcBorders>
            <w:shd w:val="clear" w:color="auto" w:fill="auto"/>
            <w:vAlign w:val="center"/>
          </w:tcPr>
          <w:p w14:paraId="46C7C188">
            <w:pPr>
              <w:pStyle w:val="31"/>
              <w:widowControl w:val="0"/>
              <w:rPr>
                <w:rFonts w:ascii="Times New Roman"/>
                <w:sz w:val="21"/>
                <w:szCs w:val="21"/>
              </w:rPr>
            </w:pPr>
            <w:r>
              <w:rPr>
                <w:rFonts w:ascii="Times New Roman"/>
                <w:sz w:val="21"/>
                <w:szCs w:val="21"/>
              </w:rPr>
              <w:t>城市轨道交通</w:t>
            </w:r>
          </w:p>
        </w:tc>
        <w:tc>
          <w:tcPr>
            <w:tcW w:w="1525" w:type="pct"/>
            <w:tcBorders>
              <w:tl2br w:val="nil"/>
              <w:tr2bl w:val="nil"/>
            </w:tcBorders>
            <w:shd w:val="clear" w:color="auto" w:fill="auto"/>
            <w:vAlign w:val="center"/>
          </w:tcPr>
          <w:p w14:paraId="445A7F53">
            <w:pPr>
              <w:pStyle w:val="31"/>
              <w:widowControl w:val="0"/>
              <w:rPr>
                <w:rFonts w:ascii="Times New Roman"/>
                <w:sz w:val="21"/>
                <w:szCs w:val="21"/>
              </w:rPr>
            </w:pPr>
            <w:r>
              <w:rPr>
                <w:rFonts w:ascii="Times New Roman"/>
                <w:sz w:val="21"/>
                <w:szCs w:val="21"/>
              </w:rPr>
              <w:t>裂缝</w:t>
            </w:r>
          </w:p>
        </w:tc>
        <w:tc>
          <w:tcPr>
            <w:tcW w:w="1138" w:type="pct"/>
            <w:tcBorders>
              <w:tl2br w:val="nil"/>
              <w:tr2bl w:val="nil"/>
            </w:tcBorders>
            <w:shd w:val="clear" w:color="auto" w:fill="auto"/>
            <w:vAlign w:val="center"/>
          </w:tcPr>
          <w:p w14:paraId="4F000DDC">
            <w:pPr>
              <w:pStyle w:val="31"/>
              <w:widowControl w:val="0"/>
              <w:rPr>
                <w:rFonts w:ascii="Times New Roman"/>
                <w:sz w:val="21"/>
                <w:szCs w:val="21"/>
              </w:rPr>
            </w:pPr>
            <w:r>
              <w:rPr>
                <w:rFonts w:ascii="Times New Roman"/>
                <w:sz w:val="21"/>
                <w:szCs w:val="21"/>
              </w:rPr>
              <w:t>应测</w:t>
            </w:r>
          </w:p>
        </w:tc>
        <w:tc>
          <w:tcPr>
            <w:tcW w:w="1280" w:type="pct"/>
            <w:tcBorders>
              <w:tl2br w:val="nil"/>
              <w:tr2bl w:val="nil"/>
            </w:tcBorders>
            <w:shd w:val="clear" w:color="auto" w:fill="auto"/>
            <w:vAlign w:val="center"/>
          </w:tcPr>
          <w:p w14:paraId="2B2123E0">
            <w:pPr>
              <w:pStyle w:val="31"/>
              <w:widowControl w:val="0"/>
              <w:rPr>
                <w:rFonts w:ascii="Times New Roman"/>
                <w:sz w:val="21"/>
                <w:szCs w:val="21"/>
              </w:rPr>
            </w:pPr>
            <w:r>
              <w:rPr>
                <w:rFonts w:ascii="Times New Roman"/>
                <w:sz w:val="21"/>
                <w:szCs w:val="21"/>
              </w:rPr>
              <w:t>可测</w:t>
            </w:r>
          </w:p>
        </w:tc>
      </w:tr>
      <w:tr w14:paraId="350DB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55" w:type="pct"/>
            <w:vMerge w:val="continue"/>
            <w:tcBorders>
              <w:tl2br w:val="nil"/>
              <w:tr2bl w:val="nil"/>
            </w:tcBorders>
            <w:shd w:val="clear" w:color="auto" w:fill="auto"/>
            <w:vAlign w:val="center"/>
          </w:tcPr>
          <w:p w14:paraId="7CEA5305">
            <w:pPr>
              <w:pStyle w:val="31"/>
              <w:widowControl w:val="0"/>
              <w:rPr>
                <w:rFonts w:ascii="Times New Roman"/>
                <w:sz w:val="21"/>
                <w:szCs w:val="21"/>
              </w:rPr>
            </w:pPr>
          </w:p>
        </w:tc>
        <w:tc>
          <w:tcPr>
            <w:tcW w:w="1525" w:type="pct"/>
            <w:tcBorders>
              <w:tl2br w:val="nil"/>
              <w:tr2bl w:val="nil"/>
            </w:tcBorders>
            <w:shd w:val="clear" w:color="auto" w:fill="auto"/>
            <w:vAlign w:val="center"/>
          </w:tcPr>
          <w:p w14:paraId="06913424">
            <w:pPr>
              <w:pStyle w:val="31"/>
              <w:widowControl w:val="0"/>
              <w:rPr>
                <w:rFonts w:ascii="Times New Roman"/>
                <w:sz w:val="21"/>
                <w:szCs w:val="21"/>
              </w:rPr>
            </w:pPr>
            <w:r>
              <w:rPr>
                <w:rFonts w:ascii="Times New Roman"/>
                <w:sz w:val="21"/>
                <w:szCs w:val="21"/>
              </w:rPr>
              <w:t>隧道结构竖向位移</w:t>
            </w:r>
          </w:p>
        </w:tc>
        <w:tc>
          <w:tcPr>
            <w:tcW w:w="1138" w:type="pct"/>
            <w:tcBorders>
              <w:tl2br w:val="nil"/>
              <w:tr2bl w:val="nil"/>
            </w:tcBorders>
            <w:shd w:val="clear" w:color="auto" w:fill="auto"/>
            <w:vAlign w:val="center"/>
          </w:tcPr>
          <w:p w14:paraId="49DE029B">
            <w:pPr>
              <w:pStyle w:val="31"/>
              <w:widowControl w:val="0"/>
              <w:rPr>
                <w:rFonts w:ascii="Times New Roman"/>
                <w:sz w:val="21"/>
                <w:szCs w:val="21"/>
              </w:rPr>
            </w:pPr>
            <w:r>
              <w:rPr>
                <w:rFonts w:ascii="Times New Roman"/>
                <w:sz w:val="21"/>
                <w:szCs w:val="21"/>
              </w:rPr>
              <w:t>应测</w:t>
            </w:r>
          </w:p>
        </w:tc>
        <w:tc>
          <w:tcPr>
            <w:tcW w:w="1280" w:type="pct"/>
            <w:tcBorders>
              <w:tl2br w:val="nil"/>
              <w:tr2bl w:val="nil"/>
            </w:tcBorders>
            <w:shd w:val="clear" w:color="auto" w:fill="auto"/>
            <w:vAlign w:val="center"/>
          </w:tcPr>
          <w:p w14:paraId="73BAACCE">
            <w:pPr>
              <w:pStyle w:val="31"/>
              <w:widowControl w:val="0"/>
              <w:rPr>
                <w:rFonts w:ascii="Times New Roman"/>
                <w:sz w:val="21"/>
                <w:szCs w:val="21"/>
              </w:rPr>
            </w:pPr>
            <w:r>
              <w:rPr>
                <w:rFonts w:ascii="Times New Roman"/>
                <w:sz w:val="21"/>
                <w:szCs w:val="21"/>
              </w:rPr>
              <w:t>应测</w:t>
            </w:r>
          </w:p>
        </w:tc>
      </w:tr>
      <w:tr w14:paraId="60D766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55" w:type="pct"/>
            <w:vMerge w:val="continue"/>
            <w:tcBorders>
              <w:tl2br w:val="nil"/>
              <w:tr2bl w:val="nil"/>
            </w:tcBorders>
            <w:shd w:val="clear" w:color="auto" w:fill="auto"/>
            <w:vAlign w:val="center"/>
          </w:tcPr>
          <w:p w14:paraId="5939FAA6">
            <w:pPr>
              <w:pStyle w:val="31"/>
              <w:widowControl w:val="0"/>
              <w:rPr>
                <w:rFonts w:ascii="Times New Roman"/>
                <w:sz w:val="21"/>
                <w:szCs w:val="21"/>
              </w:rPr>
            </w:pPr>
          </w:p>
        </w:tc>
        <w:tc>
          <w:tcPr>
            <w:tcW w:w="1525" w:type="pct"/>
            <w:tcBorders>
              <w:tl2br w:val="nil"/>
              <w:tr2bl w:val="nil"/>
            </w:tcBorders>
            <w:shd w:val="clear" w:color="auto" w:fill="auto"/>
            <w:vAlign w:val="center"/>
          </w:tcPr>
          <w:p w14:paraId="40DBEAD8">
            <w:pPr>
              <w:pStyle w:val="31"/>
              <w:widowControl w:val="0"/>
              <w:rPr>
                <w:rFonts w:ascii="Times New Roman"/>
                <w:sz w:val="21"/>
                <w:szCs w:val="21"/>
              </w:rPr>
            </w:pPr>
            <w:r>
              <w:rPr>
                <w:rFonts w:ascii="Times New Roman"/>
                <w:sz w:val="21"/>
                <w:szCs w:val="21"/>
              </w:rPr>
              <w:t>隧道结构水平位移</w:t>
            </w:r>
          </w:p>
        </w:tc>
        <w:tc>
          <w:tcPr>
            <w:tcW w:w="1138" w:type="pct"/>
            <w:tcBorders>
              <w:tl2br w:val="nil"/>
              <w:tr2bl w:val="nil"/>
            </w:tcBorders>
            <w:shd w:val="clear" w:color="auto" w:fill="auto"/>
            <w:vAlign w:val="center"/>
          </w:tcPr>
          <w:p w14:paraId="3E4EAC82">
            <w:pPr>
              <w:pStyle w:val="31"/>
              <w:widowControl w:val="0"/>
              <w:rPr>
                <w:rFonts w:ascii="Times New Roman"/>
                <w:sz w:val="21"/>
                <w:szCs w:val="21"/>
              </w:rPr>
            </w:pPr>
            <w:r>
              <w:rPr>
                <w:rFonts w:ascii="Times New Roman"/>
                <w:sz w:val="21"/>
                <w:szCs w:val="21"/>
              </w:rPr>
              <w:t>应测</w:t>
            </w:r>
          </w:p>
        </w:tc>
        <w:tc>
          <w:tcPr>
            <w:tcW w:w="1280" w:type="pct"/>
            <w:tcBorders>
              <w:tl2br w:val="nil"/>
              <w:tr2bl w:val="nil"/>
            </w:tcBorders>
            <w:shd w:val="clear" w:color="auto" w:fill="auto"/>
            <w:vAlign w:val="center"/>
          </w:tcPr>
          <w:p w14:paraId="5B50695B">
            <w:pPr>
              <w:pStyle w:val="31"/>
              <w:widowControl w:val="0"/>
              <w:rPr>
                <w:rFonts w:ascii="Times New Roman"/>
                <w:sz w:val="21"/>
                <w:szCs w:val="21"/>
              </w:rPr>
            </w:pPr>
            <w:r>
              <w:rPr>
                <w:rFonts w:ascii="Times New Roman"/>
                <w:sz w:val="21"/>
                <w:szCs w:val="21"/>
              </w:rPr>
              <w:t>可测</w:t>
            </w:r>
          </w:p>
        </w:tc>
      </w:tr>
      <w:tr w14:paraId="34851C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55" w:type="pct"/>
            <w:vMerge w:val="continue"/>
            <w:tcBorders>
              <w:tl2br w:val="nil"/>
              <w:tr2bl w:val="nil"/>
            </w:tcBorders>
            <w:shd w:val="clear" w:color="auto" w:fill="auto"/>
            <w:vAlign w:val="center"/>
          </w:tcPr>
          <w:p w14:paraId="4E22D13E">
            <w:pPr>
              <w:pStyle w:val="31"/>
              <w:widowControl w:val="0"/>
              <w:rPr>
                <w:rFonts w:ascii="Times New Roman"/>
                <w:sz w:val="21"/>
                <w:szCs w:val="21"/>
              </w:rPr>
            </w:pPr>
          </w:p>
        </w:tc>
        <w:tc>
          <w:tcPr>
            <w:tcW w:w="1525" w:type="pct"/>
            <w:tcBorders>
              <w:tl2br w:val="nil"/>
              <w:tr2bl w:val="nil"/>
            </w:tcBorders>
            <w:shd w:val="clear" w:color="auto" w:fill="auto"/>
            <w:vAlign w:val="center"/>
          </w:tcPr>
          <w:p w14:paraId="4A093F60">
            <w:pPr>
              <w:pStyle w:val="31"/>
              <w:widowControl w:val="0"/>
              <w:rPr>
                <w:rFonts w:ascii="Times New Roman"/>
                <w:sz w:val="21"/>
                <w:szCs w:val="21"/>
              </w:rPr>
            </w:pPr>
            <w:r>
              <w:rPr>
                <w:rFonts w:ascii="Times New Roman"/>
                <w:sz w:val="21"/>
                <w:szCs w:val="21"/>
              </w:rPr>
              <w:t>隧道结构净空收敛</w:t>
            </w:r>
          </w:p>
        </w:tc>
        <w:tc>
          <w:tcPr>
            <w:tcW w:w="1138" w:type="pct"/>
            <w:tcBorders>
              <w:tl2br w:val="nil"/>
              <w:tr2bl w:val="nil"/>
            </w:tcBorders>
            <w:shd w:val="clear" w:color="auto" w:fill="auto"/>
            <w:vAlign w:val="center"/>
          </w:tcPr>
          <w:p w14:paraId="3C3F0A9F">
            <w:pPr>
              <w:pStyle w:val="31"/>
              <w:widowControl w:val="0"/>
              <w:rPr>
                <w:rFonts w:ascii="Times New Roman"/>
                <w:sz w:val="21"/>
                <w:szCs w:val="21"/>
              </w:rPr>
            </w:pPr>
            <w:r>
              <w:rPr>
                <w:rFonts w:ascii="Times New Roman"/>
                <w:sz w:val="21"/>
                <w:szCs w:val="21"/>
              </w:rPr>
              <w:t>宜测</w:t>
            </w:r>
          </w:p>
        </w:tc>
        <w:tc>
          <w:tcPr>
            <w:tcW w:w="1280" w:type="pct"/>
            <w:tcBorders>
              <w:tl2br w:val="nil"/>
              <w:tr2bl w:val="nil"/>
            </w:tcBorders>
            <w:shd w:val="clear" w:color="auto" w:fill="auto"/>
            <w:vAlign w:val="center"/>
          </w:tcPr>
          <w:p w14:paraId="37F9AF49">
            <w:pPr>
              <w:pStyle w:val="31"/>
              <w:widowControl w:val="0"/>
              <w:rPr>
                <w:rFonts w:ascii="Times New Roman"/>
                <w:sz w:val="21"/>
                <w:szCs w:val="21"/>
              </w:rPr>
            </w:pPr>
            <w:r>
              <w:rPr>
                <w:rFonts w:ascii="Times New Roman"/>
                <w:sz w:val="21"/>
                <w:szCs w:val="21"/>
              </w:rPr>
              <w:t>可测</w:t>
            </w:r>
          </w:p>
        </w:tc>
      </w:tr>
      <w:tr w14:paraId="3D4EA2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55" w:type="pct"/>
            <w:vMerge w:val="continue"/>
            <w:tcBorders>
              <w:tl2br w:val="nil"/>
              <w:tr2bl w:val="nil"/>
            </w:tcBorders>
            <w:shd w:val="clear" w:color="auto" w:fill="auto"/>
            <w:vAlign w:val="center"/>
          </w:tcPr>
          <w:p w14:paraId="787C27A5">
            <w:pPr>
              <w:pStyle w:val="31"/>
              <w:widowControl w:val="0"/>
              <w:rPr>
                <w:rFonts w:ascii="Times New Roman"/>
                <w:sz w:val="21"/>
                <w:szCs w:val="21"/>
              </w:rPr>
            </w:pPr>
          </w:p>
        </w:tc>
        <w:tc>
          <w:tcPr>
            <w:tcW w:w="1525" w:type="pct"/>
            <w:tcBorders>
              <w:tl2br w:val="nil"/>
              <w:tr2bl w:val="nil"/>
            </w:tcBorders>
            <w:shd w:val="clear" w:color="auto" w:fill="auto"/>
            <w:vAlign w:val="center"/>
          </w:tcPr>
          <w:p w14:paraId="11145437">
            <w:pPr>
              <w:pStyle w:val="31"/>
              <w:widowControl w:val="0"/>
              <w:rPr>
                <w:rFonts w:ascii="Times New Roman"/>
                <w:sz w:val="21"/>
                <w:szCs w:val="21"/>
              </w:rPr>
            </w:pPr>
            <w:r>
              <w:rPr>
                <w:rFonts w:ascii="Times New Roman"/>
                <w:sz w:val="21"/>
                <w:szCs w:val="21"/>
              </w:rPr>
              <w:t>隧道结构变形缝差异沉沉降</w:t>
            </w:r>
          </w:p>
        </w:tc>
        <w:tc>
          <w:tcPr>
            <w:tcW w:w="1138" w:type="pct"/>
            <w:tcBorders>
              <w:tl2br w:val="nil"/>
              <w:tr2bl w:val="nil"/>
            </w:tcBorders>
            <w:shd w:val="clear" w:color="auto" w:fill="auto"/>
            <w:vAlign w:val="center"/>
          </w:tcPr>
          <w:p w14:paraId="444E9845">
            <w:pPr>
              <w:pStyle w:val="31"/>
              <w:widowControl w:val="0"/>
              <w:rPr>
                <w:rFonts w:ascii="Times New Roman"/>
                <w:sz w:val="21"/>
                <w:szCs w:val="21"/>
              </w:rPr>
            </w:pPr>
            <w:r>
              <w:rPr>
                <w:rFonts w:ascii="Times New Roman"/>
                <w:sz w:val="21"/>
                <w:szCs w:val="21"/>
              </w:rPr>
              <w:t>应测</w:t>
            </w:r>
          </w:p>
        </w:tc>
        <w:tc>
          <w:tcPr>
            <w:tcW w:w="1280" w:type="pct"/>
            <w:tcBorders>
              <w:tl2br w:val="nil"/>
              <w:tr2bl w:val="nil"/>
            </w:tcBorders>
            <w:shd w:val="clear" w:color="auto" w:fill="auto"/>
            <w:vAlign w:val="center"/>
          </w:tcPr>
          <w:p w14:paraId="43157CD0">
            <w:pPr>
              <w:pStyle w:val="31"/>
              <w:widowControl w:val="0"/>
              <w:rPr>
                <w:rFonts w:ascii="Times New Roman"/>
                <w:sz w:val="21"/>
                <w:szCs w:val="21"/>
              </w:rPr>
            </w:pPr>
            <w:r>
              <w:rPr>
                <w:rFonts w:ascii="Times New Roman"/>
                <w:sz w:val="21"/>
                <w:szCs w:val="21"/>
              </w:rPr>
              <w:t>应测</w:t>
            </w:r>
          </w:p>
        </w:tc>
      </w:tr>
      <w:tr w14:paraId="4D66AC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55" w:type="pct"/>
            <w:vMerge w:val="continue"/>
            <w:tcBorders>
              <w:tl2br w:val="nil"/>
              <w:tr2bl w:val="nil"/>
            </w:tcBorders>
            <w:shd w:val="clear" w:color="auto" w:fill="auto"/>
            <w:vAlign w:val="center"/>
          </w:tcPr>
          <w:p w14:paraId="47D87F1E">
            <w:pPr>
              <w:pStyle w:val="31"/>
              <w:widowControl w:val="0"/>
              <w:rPr>
                <w:rFonts w:ascii="Times New Roman"/>
                <w:sz w:val="21"/>
                <w:szCs w:val="21"/>
              </w:rPr>
            </w:pPr>
          </w:p>
        </w:tc>
        <w:tc>
          <w:tcPr>
            <w:tcW w:w="1525" w:type="pct"/>
            <w:tcBorders>
              <w:tl2br w:val="nil"/>
              <w:tr2bl w:val="nil"/>
            </w:tcBorders>
            <w:shd w:val="clear" w:color="auto" w:fill="auto"/>
            <w:vAlign w:val="center"/>
          </w:tcPr>
          <w:p w14:paraId="4AE8D37D">
            <w:pPr>
              <w:pStyle w:val="31"/>
              <w:widowControl w:val="0"/>
              <w:rPr>
                <w:rFonts w:ascii="Times New Roman"/>
                <w:sz w:val="21"/>
                <w:szCs w:val="21"/>
              </w:rPr>
            </w:pPr>
            <w:r>
              <w:rPr>
                <w:rFonts w:ascii="Times New Roman"/>
                <w:sz w:val="21"/>
                <w:szCs w:val="21"/>
              </w:rPr>
              <w:t>轨道结构（道床）竖向位移</w:t>
            </w:r>
          </w:p>
        </w:tc>
        <w:tc>
          <w:tcPr>
            <w:tcW w:w="1138" w:type="pct"/>
            <w:tcBorders>
              <w:tl2br w:val="nil"/>
              <w:tr2bl w:val="nil"/>
            </w:tcBorders>
            <w:shd w:val="clear" w:color="auto" w:fill="auto"/>
            <w:vAlign w:val="center"/>
          </w:tcPr>
          <w:p w14:paraId="1E8A8CB7">
            <w:pPr>
              <w:pStyle w:val="31"/>
              <w:widowControl w:val="0"/>
              <w:rPr>
                <w:rFonts w:ascii="Times New Roman"/>
                <w:sz w:val="21"/>
                <w:szCs w:val="21"/>
              </w:rPr>
            </w:pPr>
            <w:r>
              <w:rPr>
                <w:rFonts w:ascii="Times New Roman"/>
                <w:sz w:val="21"/>
                <w:szCs w:val="21"/>
              </w:rPr>
              <w:t>应测</w:t>
            </w:r>
          </w:p>
        </w:tc>
        <w:tc>
          <w:tcPr>
            <w:tcW w:w="1280" w:type="pct"/>
            <w:tcBorders>
              <w:tl2br w:val="nil"/>
              <w:tr2bl w:val="nil"/>
            </w:tcBorders>
            <w:shd w:val="clear" w:color="auto" w:fill="auto"/>
            <w:vAlign w:val="center"/>
          </w:tcPr>
          <w:p w14:paraId="54BBCD23">
            <w:pPr>
              <w:pStyle w:val="31"/>
              <w:widowControl w:val="0"/>
              <w:rPr>
                <w:rFonts w:ascii="Times New Roman"/>
                <w:sz w:val="21"/>
                <w:szCs w:val="21"/>
              </w:rPr>
            </w:pPr>
            <w:r>
              <w:rPr>
                <w:rFonts w:ascii="Times New Roman"/>
                <w:sz w:val="21"/>
                <w:szCs w:val="21"/>
              </w:rPr>
              <w:t>应测</w:t>
            </w:r>
          </w:p>
        </w:tc>
      </w:tr>
      <w:tr w14:paraId="7043FE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55" w:type="pct"/>
            <w:vMerge w:val="continue"/>
            <w:tcBorders>
              <w:tl2br w:val="nil"/>
              <w:tr2bl w:val="nil"/>
            </w:tcBorders>
            <w:shd w:val="clear" w:color="auto" w:fill="auto"/>
            <w:vAlign w:val="center"/>
          </w:tcPr>
          <w:p w14:paraId="58F0AD65">
            <w:pPr>
              <w:pStyle w:val="31"/>
              <w:widowControl w:val="0"/>
              <w:rPr>
                <w:rFonts w:ascii="Times New Roman"/>
                <w:sz w:val="21"/>
                <w:szCs w:val="21"/>
              </w:rPr>
            </w:pPr>
          </w:p>
        </w:tc>
        <w:tc>
          <w:tcPr>
            <w:tcW w:w="1525" w:type="pct"/>
            <w:tcBorders>
              <w:tl2br w:val="nil"/>
              <w:tr2bl w:val="nil"/>
            </w:tcBorders>
            <w:shd w:val="clear" w:color="auto" w:fill="auto"/>
            <w:vAlign w:val="center"/>
          </w:tcPr>
          <w:p w14:paraId="1B4B2F7B">
            <w:pPr>
              <w:tabs>
                <w:tab w:val="center" w:pos="4201"/>
                <w:tab w:val="right" w:leader="dot" w:pos="9298"/>
              </w:tabs>
              <w:autoSpaceDE w:val="0"/>
              <w:autoSpaceDN w:val="0"/>
              <w:spacing w:line="240" w:lineRule="auto"/>
              <w:ind w:firstLine="0"/>
              <w:jc w:val="center"/>
              <w:rPr>
                <w:sz w:val="21"/>
                <w:szCs w:val="21"/>
              </w:rPr>
            </w:pPr>
            <w:r>
              <w:rPr>
                <w:sz w:val="21"/>
                <w:szCs w:val="21"/>
              </w:rPr>
              <w:t>轨道静态几何形位（轨距、轨向、高低、水平）</w:t>
            </w:r>
          </w:p>
        </w:tc>
        <w:tc>
          <w:tcPr>
            <w:tcW w:w="1138" w:type="pct"/>
            <w:tcBorders>
              <w:tl2br w:val="nil"/>
              <w:tr2bl w:val="nil"/>
            </w:tcBorders>
            <w:shd w:val="clear" w:color="auto" w:fill="auto"/>
            <w:vAlign w:val="center"/>
          </w:tcPr>
          <w:p w14:paraId="70DAE4E4">
            <w:pPr>
              <w:pStyle w:val="31"/>
              <w:widowControl w:val="0"/>
              <w:rPr>
                <w:rFonts w:ascii="Times New Roman"/>
                <w:sz w:val="21"/>
                <w:szCs w:val="21"/>
              </w:rPr>
            </w:pPr>
            <w:r>
              <w:rPr>
                <w:rFonts w:ascii="Times New Roman"/>
                <w:sz w:val="21"/>
                <w:szCs w:val="21"/>
              </w:rPr>
              <w:t>应测</w:t>
            </w:r>
          </w:p>
        </w:tc>
        <w:tc>
          <w:tcPr>
            <w:tcW w:w="1280" w:type="pct"/>
            <w:tcBorders>
              <w:tl2br w:val="nil"/>
              <w:tr2bl w:val="nil"/>
            </w:tcBorders>
            <w:shd w:val="clear" w:color="auto" w:fill="auto"/>
            <w:vAlign w:val="center"/>
          </w:tcPr>
          <w:p w14:paraId="55D33C33">
            <w:pPr>
              <w:pStyle w:val="31"/>
              <w:widowControl w:val="0"/>
              <w:rPr>
                <w:rFonts w:ascii="Times New Roman"/>
                <w:sz w:val="21"/>
                <w:szCs w:val="21"/>
              </w:rPr>
            </w:pPr>
            <w:r>
              <w:rPr>
                <w:rFonts w:ascii="Times New Roman"/>
                <w:sz w:val="21"/>
                <w:szCs w:val="21"/>
              </w:rPr>
              <w:t>应测</w:t>
            </w:r>
          </w:p>
        </w:tc>
      </w:tr>
      <w:tr w14:paraId="2421C8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55" w:type="pct"/>
            <w:vMerge w:val="restart"/>
            <w:tcBorders>
              <w:tl2br w:val="nil"/>
              <w:tr2bl w:val="nil"/>
            </w:tcBorders>
            <w:shd w:val="clear" w:color="auto" w:fill="auto"/>
            <w:vAlign w:val="center"/>
          </w:tcPr>
          <w:p w14:paraId="22AAF16E">
            <w:pPr>
              <w:pStyle w:val="31"/>
              <w:widowControl w:val="0"/>
              <w:rPr>
                <w:rFonts w:ascii="Times New Roman"/>
                <w:sz w:val="21"/>
                <w:szCs w:val="21"/>
              </w:rPr>
            </w:pPr>
            <w:r>
              <w:rPr>
                <w:rFonts w:ascii="Times New Roman"/>
                <w:sz w:val="21"/>
                <w:szCs w:val="21"/>
              </w:rPr>
              <w:t>铁路、地面城市轨道</w:t>
            </w:r>
          </w:p>
        </w:tc>
        <w:tc>
          <w:tcPr>
            <w:tcW w:w="1525" w:type="pct"/>
            <w:tcBorders>
              <w:tl2br w:val="nil"/>
              <w:tr2bl w:val="nil"/>
            </w:tcBorders>
            <w:shd w:val="clear" w:color="auto" w:fill="auto"/>
            <w:vAlign w:val="center"/>
          </w:tcPr>
          <w:p w14:paraId="621F5C80">
            <w:pPr>
              <w:pStyle w:val="31"/>
              <w:widowControl w:val="0"/>
              <w:rPr>
                <w:rFonts w:ascii="Times New Roman"/>
                <w:sz w:val="21"/>
                <w:szCs w:val="21"/>
              </w:rPr>
            </w:pPr>
            <w:r>
              <w:rPr>
                <w:rFonts w:ascii="Times New Roman"/>
                <w:sz w:val="21"/>
                <w:szCs w:val="21"/>
              </w:rPr>
              <w:t>隧道、轨道结构裂缝</w:t>
            </w:r>
          </w:p>
        </w:tc>
        <w:tc>
          <w:tcPr>
            <w:tcW w:w="1138" w:type="pct"/>
            <w:tcBorders>
              <w:tl2br w:val="nil"/>
              <w:tr2bl w:val="nil"/>
            </w:tcBorders>
            <w:shd w:val="clear" w:color="auto" w:fill="auto"/>
            <w:vAlign w:val="center"/>
          </w:tcPr>
          <w:p w14:paraId="0CBABD14">
            <w:pPr>
              <w:pStyle w:val="31"/>
              <w:widowControl w:val="0"/>
              <w:rPr>
                <w:rFonts w:ascii="Times New Roman"/>
                <w:sz w:val="21"/>
                <w:szCs w:val="21"/>
              </w:rPr>
            </w:pPr>
            <w:r>
              <w:rPr>
                <w:rFonts w:ascii="Times New Roman"/>
                <w:sz w:val="21"/>
                <w:szCs w:val="21"/>
              </w:rPr>
              <w:t>应测</w:t>
            </w:r>
          </w:p>
        </w:tc>
        <w:tc>
          <w:tcPr>
            <w:tcW w:w="1280" w:type="pct"/>
            <w:tcBorders>
              <w:tl2br w:val="nil"/>
              <w:tr2bl w:val="nil"/>
            </w:tcBorders>
            <w:shd w:val="clear" w:color="auto" w:fill="auto"/>
            <w:vAlign w:val="center"/>
          </w:tcPr>
          <w:p w14:paraId="1FE8E44E">
            <w:pPr>
              <w:pStyle w:val="31"/>
              <w:widowControl w:val="0"/>
              <w:rPr>
                <w:rFonts w:ascii="Times New Roman"/>
                <w:sz w:val="21"/>
                <w:szCs w:val="21"/>
              </w:rPr>
            </w:pPr>
            <w:r>
              <w:rPr>
                <w:rFonts w:ascii="Times New Roman"/>
                <w:sz w:val="21"/>
                <w:szCs w:val="21"/>
              </w:rPr>
              <w:t>宜测</w:t>
            </w:r>
          </w:p>
        </w:tc>
      </w:tr>
      <w:tr w14:paraId="004706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55" w:type="pct"/>
            <w:vMerge w:val="continue"/>
            <w:tcBorders>
              <w:tl2br w:val="nil"/>
              <w:tr2bl w:val="nil"/>
            </w:tcBorders>
            <w:shd w:val="clear" w:color="auto" w:fill="auto"/>
            <w:vAlign w:val="center"/>
          </w:tcPr>
          <w:p w14:paraId="11FC7CA3">
            <w:pPr>
              <w:pStyle w:val="31"/>
              <w:widowControl w:val="0"/>
              <w:rPr>
                <w:rFonts w:ascii="Times New Roman"/>
                <w:sz w:val="21"/>
                <w:szCs w:val="21"/>
              </w:rPr>
            </w:pPr>
          </w:p>
        </w:tc>
        <w:tc>
          <w:tcPr>
            <w:tcW w:w="1525" w:type="pct"/>
            <w:tcBorders>
              <w:tl2br w:val="nil"/>
              <w:tr2bl w:val="nil"/>
            </w:tcBorders>
            <w:shd w:val="clear" w:color="auto" w:fill="auto"/>
            <w:vAlign w:val="center"/>
          </w:tcPr>
          <w:p w14:paraId="683BC484">
            <w:pPr>
              <w:pStyle w:val="31"/>
              <w:widowControl w:val="0"/>
              <w:rPr>
                <w:rFonts w:ascii="Times New Roman"/>
                <w:sz w:val="21"/>
                <w:szCs w:val="21"/>
              </w:rPr>
            </w:pPr>
            <w:r>
              <w:rPr>
                <w:rFonts w:ascii="Times New Roman"/>
                <w:sz w:val="21"/>
                <w:szCs w:val="21"/>
              </w:rPr>
              <w:t>路基竖向位移</w:t>
            </w:r>
          </w:p>
        </w:tc>
        <w:tc>
          <w:tcPr>
            <w:tcW w:w="1138" w:type="pct"/>
            <w:tcBorders>
              <w:tl2br w:val="nil"/>
              <w:tr2bl w:val="nil"/>
            </w:tcBorders>
            <w:shd w:val="clear" w:color="auto" w:fill="auto"/>
            <w:vAlign w:val="center"/>
          </w:tcPr>
          <w:p w14:paraId="2A588662">
            <w:pPr>
              <w:pStyle w:val="31"/>
              <w:widowControl w:val="0"/>
              <w:rPr>
                <w:rFonts w:ascii="Times New Roman"/>
                <w:sz w:val="21"/>
                <w:szCs w:val="21"/>
              </w:rPr>
            </w:pPr>
            <w:r>
              <w:rPr>
                <w:rFonts w:ascii="Times New Roman"/>
                <w:sz w:val="21"/>
                <w:szCs w:val="21"/>
              </w:rPr>
              <w:t>应测</w:t>
            </w:r>
          </w:p>
        </w:tc>
        <w:tc>
          <w:tcPr>
            <w:tcW w:w="1280" w:type="pct"/>
            <w:tcBorders>
              <w:tl2br w:val="nil"/>
              <w:tr2bl w:val="nil"/>
            </w:tcBorders>
            <w:shd w:val="clear" w:color="auto" w:fill="auto"/>
            <w:vAlign w:val="center"/>
          </w:tcPr>
          <w:p w14:paraId="44A09799">
            <w:pPr>
              <w:pStyle w:val="31"/>
              <w:widowControl w:val="0"/>
              <w:rPr>
                <w:rFonts w:ascii="Times New Roman"/>
                <w:sz w:val="21"/>
                <w:szCs w:val="21"/>
              </w:rPr>
            </w:pPr>
            <w:r>
              <w:rPr>
                <w:rFonts w:ascii="Times New Roman"/>
                <w:sz w:val="21"/>
                <w:szCs w:val="21"/>
              </w:rPr>
              <w:t>应测</w:t>
            </w:r>
          </w:p>
        </w:tc>
      </w:tr>
    </w:tbl>
    <w:p w14:paraId="2F52F6F1"/>
    <w:p w14:paraId="5F97242C">
      <w:pPr>
        <w:ind w:firstLine="0"/>
        <w:rPr>
          <w:bCs/>
        </w:rPr>
      </w:pPr>
      <w:r>
        <w:rPr>
          <w:b/>
          <w:bCs/>
        </w:rPr>
        <w:t>7.2.7　</w:t>
      </w:r>
      <w:r>
        <w:rPr>
          <w:bCs/>
        </w:rPr>
        <w:t>现场巡视检查应包括支护结构、施工工况、周边环境、监测设施，采用现场巡视检查时，现场巡视检查项目宜按表7.2.7选择。</w:t>
      </w:r>
    </w:p>
    <w:p w14:paraId="1017AD8A">
      <w:pPr>
        <w:jc w:val="center"/>
        <w:rPr>
          <w:b/>
          <w:bCs/>
          <w:color w:val="auto"/>
          <w:sz w:val="21"/>
          <w:szCs w:val="21"/>
        </w:rPr>
      </w:pPr>
      <w:r>
        <w:rPr>
          <w:b/>
          <w:bCs/>
          <w:color w:val="auto"/>
          <w:sz w:val="21"/>
          <w:szCs w:val="21"/>
        </w:rPr>
        <w:t>表7.2.7　现场巡视检查项目表</w:t>
      </w:r>
    </w:p>
    <w:tbl>
      <w:tblPr>
        <w:tblStyle w:val="14"/>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13" w:type="dxa"/>
          <w:bottom w:w="0" w:type="dxa"/>
          <w:right w:w="113" w:type="dxa"/>
        </w:tblCellMar>
      </w:tblPr>
      <w:tblGrid>
        <w:gridCol w:w="1196"/>
        <w:gridCol w:w="7308"/>
      </w:tblGrid>
      <w:tr w14:paraId="21BC60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82" w:hRule="atLeast"/>
          <w:tblHeader/>
          <w:jc w:val="center"/>
        </w:trPr>
        <w:tc>
          <w:tcPr>
            <w:tcW w:w="703" w:type="pct"/>
            <w:tcBorders>
              <w:tl2br w:val="nil"/>
              <w:tr2bl w:val="nil"/>
            </w:tcBorders>
            <w:shd w:val="clear" w:color="auto" w:fill="auto"/>
            <w:vAlign w:val="center"/>
          </w:tcPr>
          <w:p w14:paraId="3C16FB2F">
            <w:pPr>
              <w:pStyle w:val="31"/>
              <w:widowControl w:val="0"/>
              <w:rPr>
                <w:rFonts w:ascii="Times New Roman"/>
                <w:sz w:val="21"/>
                <w:szCs w:val="21"/>
              </w:rPr>
            </w:pPr>
            <w:r>
              <w:rPr>
                <w:rFonts w:ascii="Times New Roman"/>
                <w:sz w:val="21"/>
                <w:szCs w:val="21"/>
              </w:rPr>
              <w:t>监测对象</w:t>
            </w:r>
          </w:p>
        </w:tc>
        <w:tc>
          <w:tcPr>
            <w:tcW w:w="4296" w:type="pct"/>
            <w:tcBorders>
              <w:tl2br w:val="nil"/>
              <w:tr2bl w:val="nil"/>
            </w:tcBorders>
            <w:shd w:val="clear" w:color="auto" w:fill="auto"/>
            <w:vAlign w:val="center"/>
          </w:tcPr>
          <w:p w14:paraId="59EFBAAE">
            <w:pPr>
              <w:pStyle w:val="31"/>
              <w:widowControl w:val="0"/>
              <w:rPr>
                <w:rFonts w:ascii="Times New Roman"/>
                <w:sz w:val="21"/>
                <w:szCs w:val="21"/>
              </w:rPr>
            </w:pPr>
            <w:r>
              <w:rPr>
                <w:rFonts w:ascii="Times New Roman"/>
                <w:sz w:val="21"/>
                <w:szCs w:val="21"/>
              </w:rPr>
              <w:t>巡查项目</w:t>
            </w:r>
          </w:p>
        </w:tc>
      </w:tr>
      <w:tr w14:paraId="00CF2F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113" w:type="dxa"/>
          </w:tblCellMar>
        </w:tblPrEx>
        <w:trPr>
          <w:trHeight w:val="454" w:hRule="atLeast"/>
          <w:jc w:val="center"/>
        </w:trPr>
        <w:tc>
          <w:tcPr>
            <w:tcW w:w="703" w:type="pct"/>
            <w:vMerge w:val="restart"/>
            <w:tcBorders>
              <w:tl2br w:val="nil"/>
              <w:tr2bl w:val="nil"/>
            </w:tcBorders>
            <w:shd w:val="clear" w:color="auto" w:fill="auto"/>
            <w:vAlign w:val="center"/>
          </w:tcPr>
          <w:p w14:paraId="6E297A09">
            <w:pPr>
              <w:pStyle w:val="31"/>
              <w:widowControl w:val="0"/>
              <w:rPr>
                <w:rFonts w:ascii="Times New Roman"/>
                <w:sz w:val="21"/>
                <w:szCs w:val="21"/>
              </w:rPr>
            </w:pPr>
            <w:r>
              <w:rPr>
                <w:rFonts w:ascii="Times New Roman"/>
                <w:sz w:val="21"/>
                <w:szCs w:val="21"/>
              </w:rPr>
              <w:t>支护结构</w:t>
            </w:r>
          </w:p>
        </w:tc>
        <w:tc>
          <w:tcPr>
            <w:tcW w:w="4296" w:type="pct"/>
            <w:tcBorders>
              <w:tl2br w:val="nil"/>
              <w:tr2bl w:val="nil"/>
            </w:tcBorders>
            <w:shd w:val="clear" w:color="auto" w:fill="auto"/>
            <w:vAlign w:val="center"/>
          </w:tcPr>
          <w:p w14:paraId="6CC54AE1">
            <w:pPr>
              <w:pStyle w:val="31"/>
              <w:widowControl w:val="0"/>
              <w:jc w:val="both"/>
              <w:rPr>
                <w:rFonts w:ascii="Times New Roman"/>
                <w:sz w:val="21"/>
                <w:szCs w:val="21"/>
              </w:rPr>
            </w:pPr>
            <w:r>
              <w:rPr>
                <w:rFonts w:ascii="Times New Roman"/>
                <w:sz w:val="21"/>
                <w:szCs w:val="21"/>
              </w:rPr>
              <w:t>开挖长度、分层高度及坡度，开挖面暴露时间</w:t>
            </w:r>
          </w:p>
        </w:tc>
      </w:tr>
      <w:tr w14:paraId="68E931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113" w:type="dxa"/>
          </w:tblCellMar>
        </w:tblPrEx>
        <w:trPr>
          <w:trHeight w:val="454" w:hRule="atLeast"/>
          <w:jc w:val="center"/>
        </w:trPr>
        <w:tc>
          <w:tcPr>
            <w:tcW w:w="703" w:type="pct"/>
            <w:vMerge w:val="continue"/>
            <w:tcBorders>
              <w:tl2br w:val="nil"/>
              <w:tr2bl w:val="nil"/>
            </w:tcBorders>
            <w:shd w:val="clear" w:color="auto" w:fill="auto"/>
            <w:vAlign w:val="center"/>
          </w:tcPr>
          <w:p w14:paraId="0B24F4CF">
            <w:pPr>
              <w:pStyle w:val="31"/>
              <w:widowControl w:val="0"/>
              <w:rPr>
                <w:rFonts w:ascii="Times New Roman"/>
                <w:sz w:val="21"/>
                <w:szCs w:val="21"/>
              </w:rPr>
            </w:pPr>
          </w:p>
        </w:tc>
        <w:tc>
          <w:tcPr>
            <w:tcW w:w="4296" w:type="pct"/>
            <w:tcBorders>
              <w:tl2br w:val="nil"/>
              <w:tr2bl w:val="nil"/>
            </w:tcBorders>
            <w:shd w:val="clear" w:color="auto" w:fill="auto"/>
            <w:vAlign w:val="center"/>
          </w:tcPr>
          <w:p w14:paraId="7A830F99">
            <w:pPr>
              <w:pStyle w:val="31"/>
              <w:widowControl w:val="0"/>
              <w:jc w:val="both"/>
              <w:rPr>
                <w:rFonts w:ascii="Times New Roman"/>
                <w:sz w:val="21"/>
                <w:szCs w:val="21"/>
              </w:rPr>
            </w:pPr>
            <w:r>
              <w:rPr>
                <w:rFonts w:ascii="Times New Roman"/>
                <w:sz w:val="21"/>
                <w:szCs w:val="21"/>
              </w:rPr>
              <w:t>开挖面岩土体的类型、特征、自稳性，渗漏水量大小及发展情况</w:t>
            </w:r>
          </w:p>
        </w:tc>
      </w:tr>
      <w:tr w14:paraId="265E95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113" w:type="dxa"/>
          </w:tblCellMar>
        </w:tblPrEx>
        <w:trPr>
          <w:trHeight w:val="454" w:hRule="atLeast"/>
          <w:jc w:val="center"/>
        </w:trPr>
        <w:tc>
          <w:tcPr>
            <w:tcW w:w="703" w:type="pct"/>
            <w:vMerge w:val="continue"/>
            <w:tcBorders>
              <w:tl2br w:val="nil"/>
              <w:tr2bl w:val="nil"/>
            </w:tcBorders>
            <w:shd w:val="clear" w:color="auto" w:fill="auto"/>
            <w:vAlign w:val="center"/>
          </w:tcPr>
          <w:p w14:paraId="2221CA4C">
            <w:pPr>
              <w:pStyle w:val="31"/>
              <w:widowControl w:val="0"/>
              <w:rPr>
                <w:rFonts w:ascii="Times New Roman"/>
                <w:sz w:val="21"/>
                <w:szCs w:val="21"/>
              </w:rPr>
            </w:pPr>
          </w:p>
        </w:tc>
        <w:tc>
          <w:tcPr>
            <w:tcW w:w="4296" w:type="pct"/>
            <w:tcBorders>
              <w:tl2br w:val="nil"/>
              <w:tr2bl w:val="nil"/>
            </w:tcBorders>
            <w:shd w:val="clear" w:color="auto" w:fill="auto"/>
            <w:vAlign w:val="center"/>
          </w:tcPr>
          <w:p w14:paraId="2F965ACF">
            <w:pPr>
              <w:pStyle w:val="31"/>
              <w:widowControl w:val="0"/>
              <w:jc w:val="both"/>
              <w:rPr>
                <w:rFonts w:ascii="Times New Roman"/>
                <w:sz w:val="21"/>
                <w:szCs w:val="21"/>
              </w:rPr>
            </w:pPr>
            <w:r>
              <w:rPr>
                <w:rFonts w:ascii="Times New Roman"/>
                <w:sz w:val="21"/>
                <w:szCs w:val="21"/>
              </w:rPr>
              <w:t>降水或回灌等地下水控制效果及设施运转情况</w:t>
            </w:r>
          </w:p>
        </w:tc>
      </w:tr>
      <w:tr w14:paraId="1E74F6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113" w:type="dxa"/>
          </w:tblCellMar>
        </w:tblPrEx>
        <w:trPr>
          <w:trHeight w:val="454" w:hRule="atLeast"/>
          <w:jc w:val="center"/>
        </w:trPr>
        <w:tc>
          <w:tcPr>
            <w:tcW w:w="703" w:type="pct"/>
            <w:vMerge w:val="continue"/>
            <w:tcBorders>
              <w:tl2br w:val="nil"/>
              <w:tr2bl w:val="nil"/>
            </w:tcBorders>
            <w:shd w:val="clear" w:color="auto" w:fill="auto"/>
            <w:vAlign w:val="center"/>
          </w:tcPr>
          <w:p w14:paraId="4933C05F">
            <w:pPr>
              <w:pStyle w:val="31"/>
              <w:widowControl w:val="0"/>
              <w:rPr>
                <w:rFonts w:ascii="Times New Roman"/>
                <w:sz w:val="21"/>
                <w:szCs w:val="21"/>
              </w:rPr>
            </w:pPr>
          </w:p>
        </w:tc>
        <w:tc>
          <w:tcPr>
            <w:tcW w:w="4296" w:type="pct"/>
            <w:tcBorders>
              <w:tl2br w:val="nil"/>
              <w:tr2bl w:val="nil"/>
            </w:tcBorders>
            <w:shd w:val="clear" w:color="auto" w:fill="auto"/>
            <w:vAlign w:val="center"/>
          </w:tcPr>
          <w:p w14:paraId="7BCD516F">
            <w:pPr>
              <w:pStyle w:val="31"/>
              <w:widowControl w:val="0"/>
              <w:jc w:val="both"/>
              <w:rPr>
                <w:rFonts w:ascii="Times New Roman"/>
                <w:sz w:val="21"/>
                <w:szCs w:val="21"/>
              </w:rPr>
            </w:pPr>
            <w:r>
              <w:rPr>
                <w:rFonts w:ascii="Times New Roman"/>
                <w:sz w:val="21"/>
                <w:szCs w:val="21"/>
              </w:rPr>
              <w:t>坑侧壁及周边地表截、排水措施及效果，坑边或基底积水情况</w:t>
            </w:r>
          </w:p>
        </w:tc>
      </w:tr>
      <w:tr w14:paraId="34851B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113" w:type="dxa"/>
          </w:tblCellMar>
        </w:tblPrEx>
        <w:trPr>
          <w:trHeight w:val="454" w:hRule="atLeast"/>
          <w:jc w:val="center"/>
        </w:trPr>
        <w:tc>
          <w:tcPr>
            <w:tcW w:w="703" w:type="pct"/>
            <w:vMerge w:val="continue"/>
            <w:tcBorders>
              <w:tl2br w:val="nil"/>
              <w:tr2bl w:val="nil"/>
            </w:tcBorders>
            <w:shd w:val="clear" w:color="auto" w:fill="auto"/>
            <w:vAlign w:val="center"/>
          </w:tcPr>
          <w:p w14:paraId="369F225A">
            <w:pPr>
              <w:pStyle w:val="31"/>
              <w:widowControl w:val="0"/>
              <w:rPr>
                <w:rFonts w:ascii="Times New Roman"/>
                <w:sz w:val="21"/>
                <w:szCs w:val="21"/>
              </w:rPr>
            </w:pPr>
          </w:p>
        </w:tc>
        <w:tc>
          <w:tcPr>
            <w:tcW w:w="4296" w:type="pct"/>
            <w:tcBorders>
              <w:tl2br w:val="nil"/>
              <w:tr2bl w:val="nil"/>
            </w:tcBorders>
            <w:shd w:val="clear" w:color="auto" w:fill="auto"/>
            <w:vAlign w:val="center"/>
          </w:tcPr>
          <w:p w14:paraId="4D76ECE1">
            <w:pPr>
              <w:pStyle w:val="31"/>
              <w:widowControl w:val="0"/>
              <w:jc w:val="both"/>
              <w:rPr>
                <w:rFonts w:ascii="Times New Roman"/>
                <w:sz w:val="21"/>
                <w:szCs w:val="21"/>
              </w:rPr>
            </w:pPr>
            <w:r>
              <w:rPr>
                <w:rFonts w:ascii="Times New Roman"/>
                <w:sz w:val="21"/>
                <w:szCs w:val="21"/>
              </w:rPr>
              <w:t>支护桩（墙）后土体裂缝、沉陷，基坑侧壁或基底的涌土、流砂、管涌情况</w:t>
            </w:r>
          </w:p>
        </w:tc>
      </w:tr>
      <w:tr w14:paraId="13106A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113" w:type="dxa"/>
          </w:tblCellMar>
        </w:tblPrEx>
        <w:trPr>
          <w:trHeight w:val="454" w:hRule="atLeast"/>
          <w:jc w:val="center"/>
        </w:trPr>
        <w:tc>
          <w:tcPr>
            <w:tcW w:w="703" w:type="pct"/>
            <w:vMerge w:val="continue"/>
            <w:tcBorders>
              <w:tl2br w:val="nil"/>
              <w:tr2bl w:val="nil"/>
            </w:tcBorders>
            <w:shd w:val="clear" w:color="auto" w:fill="auto"/>
            <w:vAlign w:val="center"/>
          </w:tcPr>
          <w:p w14:paraId="7186CE69">
            <w:pPr>
              <w:pStyle w:val="31"/>
              <w:widowControl w:val="0"/>
              <w:rPr>
                <w:rFonts w:ascii="Times New Roman"/>
                <w:sz w:val="21"/>
                <w:szCs w:val="21"/>
              </w:rPr>
            </w:pPr>
          </w:p>
        </w:tc>
        <w:tc>
          <w:tcPr>
            <w:tcW w:w="4296" w:type="pct"/>
            <w:tcBorders>
              <w:tl2br w:val="nil"/>
              <w:tr2bl w:val="nil"/>
            </w:tcBorders>
            <w:shd w:val="clear" w:color="auto" w:fill="auto"/>
            <w:vAlign w:val="center"/>
          </w:tcPr>
          <w:p w14:paraId="4C1AE094">
            <w:pPr>
              <w:pStyle w:val="31"/>
              <w:widowControl w:val="0"/>
              <w:jc w:val="both"/>
              <w:rPr>
                <w:rFonts w:ascii="Times New Roman"/>
                <w:sz w:val="21"/>
                <w:szCs w:val="21"/>
              </w:rPr>
            </w:pPr>
            <w:r>
              <w:rPr>
                <w:rFonts w:ascii="Times New Roman"/>
                <w:sz w:val="21"/>
                <w:szCs w:val="21"/>
              </w:rPr>
              <w:t>基坑周边的超载情况</w:t>
            </w:r>
          </w:p>
        </w:tc>
      </w:tr>
      <w:tr w14:paraId="48FA3E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113" w:type="dxa"/>
          </w:tblCellMar>
        </w:tblPrEx>
        <w:trPr>
          <w:trHeight w:val="454" w:hRule="atLeast"/>
          <w:jc w:val="center"/>
        </w:trPr>
        <w:tc>
          <w:tcPr>
            <w:tcW w:w="703" w:type="pct"/>
            <w:vMerge w:val="continue"/>
            <w:tcBorders>
              <w:tl2br w:val="nil"/>
              <w:tr2bl w:val="nil"/>
            </w:tcBorders>
            <w:shd w:val="clear" w:color="auto" w:fill="auto"/>
            <w:vAlign w:val="center"/>
          </w:tcPr>
          <w:p w14:paraId="398F27EE">
            <w:pPr>
              <w:pStyle w:val="31"/>
              <w:widowControl w:val="0"/>
              <w:rPr>
                <w:rFonts w:ascii="Times New Roman"/>
                <w:sz w:val="21"/>
                <w:szCs w:val="21"/>
              </w:rPr>
            </w:pPr>
          </w:p>
        </w:tc>
        <w:tc>
          <w:tcPr>
            <w:tcW w:w="4296" w:type="pct"/>
            <w:tcBorders>
              <w:tl2br w:val="nil"/>
              <w:tr2bl w:val="nil"/>
            </w:tcBorders>
            <w:shd w:val="clear" w:color="auto" w:fill="auto"/>
            <w:vAlign w:val="center"/>
          </w:tcPr>
          <w:p w14:paraId="029413C1">
            <w:pPr>
              <w:pStyle w:val="31"/>
              <w:widowControl w:val="0"/>
              <w:jc w:val="both"/>
              <w:rPr>
                <w:rFonts w:ascii="Times New Roman"/>
                <w:sz w:val="21"/>
                <w:szCs w:val="21"/>
              </w:rPr>
            </w:pPr>
            <w:r>
              <w:rPr>
                <w:rFonts w:ascii="Times New Roman"/>
                <w:sz w:val="21"/>
                <w:szCs w:val="21"/>
              </w:rPr>
              <w:t>放坡开挖的基坑边坡位移、坡面开裂情况</w:t>
            </w:r>
          </w:p>
        </w:tc>
      </w:tr>
      <w:tr w14:paraId="740A15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113" w:type="dxa"/>
          </w:tblCellMar>
        </w:tblPrEx>
        <w:trPr>
          <w:trHeight w:val="454" w:hRule="atLeast"/>
          <w:jc w:val="center"/>
        </w:trPr>
        <w:tc>
          <w:tcPr>
            <w:tcW w:w="703" w:type="pct"/>
            <w:vMerge w:val="continue"/>
            <w:tcBorders>
              <w:tl2br w:val="nil"/>
              <w:tr2bl w:val="nil"/>
            </w:tcBorders>
            <w:shd w:val="clear" w:color="auto" w:fill="auto"/>
            <w:vAlign w:val="center"/>
          </w:tcPr>
          <w:p w14:paraId="6DC6923D">
            <w:pPr>
              <w:pStyle w:val="31"/>
              <w:widowControl w:val="0"/>
              <w:rPr>
                <w:rFonts w:ascii="Times New Roman"/>
                <w:sz w:val="21"/>
                <w:szCs w:val="21"/>
              </w:rPr>
            </w:pPr>
          </w:p>
        </w:tc>
        <w:tc>
          <w:tcPr>
            <w:tcW w:w="4296" w:type="pct"/>
            <w:tcBorders>
              <w:tl2br w:val="nil"/>
              <w:tr2bl w:val="nil"/>
            </w:tcBorders>
            <w:shd w:val="clear" w:color="auto" w:fill="auto"/>
            <w:vAlign w:val="center"/>
          </w:tcPr>
          <w:p w14:paraId="3571B428">
            <w:pPr>
              <w:pStyle w:val="31"/>
              <w:widowControl w:val="0"/>
              <w:jc w:val="both"/>
              <w:rPr>
                <w:rFonts w:ascii="Times New Roman"/>
                <w:sz w:val="21"/>
                <w:szCs w:val="21"/>
              </w:rPr>
            </w:pPr>
            <w:r>
              <w:rPr>
                <w:rFonts w:ascii="Times New Roman"/>
                <w:sz w:val="21"/>
                <w:szCs w:val="21"/>
              </w:rPr>
              <w:t>支护桩（墙）的裂缝、侵限情况</w:t>
            </w:r>
          </w:p>
        </w:tc>
      </w:tr>
      <w:tr w14:paraId="3E5EED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113" w:type="dxa"/>
          </w:tblCellMar>
        </w:tblPrEx>
        <w:trPr>
          <w:trHeight w:val="454" w:hRule="atLeast"/>
          <w:jc w:val="center"/>
        </w:trPr>
        <w:tc>
          <w:tcPr>
            <w:tcW w:w="703" w:type="pct"/>
            <w:vMerge w:val="continue"/>
            <w:tcBorders>
              <w:tl2br w:val="nil"/>
              <w:tr2bl w:val="nil"/>
            </w:tcBorders>
            <w:shd w:val="clear" w:color="auto" w:fill="auto"/>
            <w:vAlign w:val="center"/>
          </w:tcPr>
          <w:p w14:paraId="1D9649F0">
            <w:pPr>
              <w:pStyle w:val="31"/>
              <w:widowControl w:val="0"/>
              <w:rPr>
                <w:rFonts w:ascii="Times New Roman"/>
                <w:sz w:val="21"/>
                <w:szCs w:val="21"/>
              </w:rPr>
            </w:pPr>
          </w:p>
        </w:tc>
        <w:tc>
          <w:tcPr>
            <w:tcW w:w="4296" w:type="pct"/>
            <w:tcBorders>
              <w:tl2br w:val="nil"/>
              <w:tr2bl w:val="nil"/>
            </w:tcBorders>
            <w:shd w:val="clear" w:color="auto" w:fill="auto"/>
            <w:vAlign w:val="center"/>
          </w:tcPr>
          <w:p w14:paraId="62E2584D">
            <w:pPr>
              <w:pStyle w:val="31"/>
              <w:widowControl w:val="0"/>
              <w:jc w:val="both"/>
              <w:rPr>
                <w:rFonts w:ascii="Times New Roman"/>
                <w:sz w:val="21"/>
                <w:szCs w:val="21"/>
              </w:rPr>
            </w:pPr>
            <w:r>
              <w:rPr>
                <w:rFonts w:ascii="Times New Roman"/>
                <w:sz w:val="21"/>
                <w:szCs w:val="21"/>
              </w:rPr>
              <w:t>冠梁、围檩的连续性，围檩与桩（墙）之间的密贴性，围檩与支撑的防坠落措施</w:t>
            </w:r>
          </w:p>
        </w:tc>
      </w:tr>
      <w:tr w14:paraId="62DAB2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113" w:type="dxa"/>
          </w:tblCellMar>
        </w:tblPrEx>
        <w:trPr>
          <w:trHeight w:val="454" w:hRule="atLeast"/>
          <w:jc w:val="center"/>
        </w:trPr>
        <w:tc>
          <w:tcPr>
            <w:tcW w:w="703" w:type="pct"/>
            <w:vMerge w:val="continue"/>
            <w:tcBorders>
              <w:tl2br w:val="nil"/>
              <w:tr2bl w:val="nil"/>
            </w:tcBorders>
            <w:shd w:val="clear" w:color="auto" w:fill="auto"/>
            <w:vAlign w:val="center"/>
          </w:tcPr>
          <w:p w14:paraId="5071C6A5">
            <w:pPr>
              <w:pStyle w:val="31"/>
              <w:widowControl w:val="0"/>
              <w:rPr>
                <w:rFonts w:ascii="Times New Roman"/>
                <w:sz w:val="21"/>
                <w:szCs w:val="21"/>
              </w:rPr>
            </w:pPr>
          </w:p>
        </w:tc>
        <w:tc>
          <w:tcPr>
            <w:tcW w:w="4296" w:type="pct"/>
            <w:tcBorders>
              <w:tl2br w:val="nil"/>
              <w:tr2bl w:val="nil"/>
            </w:tcBorders>
            <w:shd w:val="clear" w:color="auto" w:fill="auto"/>
            <w:vAlign w:val="center"/>
          </w:tcPr>
          <w:p w14:paraId="1CB2F0B3">
            <w:pPr>
              <w:pStyle w:val="31"/>
              <w:widowControl w:val="0"/>
              <w:jc w:val="both"/>
              <w:rPr>
                <w:rFonts w:ascii="Times New Roman"/>
                <w:sz w:val="21"/>
                <w:szCs w:val="21"/>
              </w:rPr>
            </w:pPr>
            <w:r>
              <w:rPr>
                <w:rFonts w:ascii="Times New Roman"/>
                <w:sz w:val="21"/>
                <w:szCs w:val="21"/>
              </w:rPr>
              <w:t>冠梁、围檩、支撑的变形或裂缝情况</w:t>
            </w:r>
          </w:p>
        </w:tc>
      </w:tr>
      <w:tr w14:paraId="13A244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113" w:type="dxa"/>
          </w:tblCellMar>
        </w:tblPrEx>
        <w:trPr>
          <w:trHeight w:val="454" w:hRule="atLeast"/>
          <w:jc w:val="center"/>
        </w:trPr>
        <w:tc>
          <w:tcPr>
            <w:tcW w:w="703" w:type="pct"/>
            <w:vMerge w:val="continue"/>
            <w:tcBorders>
              <w:tl2br w:val="nil"/>
              <w:tr2bl w:val="nil"/>
            </w:tcBorders>
            <w:shd w:val="clear" w:color="auto" w:fill="auto"/>
            <w:vAlign w:val="center"/>
          </w:tcPr>
          <w:p w14:paraId="4B844C3F">
            <w:pPr>
              <w:pStyle w:val="31"/>
              <w:widowControl w:val="0"/>
              <w:rPr>
                <w:rFonts w:ascii="Times New Roman"/>
                <w:sz w:val="21"/>
                <w:szCs w:val="21"/>
              </w:rPr>
            </w:pPr>
          </w:p>
        </w:tc>
        <w:tc>
          <w:tcPr>
            <w:tcW w:w="4296" w:type="pct"/>
            <w:tcBorders>
              <w:tl2br w:val="nil"/>
              <w:tr2bl w:val="nil"/>
            </w:tcBorders>
            <w:shd w:val="clear" w:color="auto" w:fill="auto"/>
            <w:vAlign w:val="center"/>
          </w:tcPr>
          <w:p w14:paraId="78DB78F5">
            <w:pPr>
              <w:pStyle w:val="31"/>
              <w:widowControl w:val="0"/>
              <w:jc w:val="both"/>
              <w:rPr>
                <w:rFonts w:ascii="Times New Roman"/>
                <w:sz w:val="21"/>
                <w:szCs w:val="21"/>
              </w:rPr>
            </w:pPr>
            <w:r>
              <w:rPr>
                <w:rFonts w:ascii="Times New Roman"/>
                <w:sz w:val="21"/>
                <w:szCs w:val="21"/>
              </w:rPr>
              <w:t>支撑架设情况</w:t>
            </w:r>
          </w:p>
        </w:tc>
      </w:tr>
      <w:tr w14:paraId="6EB3AA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3" w:type="pct"/>
            <w:vMerge w:val="continue"/>
            <w:tcBorders>
              <w:tl2br w:val="nil"/>
              <w:tr2bl w:val="nil"/>
            </w:tcBorders>
            <w:shd w:val="clear" w:color="auto" w:fill="auto"/>
            <w:vAlign w:val="center"/>
          </w:tcPr>
          <w:p w14:paraId="4AF25658">
            <w:pPr>
              <w:pStyle w:val="31"/>
              <w:widowControl w:val="0"/>
              <w:rPr>
                <w:rFonts w:ascii="Times New Roman"/>
                <w:sz w:val="21"/>
                <w:szCs w:val="21"/>
              </w:rPr>
            </w:pPr>
          </w:p>
        </w:tc>
        <w:tc>
          <w:tcPr>
            <w:tcW w:w="4296" w:type="pct"/>
            <w:tcBorders>
              <w:tl2br w:val="nil"/>
              <w:tr2bl w:val="nil"/>
            </w:tcBorders>
            <w:shd w:val="clear" w:color="auto" w:fill="auto"/>
            <w:vAlign w:val="center"/>
          </w:tcPr>
          <w:p w14:paraId="611912AA">
            <w:pPr>
              <w:pStyle w:val="31"/>
              <w:widowControl w:val="0"/>
              <w:jc w:val="both"/>
              <w:rPr>
                <w:rFonts w:ascii="Times New Roman"/>
                <w:sz w:val="21"/>
                <w:szCs w:val="21"/>
              </w:rPr>
            </w:pPr>
            <w:r>
              <w:rPr>
                <w:rFonts w:ascii="Times New Roman"/>
                <w:sz w:val="21"/>
                <w:szCs w:val="21"/>
              </w:rPr>
              <w:t>盖挖法顶板的变形和开裂，顶板与立柱、墙体的连接情况</w:t>
            </w:r>
          </w:p>
        </w:tc>
      </w:tr>
      <w:tr w14:paraId="183B5D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113" w:type="dxa"/>
          </w:tblCellMar>
        </w:tblPrEx>
        <w:trPr>
          <w:trHeight w:val="454" w:hRule="atLeast"/>
          <w:jc w:val="center"/>
        </w:trPr>
        <w:tc>
          <w:tcPr>
            <w:tcW w:w="703" w:type="pct"/>
            <w:vMerge w:val="continue"/>
            <w:tcBorders>
              <w:tl2br w:val="nil"/>
              <w:tr2bl w:val="nil"/>
            </w:tcBorders>
            <w:shd w:val="clear" w:color="auto" w:fill="auto"/>
            <w:vAlign w:val="center"/>
          </w:tcPr>
          <w:p w14:paraId="583C2F88">
            <w:pPr>
              <w:pStyle w:val="31"/>
              <w:widowControl w:val="0"/>
              <w:rPr>
                <w:rFonts w:ascii="Times New Roman"/>
                <w:sz w:val="21"/>
                <w:szCs w:val="21"/>
              </w:rPr>
            </w:pPr>
          </w:p>
        </w:tc>
        <w:tc>
          <w:tcPr>
            <w:tcW w:w="4296" w:type="pct"/>
            <w:tcBorders>
              <w:tl2br w:val="nil"/>
              <w:tr2bl w:val="nil"/>
            </w:tcBorders>
            <w:shd w:val="clear" w:color="auto" w:fill="auto"/>
            <w:vAlign w:val="center"/>
          </w:tcPr>
          <w:p w14:paraId="16EBE692">
            <w:pPr>
              <w:pStyle w:val="31"/>
              <w:widowControl w:val="0"/>
              <w:jc w:val="both"/>
              <w:rPr>
                <w:rFonts w:ascii="Times New Roman"/>
                <w:sz w:val="21"/>
                <w:szCs w:val="21"/>
              </w:rPr>
            </w:pPr>
            <w:r>
              <w:rPr>
                <w:rFonts w:ascii="Times New Roman"/>
                <w:sz w:val="21"/>
                <w:szCs w:val="21"/>
              </w:rPr>
              <w:t>锚杆、土钉垫板的变形、松动情况</w:t>
            </w:r>
          </w:p>
        </w:tc>
      </w:tr>
      <w:tr w14:paraId="72B8BE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113" w:type="dxa"/>
          </w:tblCellMar>
        </w:tblPrEx>
        <w:trPr>
          <w:trHeight w:val="454" w:hRule="atLeast"/>
          <w:jc w:val="center"/>
        </w:trPr>
        <w:tc>
          <w:tcPr>
            <w:tcW w:w="703" w:type="pct"/>
            <w:vMerge w:val="continue"/>
            <w:tcBorders>
              <w:tl2br w:val="nil"/>
              <w:tr2bl w:val="nil"/>
            </w:tcBorders>
            <w:shd w:val="clear" w:color="auto" w:fill="auto"/>
            <w:vAlign w:val="center"/>
          </w:tcPr>
          <w:p w14:paraId="1957A645">
            <w:pPr>
              <w:pStyle w:val="31"/>
              <w:widowControl w:val="0"/>
              <w:rPr>
                <w:rFonts w:ascii="Times New Roman"/>
                <w:sz w:val="21"/>
                <w:szCs w:val="21"/>
              </w:rPr>
            </w:pPr>
          </w:p>
        </w:tc>
        <w:tc>
          <w:tcPr>
            <w:tcW w:w="4296" w:type="pct"/>
            <w:tcBorders>
              <w:tl2br w:val="nil"/>
              <w:tr2bl w:val="nil"/>
            </w:tcBorders>
            <w:shd w:val="clear" w:color="auto" w:fill="auto"/>
            <w:vAlign w:val="center"/>
          </w:tcPr>
          <w:p w14:paraId="7FD720D4">
            <w:pPr>
              <w:pStyle w:val="31"/>
              <w:widowControl w:val="0"/>
              <w:jc w:val="both"/>
              <w:rPr>
                <w:rFonts w:ascii="Times New Roman"/>
                <w:sz w:val="21"/>
                <w:szCs w:val="21"/>
              </w:rPr>
            </w:pPr>
            <w:r>
              <w:rPr>
                <w:rFonts w:ascii="Times New Roman"/>
                <w:sz w:val="21"/>
                <w:szCs w:val="21"/>
              </w:rPr>
              <w:t>止水帷幕的开裂、渗漏水情况</w:t>
            </w:r>
          </w:p>
        </w:tc>
      </w:tr>
      <w:tr w14:paraId="14AF3E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3" w:type="pct"/>
            <w:vMerge w:val="restart"/>
            <w:tcBorders>
              <w:tl2br w:val="nil"/>
              <w:tr2bl w:val="nil"/>
            </w:tcBorders>
            <w:shd w:val="clear" w:color="auto" w:fill="auto"/>
            <w:vAlign w:val="center"/>
          </w:tcPr>
          <w:p w14:paraId="18FB39A0">
            <w:pPr>
              <w:pStyle w:val="31"/>
              <w:widowControl w:val="0"/>
              <w:rPr>
                <w:rFonts w:ascii="Times New Roman"/>
                <w:sz w:val="21"/>
                <w:szCs w:val="21"/>
              </w:rPr>
            </w:pPr>
            <w:r>
              <w:rPr>
                <w:rFonts w:ascii="Times New Roman"/>
                <w:sz w:val="21"/>
                <w:szCs w:val="21"/>
              </w:rPr>
              <w:t>周边环境</w:t>
            </w:r>
          </w:p>
        </w:tc>
        <w:tc>
          <w:tcPr>
            <w:tcW w:w="4296" w:type="pct"/>
            <w:tcBorders>
              <w:tl2br w:val="nil"/>
              <w:tr2bl w:val="nil"/>
            </w:tcBorders>
            <w:shd w:val="clear" w:color="auto" w:fill="auto"/>
            <w:vAlign w:val="center"/>
          </w:tcPr>
          <w:p w14:paraId="37E73CF7">
            <w:pPr>
              <w:pStyle w:val="31"/>
              <w:widowControl w:val="0"/>
              <w:jc w:val="both"/>
              <w:rPr>
                <w:rFonts w:ascii="Times New Roman"/>
                <w:sz w:val="21"/>
                <w:szCs w:val="21"/>
              </w:rPr>
            </w:pPr>
            <w:r>
              <w:rPr>
                <w:rFonts w:ascii="Times New Roman"/>
                <w:sz w:val="21"/>
                <w:szCs w:val="21"/>
              </w:rPr>
              <w:t>周边路面或地表的裂缝、沉陷、隆起、冒浆的位置、范围等情况</w:t>
            </w:r>
          </w:p>
        </w:tc>
      </w:tr>
      <w:tr w14:paraId="4FCD85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113" w:type="dxa"/>
          </w:tblCellMar>
        </w:tblPrEx>
        <w:trPr>
          <w:trHeight w:val="454" w:hRule="atLeast"/>
          <w:jc w:val="center"/>
        </w:trPr>
        <w:tc>
          <w:tcPr>
            <w:tcW w:w="703" w:type="pct"/>
            <w:vMerge w:val="continue"/>
            <w:tcBorders>
              <w:tl2br w:val="nil"/>
              <w:tr2bl w:val="nil"/>
            </w:tcBorders>
            <w:shd w:val="clear" w:color="auto" w:fill="auto"/>
            <w:vAlign w:val="center"/>
          </w:tcPr>
          <w:p w14:paraId="687530E9">
            <w:pPr>
              <w:pStyle w:val="31"/>
              <w:widowControl w:val="0"/>
              <w:rPr>
                <w:rFonts w:ascii="Times New Roman"/>
                <w:sz w:val="21"/>
                <w:szCs w:val="21"/>
              </w:rPr>
            </w:pPr>
          </w:p>
        </w:tc>
        <w:tc>
          <w:tcPr>
            <w:tcW w:w="4296" w:type="pct"/>
            <w:tcBorders>
              <w:tl2br w:val="nil"/>
              <w:tr2bl w:val="nil"/>
            </w:tcBorders>
            <w:shd w:val="clear" w:color="auto" w:fill="auto"/>
            <w:vAlign w:val="center"/>
          </w:tcPr>
          <w:p w14:paraId="2EA978E2">
            <w:pPr>
              <w:pStyle w:val="31"/>
              <w:widowControl w:val="0"/>
              <w:jc w:val="both"/>
              <w:rPr>
                <w:rFonts w:ascii="Times New Roman"/>
                <w:sz w:val="21"/>
                <w:szCs w:val="21"/>
              </w:rPr>
            </w:pPr>
            <w:r>
              <w:rPr>
                <w:rFonts w:ascii="Times New Roman"/>
                <w:sz w:val="21"/>
                <w:szCs w:val="21"/>
              </w:rPr>
              <w:t>河流湖泊的水位变化情况，水面出现漩涡、气泡及其位置、范围，堤坡裂缝宽度、深度、数量及发展趋势等</w:t>
            </w:r>
          </w:p>
        </w:tc>
      </w:tr>
      <w:tr w14:paraId="2C0FA9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03" w:type="pct"/>
            <w:vMerge w:val="continue"/>
            <w:tcBorders>
              <w:tl2br w:val="nil"/>
              <w:tr2bl w:val="nil"/>
            </w:tcBorders>
            <w:shd w:val="clear" w:color="auto" w:fill="auto"/>
            <w:vAlign w:val="center"/>
          </w:tcPr>
          <w:p w14:paraId="2AEAD7DA">
            <w:pPr>
              <w:pStyle w:val="31"/>
              <w:widowControl w:val="0"/>
              <w:rPr>
                <w:rFonts w:ascii="Times New Roman"/>
                <w:sz w:val="21"/>
                <w:szCs w:val="21"/>
              </w:rPr>
            </w:pPr>
          </w:p>
        </w:tc>
        <w:tc>
          <w:tcPr>
            <w:tcW w:w="4296" w:type="pct"/>
            <w:tcBorders>
              <w:tl2br w:val="nil"/>
              <w:tr2bl w:val="nil"/>
            </w:tcBorders>
            <w:shd w:val="clear" w:color="auto" w:fill="auto"/>
            <w:vAlign w:val="center"/>
          </w:tcPr>
          <w:p w14:paraId="79A81C8B">
            <w:pPr>
              <w:pStyle w:val="31"/>
              <w:widowControl w:val="0"/>
              <w:jc w:val="both"/>
              <w:rPr>
                <w:rFonts w:ascii="Times New Roman"/>
                <w:sz w:val="21"/>
                <w:szCs w:val="21"/>
              </w:rPr>
            </w:pPr>
            <w:r>
              <w:rPr>
                <w:rFonts w:ascii="Times New Roman"/>
                <w:sz w:val="21"/>
                <w:szCs w:val="21"/>
              </w:rPr>
              <w:t>工程周边开挖、堆载、打桩等可能影响工程安全的生产活动</w:t>
            </w:r>
          </w:p>
        </w:tc>
      </w:tr>
      <w:tr w14:paraId="2FD94D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113" w:type="dxa"/>
          </w:tblCellMar>
        </w:tblPrEx>
        <w:trPr>
          <w:trHeight w:val="454" w:hRule="atLeast"/>
          <w:jc w:val="center"/>
        </w:trPr>
        <w:tc>
          <w:tcPr>
            <w:tcW w:w="703" w:type="pct"/>
            <w:vMerge w:val="restart"/>
            <w:tcBorders>
              <w:tl2br w:val="nil"/>
              <w:tr2bl w:val="nil"/>
            </w:tcBorders>
            <w:shd w:val="clear" w:color="auto" w:fill="auto"/>
            <w:vAlign w:val="center"/>
          </w:tcPr>
          <w:p w14:paraId="352D08D2">
            <w:pPr>
              <w:pStyle w:val="31"/>
              <w:widowControl w:val="0"/>
              <w:rPr>
                <w:rFonts w:ascii="Times New Roman"/>
                <w:sz w:val="21"/>
                <w:szCs w:val="21"/>
              </w:rPr>
            </w:pPr>
            <w:bookmarkStart w:id="565" w:name="_Toc19241"/>
            <w:r>
              <w:rPr>
                <w:rFonts w:ascii="Times New Roman"/>
                <w:sz w:val="21"/>
                <w:szCs w:val="21"/>
              </w:rPr>
              <w:t>监测设施</w:t>
            </w:r>
          </w:p>
        </w:tc>
        <w:tc>
          <w:tcPr>
            <w:tcW w:w="4296" w:type="pct"/>
            <w:tcBorders>
              <w:tl2br w:val="nil"/>
              <w:tr2bl w:val="nil"/>
            </w:tcBorders>
            <w:shd w:val="clear" w:color="auto" w:fill="auto"/>
            <w:vAlign w:val="center"/>
          </w:tcPr>
          <w:p w14:paraId="715D9538">
            <w:pPr>
              <w:pStyle w:val="31"/>
              <w:widowControl w:val="0"/>
              <w:jc w:val="both"/>
              <w:rPr>
                <w:rFonts w:ascii="Times New Roman"/>
                <w:sz w:val="21"/>
                <w:szCs w:val="21"/>
              </w:rPr>
            </w:pPr>
            <w:r>
              <w:rPr>
                <w:rFonts w:ascii="Times New Roman"/>
                <w:sz w:val="21"/>
                <w:szCs w:val="21"/>
              </w:rPr>
              <w:t>基准点、监测点的完好情况</w:t>
            </w:r>
          </w:p>
        </w:tc>
      </w:tr>
      <w:tr w14:paraId="2061EC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113" w:type="dxa"/>
          </w:tblCellMar>
        </w:tblPrEx>
        <w:trPr>
          <w:trHeight w:val="454" w:hRule="atLeast"/>
          <w:jc w:val="center"/>
        </w:trPr>
        <w:tc>
          <w:tcPr>
            <w:tcW w:w="703" w:type="pct"/>
            <w:vMerge w:val="continue"/>
            <w:tcBorders>
              <w:tl2br w:val="nil"/>
              <w:tr2bl w:val="nil"/>
            </w:tcBorders>
            <w:shd w:val="clear" w:color="auto" w:fill="auto"/>
            <w:vAlign w:val="center"/>
          </w:tcPr>
          <w:p w14:paraId="3D8C62F3">
            <w:pPr>
              <w:pStyle w:val="31"/>
              <w:widowControl w:val="0"/>
              <w:rPr>
                <w:rFonts w:ascii="Times New Roman"/>
                <w:sz w:val="21"/>
                <w:szCs w:val="21"/>
              </w:rPr>
            </w:pPr>
          </w:p>
        </w:tc>
        <w:tc>
          <w:tcPr>
            <w:tcW w:w="4296" w:type="pct"/>
            <w:tcBorders>
              <w:tl2br w:val="nil"/>
              <w:tr2bl w:val="nil"/>
            </w:tcBorders>
            <w:shd w:val="clear" w:color="auto" w:fill="auto"/>
            <w:vAlign w:val="center"/>
          </w:tcPr>
          <w:p w14:paraId="685C0A98">
            <w:pPr>
              <w:pStyle w:val="31"/>
              <w:widowControl w:val="0"/>
              <w:jc w:val="both"/>
              <w:rPr>
                <w:rFonts w:ascii="Times New Roman"/>
                <w:sz w:val="21"/>
                <w:szCs w:val="21"/>
              </w:rPr>
            </w:pPr>
            <w:r>
              <w:rPr>
                <w:rFonts w:ascii="Times New Roman"/>
                <w:sz w:val="21"/>
                <w:szCs w:val="21"/>
              </w:rPr>
              <w:t>监测元件的完好及保护情况</w:t>
            </w:r>
          </w:p>
        </w:tc>
      </w:tr>
      <w:tr w14:paraId="2BC073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113" w:type="dxa"/>
          </w:tblCellMar>
        </w:tblPrEx>
        <w:trPr>
          <w:trHeight w:val="454" w:hRule="atLeast"/>
          <w:jc w:val="center"/>
        </w:trPr>
        <w:tc>
          <w:tcPr>
            <w:tcW w:w="703" w:type="pct"/>
            <w:vMerge w:val="continue"/>
            <w:tcBorders>
              <w:tl2br w:val="nil"/>
              <w:tr2bl w:val="nil"/>
            </w:tcBorders>
            <w:shd w:val="clear" w:color="auto" w:fill="auto"/>
            <w:vAlign w:val="center"/>
          </w:tcPr>
          <w:p w14:paraId="217260DD">
            <w:pPr>
              <w:pStyle w:val="31"/>
              <w:widowControl w:val="0"/>
              <w:rPr>
                <w:rFonts w:ascii="Times New Roman"/>
                <w:sz w:val="21"/>
                <w:szCs w:val="21"/>
              </w:rPr>
            </w:pPr>
          </w:p>
        </w:tc>
        <w:tc>
          <w:tcPr>
            <w:tcW w:w="4296" w:type="pct"/>
            <w:tcBorders>
              <w:tl2br w:val="nil"/>
              <w:tr2bl w:val="nil"/>
            </w:tcBorders>
            <w:shd w:val="clear" w:color="auto" w:fill="auto"/>
            <w:vAlign w:val="center"/>
          </w:tcPr>
          <w:p w14:paraId="3F9448CF">
            <w:pPr>
              <w:pStyle w:val="31"/>
              <w:widowControl w:val="0"/>
              <w:jc w:val="both"/>
              <w:rPr>
                <w:rFonts w:ascii="Times New Roman"/>
                <w:sz w:val="21"/>
                <w:szCs w:val="21"/>
              </w:rPr>
            </w:pPr>
            <w:r>
              <w:rPr>
                <w:rFonts w:ascii="Times New Roman"/>
                <w:sz w:val="21"/>
                <w:szCs w:val="21"/>
              </w:rPr>
              <w:t>影响正常监测的障碍物情况等</w:t>
            </w:r>
          </w:p>
        </w:tc>
      </w:tr>
    </w:tbl>
    <w:p w14:paraId="73FD01FC"/>
    <w:p w14:paraId="14F0FF5C">
      <w:pPr>
        <w:ind w:firstLine="0"/>
        <w:rPr>
          <w:bCs/>
        </w:rPr>
      </w:pPr>
      <w:r>
        <w:rPr>
          <w:b/>
          <w:bCs/>
        </w:rPr>
        <w:t>7.2.8　</w:t>
      </w:r>
      <w:r>
        <w:rPr>
          <w:bCs/>
        </w:rPr>
        <w:t>建在处理基地上的综合管廊应在施工期间和使用期间进行沉降变形监测，直到沉降达到稳定为止。</w:t>
      </w:r>
    </w:p>
    <w:p w14:paraId="4AAA6CD8">
      <w:pPr>
        <w:keepNext/>
        <w:spacing w:before="328" w:beforeLines="100" w:after="328" w:afterLines="100" w:line="240" w:lineRule="auto"/>
        <w:ind w:firstLine="0"/>
        <w:jc w:val="center"/>
        <w:outlineLvl w:val="1"/>
        <w:rPr>
          <w:rFonts w:eastAsia="黑体"/>
          <w:b/>
          <w:bCs/>
          <w:sz w:val="28"/>
          <w:szCs w:val="28"/>
        </w:rPr>
      </w:pPr>
      <w:bookmarkStart w:id="566" w:name="_Toc19552"/>
      <w:bookmarkStart w:id="567" w:name="_Toc26792"/>
      <w:bookmarkStart w:id="568" w:name="_Toc7718"/>
      <w:bookmarkStart w:id="569" w:name="_Toc20198"/>
      <w:bookmarkStart w:id="570" w:name="_Toc24623"/>
      <w:bookmarkStart w:id="571" w:name="_Toc15463"/>
      <w:bookmarkStart w:id="572" w:name="_Toc17079"/>
      <w:bookmarkStart w:id="573" w:name="_Toc28095"/>
      <w:bookmarkStart w:id="574" w:name="_Toc23886"/>
      <w:bookmarkStart w:id="575" w:name="_Toc193392090"/>
      <w:bookmarkStart w:id="576" w:name="_Toc5445"/>
      <w:r>
        <w:rPr>
          <w:rFonts w:eastAsia="黑体"/>
          <w:b/>
          <w:bCs/>
          <w:sz w:val="28"/>
          <w:szCs w:val="28"/>
        </w:rPr>
        <w:t>7.3　监测点布置</w:t>
      </w:r>
      <w:bookmarkEnd w:id="566"/>
      <w:bookmarkEnd w:id="567"/>
      <w:bookmarkEnd w:id="568"/>
      <w:bookmarkEnd w:id="569"/>
      <w:bookmarkEnd w:id="570"/>
      <w:bookmarkEnd w:id="571"/>
      <w:bookmarkEnd w:id="572"/>
      <w:bookmarkEnd w:id="573"/>
      <w:bookmarkEnd w:id="574"/>
      <w:bookmarkEnd w:id="575"/>
      <w:bookmarkEnd w:id="576"/>
    </w:p>
    <w:p w14:paraId="26313887">
      <w:pPr>
        <w:ind w:firstLine="0"/>
        <w:rPr>
          <w:bCs/>
        </w:rPr>
      </w:pPr>
      <w:r>
        <w:rPr>
          <w:b/>
          <w:bCs/>
        </w:rPr>
        <w:t>7.3.1　</w:t>
      </w:r>
      <w:r>
        <w:rPr>
          <w:bCs/>
        </w:rPr>
        <w:t>各监测对象监测点的布设位置和数量应根据支护方案、管廊明挖段基坑工程安全等级、地质条件、综合管廊结构类型及监测方法的要求等综合确定，并应满足反映监测对象实际状态、位移和内力变化规律，及分析监测对象安全状态的要求。</w:t>
      </w:r>
    </w:p>
    <w:p w14:paraId="75D3E9BF">
      <w:pPr>
        <w:ind w:firstLine="0"/>
        <w:rPr>
          <w:bCs/>
        </w:rPr>
      </w:pPr>
      <w:r>
        <w:rPr>
          <w:b/>
          <w:bCs/>
        </w:rPr>
        <w:t>7.3.2　</w:t>
      </w:r>
      <w:r>
        <w:rPr>
          <w:bCs/>
        </w:rPr>
        <w:t>不同监测项目的监测点宜布置在同一断面上，监测点布置时尽量选择容易保护的位置，监测点布设到位后，应进行明显标记，并提醒有关施工单位在后续施工作业过程中加强对监测点的保护。</w:t>
      </w:r>
    </w:p>
    <w:p w14:paraId="3F049536">
      <w:pPr>
        <w:ind w:firstLine="0"/>
        <w:rPr>
          <w:bCs/>
        </w:rPr>
      </w:pPr>
      <w:r>
        <w:rPr>
          <w:b/>
          <w:bCs/>
        </w:rPr>
        <w:t>7.3.3　</w:t>
      </w:r>
      <w:r>
        <w:rPr>
          <w:bCs/>
        </w:rPr>
        <w:t>围护墙（边坡）顶部水平位移监测点和竖向位移监测点宜为共用点，并布置在冠梁上，监测点间距不宜大于20m。</w:t>
      </w:r>
    </w:p>
    <w:p w14:paraId="6362EF87">
      <w:pPr>
        <w:ind w:firstLine="0"/>
      </w:pPr>
      <w:r>
        <w:rPr>
          <w:b/>
          <w:bCs/>
        </w:rPr>
        <w:t>7.3.4　</w:t>
      </w:r>
      <w:r>
        <w:rPr>
          <w:bCs/>
        </w:rPr>
        <w:t>围护墙或土体深层水平位移监测点间距宜为20m</w:t>
      </w:r>
      <w:r>
        <w:t>～60m，每侧边监测点的数目不应少于1个。</w:t>
      </w:r>
    </w:p>
    <w:p w14:paraId="5513BDED">
      <w:pPr>
        <w:ind w:firstLine="0"/>
      </w:pPr>
      <w:r>
        <w:rPr>
          <w:b/>
          <w:bCs/>
        </w:rPr>
        <w:t>7.3.5　</w:t>
      </w:r>
      <w:r>
        <w:t>每层支撑的轴力监测点的数目不应少于3个，各层支撑的监测点位置宜在竖向保持一致。</w:t>
      </w:r>
    </w:p>
    <w:p w14:paraId="4AEA27B5">
      <w:pPr>
        <w:ind w:firstLine="0"/>
      </w:pPr>
      <w:r>
        <w:rPr>
          <w:b/>
          <w:bCs/>
        </w:rPr>
        <w:t>7.3.6　</w:t>
      </w:r>
      <w:r>
        <w:t>立柱竖向位移监测点不应少于立柱总根数的1/3。</w:t>
      </w:r>
    </w:p>
    <w:p w14:paraId="59164412">
      <w:pPr>
        <w:ind w:firstLine="0"/>
      </w:pPr>
      <w:r>
        <w:rPr>
          <w:b/>
          <w:bCs/>
        </w:rPr>
        <w:t>7.3.7　</w:t>
      </w:r>
      <w:r>
        <w:t>每层锚杆（索）内力监测点的数量应为该层锚杆（索）数量的1%～3%。</w:t>
      </w:r>
    </w:p>
    <w:p w14:paraId="2443B4FF">
      <w:pPr>
        <w:ind w:firstLine="0"/>
      </w:pPr>
      <w:r>
        <w:rPr>
          <w:b/>
          <w:bCs/>
        </w:rPr>
        <w:t>7.3.8　</w:t>
      </w:r>
      <w:r>
        <w:t>同一断面上坑底隆起监测点横向间距宜为10m～30m，且不宜少于3个。</w:t>
      </w:r>
    </w:p>
    <w:p w14:paraId="6BC5B2D8">
      <w:pPr>
        <w:ind w:firstLine="0"/>
      </w:pPr>
      <w:r>
        <w:rPr>
          <w:b/>
          <w:bCs/>
        </w:rPr>
        <w:t>7.3.9　</w:t>
      </w:r>
      <w:r>
        <w:t>围护墙侧向土压力监测，在平面布置上，每边的监测断面不宜少于2个，竖向监测点的间距宜为2m～5m，下部宜加密。</w:t>
      </w:r>
    </w:p>
    <w:p w14:paraId="2C0F4315">
      <w:pPr>
        <w:ind w:firstLine="0"/>
      </w:pPr>
      <w:r>
        <w:rPr>
          <w:b/>
          <w:bCs/>
        </w:rPr>
        <w:t>7.3.10　</w:t>
      </w:r>
      <w:r>
        <w:t>孔隙水压力的监测点宜在水压力变化影响深度范围内按土层布置，竖向间距宜为2m～5m，数量不宜少于3个。</w:t>
      </w:r>
    </w:p>
    <w:p w14:paraId="62D79065">
      <w:pPr>
        <w:ind w:firstLine="0"/>
      </w:pPr>
      <w:r>
        <w:rPr>
          <w:b/>
          <w:bCs/>
        </w:rPr>
        <w:t>7.3.11　</w:t>
      </w:r>
      <w:r>
        <w:rPr>
          <w:bCs/>
        </w:rPr>
        <w:t>施工过程中需对监测点采取有效的保护措施，严禁破坏监测点。</w:t>
      </w:r>
    </w:p>
    <w:p w14:paraId="43E671DD">
      <w:pPr>
        <w:ind w:firstLine="0"/>
      </w:pPr>
      <w:r>
        <w:rPr>
          <w:b/>
          <w:bCs/>
        </w:rPr>
        <w:t>7.3.12　</w:t>
      </w:r>
      <w:r>
        <w:t>建在处理地基上的综合管廊沉降监测点的布置应满足结构设计及结构监测的要求。</w:t>
      </w:r>
    </w:p>
    <w:p w14:paraId="0F85392C">
      <w:pPr>
        <w:keepNext/>
        <w:spacing w:before="328" w:beforeLines="100" w:after="328" w:afterLines="100" w:line="240" w:lineRule="auto"/>
        <w:ind w:firstLine="0"/>
        <w:jc w:val="center"/>
        <w:outlineLvl w:val="1"/>
        <w:rPr>
          <w:rFonts w:eastAsia="黑体"/>
          <w:b/>
          <w:bCs/>
          <w:sz w:val="28"/>
          <w:szCs w:val="28"/>
        </w:rPr>
      </w:pPr>
      <w:bookmarkStart w:id="577" w:name="_Toc19067"/>
      <w:bookmarkStart w:id="578" w:name="_Toc31126"/>
      <w:bookmarkStart w:id="579" w:name="_Toc193392091"/>
      <w:bookmarkStart w:id="580" w:name="_Toc732"/>
      <w:bookmarkStart w:id="581" w:name="_Toc20087"/>
      <w:bookmarkStart w:id="582" w:name="_Toc10564"/>
      <w:bookmarkStart w:id="583" w:name="_Toc1894"/>
      <w:bookmarkStart w:id="584" w:name="_Toc11546"/>
      <w:bookmarkStart w:id="585" w:name="_Toc2150"/>
      <w:bookmarkStart w:id="586" w:name="_Toc5095"/>
      <w:bookmarkStart w:id="587" w:name="_Toc4954"/>
      <w:r>
        <w:rPr>
          <w:rFonts w:eastAsia="黑体"/>
          <w:b/>
          <w:bCs/>
          <w:sz w:val="28"/>
          <w:szCs w:val="28"/>
        </w:rPr>
        <w:t>7.4　监测方法及监测频率</w:t>
      </w:r>
      <w:bookmarkEnd w:id="577"/>
      <w:bookmarkEnd w:id="578"/>
      <w:bookmarkEnd w:id="579"/>
      <w:bookmarkEnd w:id="580"/>
      <w:bookmarkEnd w:id="581"/>
      <w:bookmarkEnd w:id="582"/>
      <w:bookmarkEnd w:id="583"/>
      <w:bookmarkEnd w:id="584"/>
      <w:bookmarkEnd w:id="585"/>
      <w:bookmarkEnd w:id="586"/>
      <w:bookmarkEnd w:id="587"/>
    </w:p>
    <w:p w14:paraId="074960F2">
      <w:pPr>
        <w:ind w:firstLine="0"/>
        <w:rPr>
          <w:b/>
          <w:bCs/>
        </w:rPr>
      </w:pPr>
      <w:r>
        <w:rPr>
          <w:b/>
          <w:bCs/>
        </w:rPr>
        <w:t>7.4.1　</w:t>
      </w:r>
      <w:r>
        <w:rPr>
          <w:bCs/>
        </w:rPr>
        <w:t>监测方法应符合下列规定：</w:t>
      </w:r>
    </w:p>
    <w:p w14:paraId="1D9693BE">
      <w:pPr>
        <w:ind w:firstLine="482" w:firstLineChars="200"/>
        <w:rPr>
          <w:bCs/>
        </w:rPr>
      </w:pPr>
      <w:r>
        <w:rPr>
          <w:b/>
        </w:rPr>
        <w:t>1　</w:t>
      </w:r>
      <w:r>
        <w:rPr>
          <w:bCs/>
        </w:rPr>
        <w:t>监测方法应根据监测对象和监测项目的特点、管廊明挖段基坑安全等级、设计要求、精度要求、场地条件和当地工程经验等综合确定，并应合理易行。</w:t>
      </w:r>
    </w:p>
    <w:p w14:paraId="1CE5847D">
      <w:pPr>
        <w:ind w:firstLine="482" w:firstLineChars="200"/>
        <w:rPr>
          <w:bCs/>
        </w:rPr>
      </w:pPr>
      <w:r>
        <w:rPr>
          <w:b/>
        </w:rPr>
        <w:t>2　</w:t>
      </w:r>
      <w:r>
        <w:rPr>
          <w:bCs/>
        </w:rPr>
        <w:t>监测基准点应布设在施工影响范围以外的稳定区域，且每个监测工程的竖向位移观测的基准点不应少于3个，水平位移观测的基准点不应少于4个，基准点应定期复测。</w:t>
      </w:r>
    </w:p>
    <w:p w14:paraId="0B1A8E29">
      <w:pPr>
        <w:ind w:firstLine="482" w:firstLineChars="200"/>
        <w:rPr>
          <w:bCs/>
        </w:rPr>
      </w:pPr>
      <w:r>
        <w:rPr>
          <w:b/>
        </w:rPr>
        <w:t>3　</w:t>
      </w:r>
      <w:r>
        <w:rPr>
          <w:bCs/>
        </w:rPr>
        <w:t>监测项目初始值应在相关施工工序之前测定，应至少连续独立进行3次观测，并取其稳定值的平均值作为初始值。</w:t>
      </w:r>
    </w:p>
    <w:p w14:paraId="2EE29DE0">
      <w:pPr>
        <w:ind w:firstLine="0"/>
        <w:rPr>
          <w:b/>
          <w:bCs/>
        </w:rPr>
      </w:pPr>
      <w:r>
        <w:rPr>
          <w:b/>
          <w:bCs/>
        </w:rPr>
        <w:t>7.4.2　</w:t>
      </w:r>
      <w:r>
        <w:t>管廊明挖段支护工程</w:t>
      </w:r>
      <w:r>
        <w:rPr>
          <w:bCs/>
        </w:rPr>
        <w:t>监测频率应符合下列规定：</w:t>
      </w:r>
    </w:p>
    <w:p w14:paraId="7723A741">
      <w:pPr>
        <w:rPr>
          <w:bCs/>
        </w:rPr>
      </w:pPr>
      <w:r>
        <w:rPr>
          <w:b/>
        </w:rPr>
        <w:t>1　</w:t>
      </w:r>
      <w:r>
        <w:rPr>
          <w:bCs/>
        </w:rPr>
        <w:t>监测频率应根据施工方法、施工进度、监测对象、监测项目、地质条件等情况和特点，并结合当地工程经验进行确定；</w:t>
      </w:r>
    </w:p>
    <w:p w14:paraId="001BBFF1">
      <w:pPr>
        <w:rPr>
          <w:bCs/>
        </w:rPr>
      </w:pPr>
      <w:r>
        <w:rPr>
          <w:b/>
        </w:rPr>
        <w:t>2　</w:t>
      </w:r>
      <w:r>
        <w:rPr>
          <w:bCs/>
        </w:rPr>
        <w:t>工程施工期间，现场巡查每天不宜少于1次，并应做好巡查记录，在关键工况、特殊天气等情况下应增加巡查次数；</w:t>
      </w:r>
    </w:p>
    <w:p w14:paraId="1E91C5DE">
      <w:pPr>
        <w:rPr>
          <w:bCs/>
        </w:rPr>
      </w:pPr>
      <w:bookmarkStart w:id="588" w:name="_Toc8728"/>
      <w:bookmarkStart w:id="589" w:name="_Toc9626"/>
      <w:r>
        <w:rPr>
          <w:b/>
        </w:rPr>
        <w:t>3　</w:t>
      </w:r>
      <w:r>
        <w:rPr>
          <w:bCs/>
        </w:rPr>
        <w:t>仪器监测的监测频率宜按表</w:t>
      </w:r>
      <w:r>
        <w:rPr>
          <w:rFonts w:hint="eastAsia"/>
          <w:bCs/>
          <w:lang w:val="en-US" w:eastAsia="zh-CN"/>
        </w:rPr>
        <w:t>7</w:t>
      </w:r>
      <w:r>
        <w:rPr>
          <w:bCs/>
        </w:rPr>
        <w:t>.4.2的规定执行</w:t>
      </w:r>
      <w:bookmarkEnd w:id="588"/>
      <w:bookmarkEnd w:id="589"/>
      <w:r>
        <w:rPr>
          <w:bCs/>
        </w:rPr>
        <w:t>。</w:t>
      </w:r>
    </w:p>
    <w:p w14:paraId="5EA24265">
      <w:pPr>
        <w:jc w:val="center"/>
        <w:rPr>
          <w:b/>
          <w:bCs/>
          <w:color w:val="auto"/>
          <w:sz w:val="21"/>
          <w:szCs w:val="21"/>
        </w:rPr>
      </w:pPr>
      <w:r>
        <w:rPr>
          <w:b/>
          <w:bCs/>
          <w:color w:val="auto"/>
          <w:sz w:val="21"/>
          <w:szCs w:val="21"/>
        </w:rPr>
        <w:t>表7.4.2　仪器监测频率表</w:t>
      </w:r>
    </w:p>
    <w:tbl>
      <w:tblPr>
        <w:tblStyle w:val="13"/>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800"/>
        <w:gridCol w:w="2416"/>
        <w:gridCol w:w="2309"/>
        <w:gridCol w:w="1979"/>
      </w:tblGrid>
      <w:tr w14:paraId="6E8E61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60" w:hRule="atLeast"/>
          <w:tblHeader/>
          <w:jc w:val="center"/>
        </w:trPr>
        <w:tc>
          <w:tcPr>
            <w:tcW w:w="1800" w:type="dxa"/>
            <w:tcBorders>
              <w:tl2br w:val="nil"/>
              <w:tr2bl w:val="nil"/>
            </w:tcBorders>
            <w:vAlign w:val="center"/>
          </w:tcPr>
          <w:p w14:paraId="38C23C94">
            <w:pPr>
              <w:pStyle w:val="27"/>
              <w:spacing w:line="240" w:lineRule="auto"/>
              <w:ind w:right="28" w:firstLine="0" w:firstLineChars="0"/>
              <w:jc w:val="center"/>
              <w:rPr>
                <w:rFonts w:ascii="Times New Roman" w:hAnsi="Times New Roman" w:eastAsia="宋体"/>
                <w:sz w:val="21"/>
                <w:szCs w:val="21"/>
              </w:rPr>
            </w:pPr>
            <w:r>
              <w:rPr>
                <w:rFonts w:ascii="Times New Roman" w:hAnsi="Times New Roman" w:eastAsia="宋体"/>
                <w:sz w:val="21"/>
                <w:szCs w:val="21"/>
              </w:rPr>
              <w:t>管廊支护工程</w:t>
            </w:r>
          </w:p>
          <w:p w14:paraId="4C1772B4">
            <w:pPr>
              <w:pStyle w:val="27"/>
              <w:spacing w:line="240" w:lineRule="auto"/>
              <w:ind w:right="28" w:firstLine="0" w:firstLineChars="0"/>
              <w:jc w:val="center"/>
              <w:rPr>
                <w:rFonts w:ascii="Times New Roman" w:hAnsi="Times New Roman" w:eastAsia="宋体"/>
                <w:sz w:val="21"/>
                <w:szCs w:val="21"/>
              </w:rPr>
            </w:pPr>
            <w:r>
              <w:rPr>
                <w:rFonts w:ascii="Times New Roman" w:hAnsi="Times New Roman" w:eastAsia="宋体"/>
                <w:sz w:val="21"/>
                <w:szCs w:val="21"/>
              </w:rPr>
              <w:t>安全等级</w:t>
            </w:r>
          </w:p>
        </w:tc>
        <w:tc>
          <w:tcPr>
            <w:tcW w:w="4725" w:type="dxa"/>
            <w:gridSpan w:val="2"/>
            <w:tcBorders>
              <w:tl2br w:val="nil"/>
              <w:tr2bl w:val="nil"/>
            </w:tcBorders>
            <w:vAlign w:val="center"/>
          </w:tcPr>
          <w:p w14:paraId="4DB54F14">
            <w:pPr>
              <w:pStyle w:val="27"/>
              <w:snapToGrid/>
              <w:ind w:right="-100" w:firstLine="0" w:firstLineChars="0"/>
              <w:jc w:val="center"/>
              <w:rPr>
                <w:rFonts w:ascii="Times New Roman" w:hAnsi="Times New Roman" w:eastAsia="宋体"/>
                <w:sz w:val="21"/>
                <w:szCs w:val="21"/>
              </w:rPr>
            </w:pPr>
            <w:r>
              <w:rPr>
                <w:rFonts w:ascii="Times New Roman" w:hAnsi="Times New Roman" w:eastAsia="宋体"/>
                <w:sz w:val="21"/>
                <w:szCs w:val="21"/>
              </w:rPr>
              <w:t>施工工况</w:t>
            </w:r>
          </w:p>
        </w:tc>
        <w:tc>
          <w:tcPr>
            <w:tcW w:w="1979" w:type="dxa"/>
            <w:tcBorders>
              <w:tl2br w:val="nil"/>
              <w:tr2bl w:val="nil"/>
            </w:tcBorders>
            <w:vAlign w:val="center"/>
          </w:tcPr>
          <w:p w14:paraId="1E3DB9EE">
            <w:pPr>
              <w:pStyle w:val="27"/>
              <w:snapToGrid/>
              <w:ind w:firstLine="0" w:firstLineChars="0"/>
              <w:jc w:val="center"/>
              <w:rPr>
                <w:rFonts w:ascii="Times New Roman" w:hAnsi="Times New Roman" w:eastAsia="宋体"/>
                <w:sz w:val="21"/>
                <w:szCs w:val="21"/>
              </w:rPr>
            </w:pPr>
            <w:r>
              <w:rPr>
                <w:rFonts w:ascii="Times New Roman" w:hAnsi="Times New Roman" w:eastAsia="宋体"/>
                <w:sz w:val="21"/>
                <w:szCs w:val="21"/>
              </w:rPr>
              <w:t>监测频率</w:t>
            </w:r>
          </w:p>
        </w:tc>
      </w:tr>
      <w:tr w14:paraId="1E0B7C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800" w:type="dxa"/>
            <w:vMerge w:val="restart"/>
            <w:tcBorders>
              <w:tl2br w:val="nil"/>
              <w:tr2bl w:val="nil"/>
            </w:tcBorders>
            <w:vAlign w:val="center"/>
          </w:tcPr>
          <w:p w14:paraId="5E24C081">
            <w:pPr>
              <w:pStyle w:val="27"/>
              <w:snapToGrid/>
              <w:ind w:right="85" w:firstLine="0" w:firstLineChars="0"/>
              <w:jc w:val="center"/>
              <w:rPr>
                <w:rFonts w:ascii="Times New Roman" w:hAnsi="Times New Roman" w:eastAsia="宋体"/>
                <w:sz w:val="21"/>
                <w:szCs w:val="21"/>
              </w:rPr>
            </w:pPr>
            <w:r>
              <w:rPr>
                <w:rFonts w:ascii="Times New Roman" w:hAnsi="Times New Roman" w:eastAsia="宋体"/>
                <w:sz w:val="21"/>
                <w:szCs w:val="21"/>
              </w:rPr>
              <w:t>一级</w:t>
            </w:r>
          </w:p>
        </w:tc>
        <w:tc>
          <w:tcPr>
            <w:tcW w:w="2416" w:type="dxa"/>
            <w:vMerge w:val="restart"/>
            <w:tcBorders>
              <w:tl2br w:val="nil"/>
              <w:tr2bl w:val="nil"/>
            </w:tcBorders>
            <w:vAlign w:val="center"/>
          </w:tcPr>
          <w:p w14:paraId="21E0023D">
            <w:pPr>
              <w:pStyle w:val="27"/>
              <w:snapToGrid/>
              <w:ind w:right="15" w:firstLine="0" w:firstLineChars="0"/>
              <w:jc w:val="center"/>
              <w:rPr>
                <w:rFonts w:ascii="Times New Roman" w:hAnsi="Times New Roman" w:eastAsia="宋体"/>
                <w:sz w:val="21"/>
                <w:szCs w:val="21"/>
              </w:rPr>
            </w:pPr>
            <w:r>
              <w:rPr>
                <w:rFonts w:ascii="Times New Roman" w:hAnsi="Times New Roman" w:eastAsia="宋体"/>
                <w:sz w:val="21"/>
                <w:szCs w:val="21"/>
              </w:rPr>
              <w:t>开挖深度H</w:t>
            </w:r>
          </w:p>
        </w:tc>
        <w:tc>
          <w:tcPr>
            <w:tcW w:w="2309" w:type="dxa"/>
            <w:tcBorders>
              <w:tl2br w:val="nil"/>
              <w:tr2bl w:val="nil"/>
            </w:tcBorders>
            <w:vAlign w:val="center"/>
          </w:tcPr>
          <w:p w14:paraId="60FCE952">
            <w:pPr>
              <w:pStyle w:val="27"/>
              <w:snapToGrid/>
              <w:ind w:right="95" w:firstLine="0" w:firstLineChars="0"/>
              <w:jc w:val="center"/>
              <w:rPr>
                <w:rFonts w:ascii="Times New Roman" w:hAnsi="Times New Roman" w:eastAsia="宋体"/>
                <w:sz w:val="21"/>
                <w:szCs w:val="21"/>
              </w:rPr>
            </w:pPr>
            <w:r>
              <w:rPr>
                <w:rFonts w:ascii="Times New Roman" w:hAnsi="Times New Roman" w:eastAsia="宋体"/>
                <w:sz w:val="21"/>
                <w:szCs w:val="21"/>
              </w:rPr>
              <w:t>≤H/3</w:t>
            </w:r>
          </w:p>
        </w:tc>
        <w:tc>
          <w:tcPr>
            <w:tcW w:w="1979" w:type="dxa"/>
            <w:tcBorders>
              <w:tl2br w:val="nil"/>
              <w:tr2bl w:val="nil"/>
            </w:tcBorders>
            <w:vAlign w:val="center"/>
          </w:tcPr>
          <w:p w14:paraId="0232E0E3">
            <w:pPr>
              <w:pStyle w:val="27"/>
              <w:snapToGrid/>
              <w:ind w:right="-20" w:firstLine="0" w:firstLineChars="0"/>
              <w:jc w:val="center"/>
              <w:rPr>
                <w:rFonts w:ascii="Times New Roman" w:hAnsi="Times New Roman" w:eastAsia="宋体"/>
                <w:sz w:val="21"/>
                <w:szCs w:val="21"/>
              </w:rPr>
            </w:pPr>
            <w:r>
              <w:rPr>
                <w:rFonts w:ascii="Times New Roman" w:hAnsi="Times New Roman" w:eastAsia="宋体"/>
                <w:sz w:val="21"/>
                <w:szCs w:val="21"/>
              </w:rPr>
              <w:t>1次/（2～3）d</w:t>
            </w:r>
          </w:p>
        </w:tc>
      </w:tr>
      <w:tr w14:paraId="17BE2E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800" w:type="dxa"/>
            <w:vMerge w:val="continue"/>
            <w:tcBorders>
              <w:tl2br w:val="nil"/>
              <w:tr2bl w:val="nil"/>
            </w:tcBorders>
            <w:vAlign w:val="center"/>
          </w:tcPr>
          <w:p w14:paraId="0DE04670">
            <w:pPr>
              <w:jc w:val="center"/>
              <w:rPr>
                <w:sz w:val="21"/>
                <w:szCs w:val="21"/>
              </w:rPr>
            </w:pPr>
          </w:p>
        </w:tc>
        <w:tc>
          <w:tcPr>
            <w:tcW w:w="2416" w:type="dxa"/>
            <w:vMerge w:val="continue"/>
            <w:tcBorders>
              <w:tl2br w:val="nil"/>
              <w:tr2bl w:val="nil"/>
            </w:tcBorders>
            <w:vAlign w:val="center"/>
          </w:tcPr>
          <w:p w14:paraId="18411D58">
            <w:pPr>
              <w:pStyle w:val="27"/>
              <w:snapToGrid/>
              <w:ind w:right="15" w:firstLine="0" w:firstLineChars="0"/>
              <w:jc w:val="center"/>
              <w:rPr>
                <w:rFonts w:ascii="Times New Roman" w:hAnsi="Times New Roman" w:eastAsia="宋体"/>
                <w:sz w:val="21"/>
                <w:szCs w:val="21"/>
              </w:rPr>
            </w:pPr>
          </w:p>
        </w:tc>
        <w:tc>
          <w:tcPr>
            <w:tcW w:w="2309" w:type="dxa"/>
            <w:tcBorders>
              <w:tl2br w:val="nil"/>
              <w:tr2bl w:val="nil"/>
            </w:tcBorders>
            <w:vAlign w:val="center"/>
          </w:tcPr>
          <w:p w14:paraId="66448C7D">
            <w:pPr>
              <w:pStyle w:val="27"/>
              <w:snapToGrid/>
              <w:ind w:right="95" w:firstLine="0" w:firstLineChars="0"/>
              <w:jc w:val="center"/>
              <w:rPr>
                <w:rFonts w:ascii="Times New Roman" w:hAnsi="Times New Roman" w:eastAsia="宋体"/>
                <w:sz w:val="21"/>
                <w:szCs w:val="21"/>
              </w:rPr>
            </w:pPr>
            <w:r>
              <w:rPr>
                <w:rFonts w:ascii="Times New Roman" w:hAnsi="Times New Roman" w:eastAsia="宋体"/>
                <w:sz w:val="21"/>
                <w:szCs w:val="21"/>
              </w:rPr>
              <w:t>H/3～H2/3</w:t>
            </w:r>
          </w:p>
        </w:tc>
        <w:tc>
          <w:tcPr>
            <w:tcW w:w="1979" w:type="dxa"/>
            <w:tcBorders>
              <w:tl2br w:val="nil"/>
              <w:tr2bl w:val="nil"/>
            </w:tcBorders>
            <w:vAlign w:val="center"/>
          </w:tcPr>
          <w:p w14:paraId="5F36C033">
            <w:pPr>
              <w:pStyle w:val="27"/>
              <w:snapToGrid/>
              <w:ind w:right="-20" w:firstLine="0" w:firstLineChars="0"/>
              <w:jc w:val="center"/>
              <w:rPr>
                <w:rFonts w:ascii="Times New Roman" w:hAnsi="Times New Roman" w:eastAsia="宋体"/>
                <w:sz w:val="21"/>
                <w:szCs w:val="21"/>
              </w:rPr>
            </w:pPr>
            <w:r>
              <w:rPr>
                <w:rFonts w:ascii="Times New Roman" w:hAnsi="Times New Roman" w:eastAsia="宋体"/>
                <w:sz w:val="21"/>
                <w:szCs w:val="21"/>
              </w:rPr>
              <w:t>1次/（1～2）d</w:t>
            </w:r>
          </w:p>
        </w:tc>
      </w:tr>
      <w:tr w14:paraId="7C2095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800" w:type="dxa"/>
            <w:vMerge w:val="continue"/>
            <w:tcBorders>
              <w:tl2br w:val="nil"/>
              <w:tr2bl w:val="nil"/>
            </w:tcBorders>
            <w:vAlign w:val="center"/>
          </w:tcPr>
          <w:p w14:paraId="59931042">
            <w:pPr>
              <w:jc w:val="center"/>
              <w:rPr>
                <w:sz w:val="21"/>
                <w:szCs w:val="21"/>
              </w:rPr>
            </w:pPr>
          </w:p>
        </w:tc>
        <w:tc>
          <w:tcPr>
            <w:tcW w:w="2416" w:type="dxa"/>
            <w:vMerge w:val="continue"/>
            <w:tcBorders>
              <w:tl2br w:val="nil"/>
              <w:tr2bl w:val="nil"/>
            </w:tcBorders>
            <w:vAlign w:val="center"/>
          </w:tcPr>
          <w:p w14:paraId="11B55969">
            <w:pPr>
              <w:pStyle w:val="27"/>
              <w:snapToGrid/>
              <w:ind w:right="15" w:firstLine="0" w:firstLineChars="0"/>
              <w:jc w:val="center"/>
              <w:rPr>
                <w:rFonts w:ascii="Times New Roman" w:hAnsi="Times New Roman" w:eastAsia="宋体"/>
                <w:sz w:val="21"/>
                <w:szCs w:val="21"/>
              </w:rPr>
            </w:pPr>
          </w:p>
        </w:tc>
        <w:tc>
          <w:tcPr>
            <w:tcW w:w="2309" w:type="dxa"/>
            <w:tcBorders>
              <w:tl2br w:val="nil"/>
              <w:tr2bl w:val="nil"/>
            </w:tcBorders>
            <w:vAlign w:val="center"/>
          </w:tcPr>
          <w:p w14:paraId="33668F4B">
            <w:pPr>
              <w:pStyle w:val="27"/>
              <w:snapToGrid/>
              <w:ind w:right="95" w:firstLine="0" w:firstLineChars="0"/>
              <w:jc w:val="center"/>
              <w:rPr>
                <w:rFonts w:ascii="Times New Roman" w:hAnsi="Times New Roman" w:eastAsia="宋体"/>
                <w:sz w:val="21"/>
                <w:szCs w:val="21"/>
              </w:rPr>
            </w:pPr>
            <w:r>
              <w:rPr>
                <w:rFonts w:ascii="Times New Roman" w:hAnsi="Times New Roman" w:eastAsia="宋体"/>
                <w:sz w:val="21"/>
                <w:szCs w:val="21"/>
              </w:rPr>
              <w:t>H2/3～H</w:t>
            </w:r>
          </w:p>
        </w:tc>
        <w:tc>
          <w:tcPr>
            <w:tcW w:w="1979" w:type="dxa"/>
            <w:tcBorders>
              <w:tl2br w:val="nil"/>
              <w:tr2bl w:val="nil"/>
            </w:tcBorders>
            <w:vAlign w:val="center"/>
          </w:tcPr>
          <w:p w14:paraId="499F049C">
            <w:pPr>
              <w:pStyle w:val="27"/>
              <w:snapToGrid/>
              <w:ind w:right="-20" w:firstLine="0" w:firstLineChars="0"/>
              <w:jc w:val="center"/>
              <w:rPr>
                <w:rFonts w:ascii="Times New Roman" w:hAnsi="Times New Roman" w:eastAsia="宋体"/>
                <w:sz w:val="21"/>
                <w:szCs w:val="21"/>
              </w:rPr>
            </w:pPr>
            <w:r>
              <w:rPr>
                <w:rFonts w:ascii="Times New Roman" w:hAnsi="Times New Roman" w:eastAsia="宋体"/>
                <w:sz w:val="21"/>
                <w:szCs w:val="21"/>
              </w:rPr>
              <w:t>（1～2）次/d</w:t>
            </w:r>
          </w:p>
        </w:tc>
      </w:tr>
      <w:tr w14:paraId="0818D7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800" w:type="dxa"/>
            <w:vMerge w:val="continue"/>
            <w:tcBorders>
              <w:tl2br w:val="nil"/>
              <w:tr2bl w:val="nil"/>
            </w:tcBorders>
            <w:vAlign w:val="center"/>
          </w:tcPr>
          <w:p w14:paraId="0FE5D855">
            <w:pPr>
              <w:jc w:val="center"/>
              <w:rPr>
                <w:sz w:val="21"/>
                <w:szCs w:val="21"/>
              </w:rPr>
            </w:pPr>
          </w:p>
        </w:tc>
        <w:tc>
          <w:tcPr>
            <w:tcW w:w="2416" w:type="dxa"/>
            <w:vMerge w:val="restart"/>
            <w:tcBorders>
              <w:tl2br w:val="nil"/>
              <w:tr2bl w:val="nil"/>
            </w:tcBorders>
            <w:vAlign w:val="center"/>
          </w:tcPr>
          <w:p w14:paraId="1FDE59C2">
            <w:pPr>
              <w:pStyle w:val="27"/>
              <w:snapToGrid/>
              <w:ind w:right="15" w:firstLine="0" w:firstLineChars="0"/>
              <w:jc w:val="center"/>
              <w:rPr>
                <w:rFonts w:ascii="Times New Roman" w:hAnsi="Times New Roman" w:eastAsia="宋体"/>
                <w:sz w:val="21"/>
                <w:szCs w:val="21"/>
              </w:rPr>
            </w:pPr>
            <w:r>
              <w:rPr>
                <w:rFonts w:ascii="Times New Roman" w:hAnsi="Times New Roman" w:eastAsia="宋体"/>
                <w:sz w:val="21"/>
                <w:szCs w:val="21"/>
              </w:rPr>
              <w:t>底板浇筑后时间（d）</w:t>
            </w:r>
          </w:p>
        </w:tc>
        <w:tc>
          <w:tcPr>
            <w:tcW w:w="2309" w:type="dxa"/>
            <w:tcBorders>
              <w:tl2br w:val="nil"/>
              <w:tr2bl w:val="nil"/>
            </w:tcBorders>
            <w:vAlign w:val="center"/>
          </w:tcPr>
          <w:p w14:paraId="22A2498C">
            <w:pPr>
              <w:pStyle w:val="27"/>
              <w:snapToGrid/>
              <w:ind w:right="95" w:firstLine="0" w:firstLineChars="0"/>
              <w:jc w:val="center"/>
              <w:rPr>
                <w:rFonts w:ascii="Times New Roman" w:hAnsi="Times New Roman" w:eastAsia="宋体"/>
                <w:sz w:val="21"/>
                <w:szCs w:val="21"/>
              </w:rPr>
            </w:pPr>
            <w:r>
              <w:rPr>
                <w:rFonts w:ascii="Times New Roman" w:hAnsi="Times New Roman" w:eastAsia="宋体"/>
                <w:sz w:val="21"/>
                <w:szCs w:val="21"/>
              </w:rPr>
              <w:t>≤7</w:t>
            </w:r>
          </w:p>
        </w:tc>
        <w:tc>
          <w:tcPr>
            <w:tcW w:w="1979" w:type="dxa"/>
            <w:tcBorders>
              <w:tl2br w:val="nil"/>
              <w:tr2bl w:val="nil"/>
            </w:tcBorders>
            <w:vAlign w:val="center"/>
          </w:tcPr>
          <w:p w14:paraId="45E3103A">
            <w:pPr>
              <w:pStyle w:val="27"/>
              <w:snapToGrid/>
              <w:ind w:right="-20" w:firstLine="0" w:firstLineChars="0"/>
              <w:jc w:val="center"/>
              <w:rPr>
                <w:rFonts w:ascii="Times New Roman" w:hAnsi="Times New Roman" w:eastAsia="宋体"/>
                <w:sz w:val="21"/>
                <w:szCs w:val="21"/>
              </w:rPr>
            </w:pPr>
            <w:r>
              <w:rPr>
                <w:rFonts w:ascii="Times New Roman" w:hAnsi="Times New Roman" w:eastAsia="宋体"/>
                <w:sz w:val="21"/>
                <w:szCs w:val="21"/>
              </w:rPr>
              <w:t>1次/d</w:t>
            </w:r>
          </w:p>
        </w:tc>
      </w:tr>
      <w:tr w14:paraId="6D8687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800" w:type="dxa"/>
            <w:vMerge w:val="continue"/>
            <w:tcBorders>
              <w:tl2br w:val="nil"/>
              <w:tr2bl w:val="nil"/>
            </w:tcBorders>
            <w:vAlign w:val="center"/>
          </w:tcPr>
          <w:p w14:paraId="3C924BBF">
            <w:pPr>
              <w:jc w:val="center"/>
              <w:rPr>
                <w:sz w:val="21"/>
                <w:szCs w:val="21"/>
              </w:rPr>
            </w:pPr>
          </w:p>
        </w:tc>
        <w:tc>
          <w:tcPr>
            <w:tcW w:w="2416" w:type="dxa"/>
            <w:vMerge w:val="continue"/>
            <w:tcBorders>
              <w:tl2br w:val="nil"/>
              <w:tr2bl w:val="nil"/>
            </w:tcBorders>
            <w:vAlign w:val="center"/>
          </w:tcPr>
          <w:p w14:paraId="4891BCDC">
            <w:pPr>
              <w:pStyle w:val="27"/>
              <w:snapToGrid/>
              <w:ind w:right="15" w:firstLine="0" w:firstLineChars="0"/>
              <w:jc w:val="center"/>
              <w:rPr>
                <w:rFonts w:ascii="Times New Roman" w:hAnsi="Times New Roman" w:eastAsia="宋体"/>
                <w:sz w:val="21"/>
                <w:szCs w:val="21"/>
              </w:rPr>
            </w:pPr>
          </w:p>
        </w:tc>
        <w:tc>
          <w:tcPr>
            <w:tcW w:w="2309" w:type="dxa"/>
            <w:tcBorders>
              <w:tl2br w:val="nil"/>
              <w:tr2bl w:val="nil"/>
            </w:tcBorders>
            <w:vAlign w:val="center"/>
          </w:tcPr>
          <w:p w14:paraId="43E76FD3">
            <w:pPr>
              <w:pStyle w:val="27"/>
              <w:snapToGrid/>
              <w:ind w:right="95" w:firstLine="0" w:firstLineChars="0"/>
              <w:jc w:val="center"/>
              <w:rPr>
                <w:rFonts w:ascii="Times New Roman" w:hAnsi="Times New Roman" w:eastAsia="宋体"/>
                <w:sz w:val="21"/>
                <w:szCs w:val="21"/>
              </w:rPr>
            </w:pPr>
            <w:r>
              <w:rPr>
                <w:rFonts w:ascii="Times New Roman" w:hAnsi="Times New Roman" w:eastAsia="宋体"/>
                <w:sz w:val="21"/>
                <w:szCs w:val="21"/>
              </w:rPr>
              <w:t>7～14</w:t>
            </w:r>
          </w:p>
        </w:tc>
        <w:tc>
          <w:tcPr>
            <w:tcW w:w="1979" w:type="dxa"/>
            <w:tcBorders>
              <w:tl2br w:val="nil"/>
              <w:tr2bl w:val="nil"/>
            </w:tcBorders>
            <w:vAlign w:val="center"/>
          </w:tcPr>
          <w:p w14:paraId="163E78F8">
            <w:pPr>
              <w:pStyle w:val="27"/>
              <w:snapToGrid/>
              <w:ind w:right="-20" w:firstLine="0" w:firstLineChars="0"/>
              <w:jc w:val="center"/>
              <w:rPr>
                <w:rFonts w:ascii="Times New Roman" w:hAnsi="Times New Roman" w:eastAsia="宋体"/>
                <w:sz w:val="21"/>
                <w:szCs w:val="21"/>
              </w:rPr>
            </w:pPr>
            <w:r>
              <w:rPr>
                <w:rFonts w:ascii="Times New Roman" w:hAnsi="Times New Roman" w:eastAsia="宋体"/>
                <w:sz w:val="21"/>
                <w:szCs w:val="21"/>
              </w:rPr>
              <w:t>1次/3d</w:t>
            </w:r>
          </w:p>
        </w:tc>
      </w:tr>
      <w:tr w14:paraId="7D9891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800" w:type="dxa"/>
            <w:vMerge w:val="continue"/>
            <w:tcBorders>
              <w:tl2br w:val="nil"/>
              <w:tr2bl w:val="nil"/>
            </w:tcBorders>
            <w:vAlign w:val="center"/>
          </w:tcPr>
          <w:p w14:paraId="60DE9148">
            <w:pPr>
              <w:jc w:val="center"/>
              <w:rPr>
                <w:sz w:val="21"/>
                <w:szCs w:val="21"/>
              </w:rPr>
            </w:pPr>
          </w:p>
        </w:tc>
        <w:tc>
          <w:tcPr>
            <w:tcW w:w="2416" w:type="dxa"/>
            <w:vMerge w:val="continue"/>
            <w:tcBorders>
              <w:tl2br w:val="nil"/>
              <w:tr2bl w:val="nil"/>
            </w:tcBorders>
            <w:vAlign w:val="center"/>
          </w:tcPr>
          <w:p w14:paraId="109C1776">
            <w:pPr>
              <w:pStyle w:val="27"/>
              <w:snapToGrid/>
              <w:ind w:right="15" w:firstLine="0" w:firstLineChars="0"/>
              <w:jc w:val="center"/>
              <w:rPr>
                <w:rFonts w:ascii="Times New Roman" w:hAnsi="Times New Roman" w:eastAsia="宋体"/>
                <w:sz w:val="21"/>
                <w:szCs w:val="21"/>
              </w:rPr>
            </w:pPr>
          </w:p>
        </w:tc>
        <w:tc>
          <w:tcPr>
            <w:tcW w:w="2309" w:type="dxa"/>
            <w:tcBorders>
              <w:tl2br w:val="nil"/>
              <w:tr2bl w:val="nil"/>
            </w:tcBorders>
            <w:vAlign w:val="center"/>
          </w:tcPr>
          <w:p w14:paraId="120335EC">
            <w:pPr>
              <w:pStyle w:val="27"/>
              <w:snapToGrid/>
              <w:ind w:right="95" w:firstLine="0" w:firstLineChars="0"/>
              <w:jc w:val="center"/>
              <w:rPr>
                <w:rFonts w:ascii="Times New Roman" w:hAnsi="Times New Roman" w:eastAsia="宋体"/>
                <w:sz w:val="21"/>
                <w:szCs w:val="21"/>
              </w:rPr>
            </w:pPr>
            <w:r>
              <w:rPr>
                <w:rFonts w:ascii="Times New Roman" w:hAnsi="Times New Roman" w:eastAsia="宋体"/>
                <w:sz w:val="21"/>
                <w:szCs w:val="21"/>
              </w:rPr>
              <w:t>14～28</w:t>
            </w:r>
          </w:p>
        </w:tc>
        <w:tc>
          <w:tcPr>
            <w:tcW w:w="1979" w:type="dxa"/>
            <w:tcBorders>
              <w:tl2br w:val="nil"/>
              <w:tr2bl w:val="nil"/>
            </w:tcBorders>
            <w:vAlign w:val="center"/>
          </w:tcPr>
          <w:p w14:paraId="49483875">
            <w:pPr>
              <w:pStyle w:val="27"/>
              <w:snapToGrid/>
              <w:ind w:right="-20" w:firstLine="0" w:firstLineChars="0"/>
              <w:jc w:val="center"/>
              <w:rPr>
                <w:rFonts w:ascii="Times New Roman" w:hAnsi="Times New Roman" w:eastAsia="宋体"/>
                <w:sz w:val="21"/>
                <w:szCs w:val="21"/>
              </w:rPr>
            </w:pPr>
            <w:r>
              <w:rPr>
                <w:rFonts w:ascii="Times New Roman" w:hAnsi="Times New Roman" w:eastAsia="宋体"/>
                <w:sz w:val="21"/>
                <w:szCs w:val="21"/>
              </w:rPr>
              <w:t>1次/5d</w:t>
            </w:r>
          </w:p>
        </w:tc>
      </w:tr>
      <w:tr w14:paraId="319319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800" w:type="dxa"/>
            <w:vMerge w:val="continue"/>
            <w:tcBorders>
              <w:tl2br w:val="nil"/>
              <w:tr2bl w:val="nil"/>
            </w:tcBorders>
            <w:vAlign w:val="center"/>
          </w:tcPr>
          <w:p w14:paraId="564EE2CF">
            <w:pPr>
              <w:jc w:val="center"/>
              <w:rPr>
                <w:sz w:val="21"/>
                <w:szCs w:val="21"/>
              </w:rPr>
            </w:pPr>
          </w:p>
        </w:tc>
        <w:tc>
          <w:tcPr>
            <w:tcW w:w="2416" w:type="dxa"/>
            <w:vMerge w:val="continue"/>
            <w:tcBorders>
              <w:tl2br w:val="nil"/>
              <w:tr2bl w:val="nil"/>
            </w:tcBorders>
            <w:vAlign w:val="center"/>
          </w:tcPr>
          <w:p w14:paraId="3EC4F16D">
            <w:pPr>
              <w:pStyle w:val="27"/>
              <w:snapToGrid/>
              <w:ind w:right="15" w:firstLine="0" w:firstLineChars="0"/>
              <w:jc w:val="center"/>
              <w:rPr>
                <w:rFonts w:ascii="Times New Roman" w:hAnsi="Times New Roman" w:eastAsia="宋体"/>
                <w:sz w:val="21"/>
                <w:szCs w:val="21"/>
              </w:rPr>
            </w:pPr>
          </w:p>
        </w:tc>
        <w:tc>
          <w:tcPr>
            <w:tcW w:w="2309" w:type="dxa"/>
            <w:tcBorders>
              <w:tl2br w:val="nil"/>
              <w:tr2bl w:val="nil"/>
            </w:tcBorders>
            <w:vAlign w:val="center"/>
          </w:tcPr>
          <w:p w14:paraId="1A470102">
            <w:pPr>
              <w:pStyle w:val="27"/>
              <w:snapToGrid/>
              <w:ind w:right="95" w:firstLine="0" w:firstLineChars="0"/>
              <w:jc w:val="center"/>
              <w:rPr>
                <w:rFonts w:ascii="Times New Roman" w:hAnsi="Times New Roman" w:eastAsia="宋体"/>
                <w:sz w:val="21"/>
                <w:szCs w:val="21"/>
              </w:rPr>
            </w:pPr>
            <w:r>
              <w:rPr>
                <w:rFonts w:ascii="Times New Roman" w:hAnsi="Times New Roman" w:eastAsia="宋体"/>
                <w:sz w:val="21"/>
                <w:szCs w:val="21"/>
              </w:rPr>
              <w:t>&gt;28</w:t>
            </w:r>
          </w:p>
        </w:tc>
        <w:tc>
          <w:tcPr>
            <w:tcW w:w="1979" w:type="dxa"/>
            <w:tcBorders>
              <w:tl2br w:val="nil"/>
              <w:tr2bl w:val="nil"/>
            </w:tcBorders>
            <w:vAlign w:val="center"/>
          </w:tcPr>
          <w:p w14:paraId="60A449E2">
            <w:pPr>
              <w:pStyle w:val="27"/>
              <w:snapToGrid/>
              <w:ind w:right="-20" w:firstLine="0" w:firstLineChars="0"/>
              <w:jc w:val="center"/>
              <w:rPr>
                <w:rFonts w:ascii="Times New Roman" w:hAnsi="Times New Roman" w:eastAsia="宋体"/>
                <w:sz w:val="21"/>
                <w:szCs w:val="21"/>
              </w:rPr>
            </w:pPr>
            <w:r>
              <w:rPr>
                <w:rFonts w:ascii="Times New Roman" w:hAnsi="Times New Roman" w:eastAsia="宋体"/>
                <w:sz w:val="21"/>
                <w:szCs w:val="21"/>
              </w:rPr>
              <w:t>1次/7d</w:t>
            </w:r>
          </w:p>
        </w:tc>
      </w:tr>
      <w:tr w14:paraId="075F08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800" w:type="dxa"/>
            <w:vMerge w:val="restart"/>
            <w:tcBorders>
              <w:tl2br w:val="nil"/>
              <w:tr2bl w:val="nil"/>
            </w:tcBorders>
            <w:vAlign w:val="center"/>
          </w:tcPr>
          <w:p w14:paraId="7A84F2A8">
            <w:pPr>
              <w:pStyle w:val="27"/>
              <w:snapToGrid/>
              <w:ind w:right="85" w:firstLine="0" w:firstLineChars="0"/>
              <w:jc w:val="center"/>
              <w:rPr>
                <w:rFonts w:ascii="Times New Roman" w:hAnsi="Times New Roman" w:eastAsia="宋体"/>
                <w:sz w:val="21"/>
                <w:szCs w:val="21"/>
              </w:rPr>
            </w:pPr>
            <w:r>
              <w:rPr>
                <w:rFonts w:ascii="Times New Roman" w:hAnsi="Times New Roman" w:eastAsia="宋体"/>
                <w:sz w:val="21"/>
                <w:szCs w:val="21"/>
              </w:rPr>
              <w:t>二级</w:t>
            </w:r>
          </w:p>
        </w:tc>
        <w:tc>
          <w:tcPr>
            <w:tcW w:w="2416" w:type="dxa"/>
            <w:vMerge w:val="restart"/>
            <w:tcBorders>
              <w:tl2br w:val="nil"/>
              <w:tr2bl w:val="nil"/>
            </w:tcBorders>
            <w:vAlign w:val="center"/>
          </w:tcPr>
          <w:p w14:paraId="1F7FAB5D">
            <w:pPr>
              <w:pStyle w:val="27"/>
              <w:snapToGrid/>
              <w:ind w:right="15" w:firstLine="0" w:firstLineChars="0"/>
              <w:jc w:val="center"/>
              <w:rPr>
                <w:rFonts w:ascii="Times New Roman" w:hAnsi="Times New Roman" w:eastAsia="宋体"/>
                <w:sz w:val="21"/>
                <w:szCs w:val="21"/>
              </w:rPr>
            </w:pPr>
            <w:r>
              <w:rPr>
                <w:rFonts w:ascii="Times New Roman" w:hAnsi="Times New Roman" w:eastAsia="宋体"/>
                <w:sz w:val="21"/>
                <w:szCs w:val="21"/>
              </w:rPr>
              <w:t>开挖深度H</w:t>
            </w:r>
          </w:p>
        </w:tc>
        <w:tc>
          <w:tcPr>
            <w:tcW w:w="2309" w:type="dxa"/>
            <w:tcBorders>
              <w:tl2br w:val="nil"/>
              <w:tr2bl w:val="nil"/>
            </w:tcBorders>
            <w:vAlign w:val="center"/>
          </w:tcPr>
          <w:p w14:paraId="337AE41B">
            <w:pPr>
              <w:pStyle w:val="27"/>
              <w:snapToGrid/>
              <w:ind w:right="95" w:firstLine="0" w:firstLineChars="0"/>
              <w:jc w:val="center"/>
              <w:rPr>
                <w:rFonts w:ascii="Times New Roman" w:hAnsi="Times New Roman" w:eastAsia="宋体"/>
                <w:sz w:val="21"/>
                <w:szCs w:val="21"/>
              </w:rPr>
            </w:pPr>
            <w:r>
              <w:rPr>
                <w:rFonts w:ascii="Times New Roman" w:hAnsi="Times New Roman" w:eastAsia="宋体"/>
                <w:sz w:val="21"/>
                <w:szCs w:val="21"/>
              </w:rPr>
              <w:t>≤H/3</w:t>
            </w:r>
          </w:p>
        </w:tc>
        <w:tc>
          <w:tcPr>
            <w:tcW w:w="1979" w:type="dxa"/>
            <w:tcBorders>
              <w:tl2br w:val="nil"/>
              <w:tr2bl w:val="nil"/>
            </w:tcBorders>
            <w:vAlign w:val="center"/>
          </w:tcPr>
          <w:p w14:paraId="7AA67A98">
            <w:pPr>
              <w:pStyle w:val="27"/>
              <w:snapToGrid/>
              <w:ind w:right="-20" w:firstLine="0" w:firstLineChars="0"/>
              <w:jc w:val="center"/>
              <w:rPr>
                <w:rFonts w:ascii="Times New Roman" w:hAnsi="Times New Roman" w:eastAsia="宋体"/>
                <w:sz w:val="21"/>
                <w:szCs w:val="21"/>
              </w:rPr>
            </w:pPr>
            <w:r>
              <w:rPr>
                <w:rFonts w:ascii="Times New Roman" w:hAnsi="Times New Roman" w:eastAsia="宋体"/>
                <w:sz w:val="21"/>
                <w:szCs w:val="21"/>
              </w:rPr>
              <w:t>1次/3d</w:t>
            </w:r>
          </w:p>
        </w:tc>
      </w:tr>
      <w:tr w14:paraId="7EE882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800" w:type="dxa"/>
            <w:vMerge w:val="continue"/>
            <w:tcBorders>
              <w:tl2br w:val="nil"/>
              <w:tr2bl w:val="nil"/>
            </w:tcBorders>
            <w:vAlign w:val="center"/>
          </w:tcPr>
          <w:p w14:paraId="66F2FE22">
            <w:pPr>
              <w:pStyle w:val="27"/>
              <w:snapToGrid/>
              <w:ind w:right="85" w:firstLine="0" w:firstLineChars="0"/>
              <w:jc w:val="center"/>
              <w:rPr>
                <w:rFonts w:ascii="Times New Roman" w:hAnsi="Times New Roman" w:eastAsia="宋体"/>
                <w:sz w:val="21"/>
                <w:szCs w:val="21"/>
              </w:rPr>
            </w:pPr>
          </w:p>
        </w:tc>
        <w:tc>
          <w:tcPr>
            <w:tcW w:w="2416" w:type="dxa"/>
            <w:vMerge w:val="continue"/>
            <w:tcBorders>
              <w:tl2br w:val="nil"/>
              <w:tr2bl w:val="nil"/>
            </w:tcBorders>
            <w:vAlign w:val="center"/>
          </w:tcPr>
          <w:p w14:paraId="57AFD360">
            <w:pPr>
              <w:pStyle w:val="27"/>
              <w:snapToGrid/>
              <w:ind w:right="15" w:firstLine="0" w:firstLineChars="0"/>
              <w:jc w:val="center"/>
              <w:rPr>
                <w:rFonts w:ascii="Times New Roman" w:hAnsi="Times New Roman" w:eastAsia="宋体"/>
                <w:sz w:val="21"/>
                <w:szCs w:val="21"/>
              </w:rPr>
            </w:pPr>
          </w:p>
        </w:tc>
        <w:tc>
          <w:tcPr>
            <w:tcW w:w="2309" w:type="dxa"/>
            <w:tcBorders>
              <w:tl2br w:val="nil"/>
              <w:tr2bl w:val="nil"/>
            </w:tcBorders>
            <w:vAlign w:val="center"/>
          </w:tcPr>
          <w:p w14:paraId="64770612">
            <w:pPr>
              <w:pStyle w:val="27"/>
              <w:snapToGrid/>
              <w:ind w:right="95" w:firstLine="0" w:firstLineChars="0"/>
              <w:jc w:val="center"/>
              <w:rPr>
                <w:rFonts w:ascii="Times New Roman" w:hAnsi="Times New Roman" w:eastAsia="宋体"/>
                <w:sz w:val="21"/>
                <w:szCs w:val="21"/>
              </w:rPr>
            </w:pPr>
            <w:r>
              <w:rPr>
                <w:rFonts w:ascii="Times New Roman" w:hAnsi="Times New Roman" w:eastAsia="宋体"/>
                <w:sz w:val="21"/>
                <w:szCs w:val="21"/>
              </w:rPr>
              <w:t>H/3～H2/3</w:t>
            </w:r>
          </w:p>
        </w:tc>
        <w:tc>
          <w:tcPr>
            <w:tcW w:w="1979" w:type="dxa"/>
            <w:tcBorders>
              <w:tl2br w:val="nil"/>
              <w:tr2bl w:val="nil"/>
            </w:tcBorders>
            <w:vAlign w:val="center"/>
          </w:tcPr>
          <w:p w14:paraId="2C52777F">
            <w:pPr>
              <w:pStyle w:val="27"/>
              <w:snapToGrid/>
              <w:ind w:right="-20" w:firstLine="0" w:firstLineChars="0"/>
              <w:jc w:val="center"/>
              <w:rPr>
                <w:rFonts w:ascii="Times New Roman" w:hAnsi="Times New Roman" w:eastAsia="宋体"/>
                <w:sz w:val="21"/>
                <w:szCs w:val="21"/>
              </w:rPr>
            </w:pPr>
            <w:r>
              <w:rPr>
                <w:rFonts w:ascii="Times New Roman" w:hAnsi="Times New Roman" w:eastAsia="宋体"/>
                <w:sz w:val="21"/>
                <w:szCs w:val="21"/>
              </w:rPr>
              <w:t>1次/2d</w:t>
            </w:r>
          </w:p>
        </w:tc>
      </w:tr>
      <w:tr w14:paraId="3C4583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800" w:type="dxa"/>
            <w:vMerge w:val="continue"/>
            <w:tcBorders>
              <w:tl2br w:val="nil"/>
              <w:tr2bl w:val="nil"/>
            </w:tcBorders>
            <w:vAlign w:val="center"/>
          </w:tcPr>
          <w:p w14:paraId="585FEF9F">
            <w:pPr>
              <w:pStyle w:val="27"/>
              <w:snapToGrid/>
              <w:ind w:right="85" w:firstLine="0" w:firstLineChars="0"/>
              <w:jc w:val="center"/>
              <w:rPr>
                <w:rFonts w:ascii="Times New Roman" w:hAnsi="Times New Roman" w:eastAsia="宋体"/>
                <w:sz w:val="21"/>
                <w:szCs w:val="21"/>
              </w:rPr>
            </w:pPr>
          </w:p>
        </w:tc>
        <w:tc>
          <w:tcPr>
            <w:tcW w:w="2416" w:type="dxa"/>
            <w:vMerge w:val="continue"/>
            <w:tcBorders>
              <w:tl2br w:val="nil"/>
              <w:tr2bl w:val="nil"/>
            </w:tcBorders>
            <w:vAlign w:val="center"/>
          </w:tcPr>
          <w:p w14:paraId="384597FC">
            <w:pPr>
              <w:pStyle w:val="27"/>
              <w:snapToGrid/>
              <w:ind w:right="15" w:firstLine="0" w:firstLineChars="0"/>
              <w:jc w:val="center"/>
              <w:rPr>
                <w:rFonts w:ascii="Times New Roman" w:hAnsi="Times New Roman" w:eastAsia="宋体"/>
                <w:sz w:val="21"/>
                <w:szCs w:val="21"/>
              </w:rPr>
            </w:pPr>
          </w:p>
        </w:tc>
        <w:tc>
          <w:tcPr>
            <w:tcW w:w="2309" w:type="dxa"/>
            <w:tcBorders>
              <w:tl2br w:val="nil"/>
              <w:tr2bl w:val="nil"/>
            </w:tcBorders>
            <w:vAlign w:val="center"/>
          </w:tcPr>
          <w:p w14:paraId="314FA2AD">
            <w:pPr>
              <w:pStyle w:val="27"/>
              <w:snapToGrid/>
              <w:ind w:right="95" w:firstLine="0" w:firstLineChars="0"/>
              <w:jc w:val="center"/>
              <w:rPr>
                <w:rFonts w:ascii="Times New Roman" w:hAnsi="Times New Roman" w:eastAsia="宋体"/>
                <w:sz w:val="21"/>
                <w:szCs w:val="21"/>
              </w:rPr>
            </w:pPr>
            <w:r>
              <w:rPr>
                <w:rFonts w:ascii="Times New Roman" w:hAnsi="Times New Roman" w:eastAsia="宋体"/>
                <w:sz w:val="21"/>
                <w:szCs w:val="21"/>
              </w:rPr>
              <w:t>H2/3～H</w:t>
            </w:r>
          </w:p>
        </w:tc>
        <w:tc>
          <w:tcPr>
            <w:tcW w:w="1979" w:type="dxa"/>
            <w:tcBorders>
              <w:tl2br w:val="nil"/>
              <w:tr2bl w:val="nil"/>
            </w:tcBorders>
            <w:vAlign w:val="center"/>
          </w:tcPr>
          <w:p w14:paraId="5CBD1DE0">
            <w:pPr>
              <w:pStyle w:val="27"/>
              <w:snapToGrid/>
              <w:ind w:right="-20" w:firstLine="0" w:firstLineChars="0"/>
              <w:jc w:val="center"/>
              <w:rPr>
                <w:rFonts w:ascii="Times New Roman" w:hAnsi="Times New Roman" w:eastAsia="宋体"/>
                <w:sz w:val="21"/>
                <w:szCs w:val="21"/>
              </w:rPr>
            </w:pPr>
            <w:r>
              <w:rPr>
                <w:rFonts w:ascii="Times New Roman" w:hAnsi="Times New Roman" w:eastAsia="宋体"/>
                <w:sz w:val="21"/>
                <w:szCs w:val="21"/>
              </w:rPr>
              <w:t>1次/d</w:t>
            </w:r>
          </w:p>
        </w:tc>
      </w:tr>
      <w:tr w14:paraId="2D6FF0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800" w:type="dxa"/>
            <w:vMerge w:val="continue"/>
            <w:tcBorders>
              <w:tl2br w:val="nil"/>
              <w:tr2bl w:val="nil"/>
            </w:tcBorders>
            <w:vAlign w:val="center"/>
          </w:tcPr>
          <w:p w14:paraId="39E80E9E">
            <w:pPr>
              <w:jc w:val="center"/>
              <w:rPr>
                <w:sz w:val="21"/>
                <w:szCs w:val="21"/>
              </w:rPr>
            </w:pPr>
          </w:p>
        </w:tc>
        <w:tc>
          <w:tcPr>
            <w:tcW w:w="2416" w:type="dxa"/>
            <w:vMerge w:val="restart"/>
            <w:tcBorders>
              <w:tl2br w:val="nil"/>
              <w:tr2bl w:val="nil"/>
            </w:tcBorders>
            <w:vAlign w:val="center"/>
          </w:tcPr>
          <w:p w14:paraId="2E45554C">
            <w:pPr>
              <w:pStyle w:val="27"/>
              <w:snapToGrid/>
              <w:ind w:right="15" w:firstLine="0" w:firstLineChars="0"/>
              <w:jc w:val="center"/>
              <w:rPr>
                <w:rFonts w:ascii="Times New Roman" w:hAnsi="Times New Roman" w:eastAsia="宋体"/>
                <w:sz w:val="21"/>
                <w:szCs w:val="21"/>
              </w:rPr>
            </w:pPr>
            <w:r>
              <w:rPr>
                <w:rFonts w:ascii="Times New Roman" w:hAnsi="Times New Roman" w:eastAsia="宋体"/>
                <w:sz w:val="21"/>
                <w:szCs w:val="21"/>
              </w:rPr>
              <w:t>底板浇筑后时间（d）</w:t>
            </w:r>
          </w:p>
        </w:tc>
        <w:tc>
          <w:tcPr>
            <w:tcW w:w="2309" w:type="dxa"/>
            <w:tcBorders>
              <w:tl2br w:val="nil"/>
              <w:tr2bl w:val="nil"/>
            </w:tcBorders>
            <w:vAlign w:val="center"/>
          </w:tcPr>
          <w:p w14:paraId="77ACAE8B">
            <w:pPr>
              <w:pStyle w:val="27"/>
              <w:snapToGrid/>
              <w:ind w:right="95" w:firstLine="0" w:firstLineChars="0"/>
              <w:jc w:val="center"/>
              <w:rPr>
                <w:rFonts w:ascii="Times New Roman" w:hAnsi="Times New Roman" w:eastAsia="宋体"/>
                <w:sz w:val="21"/>
                <w:szCs w:val="21"/>
              </w:rPr>
            </w:pPr>
            <w:r>
              <w:rPr>
                <w:rFonts w:ascii="Times New Roman" w:hAnsi="Times New Roman" w:eastAsia="宋体"/>
                <w:sz w:val="21"/>
                <w:szCs w:val="21"/>
              </w:rPr>
              <w:t>≤7</w:t>
            </w:r>
          </w:p>
        </w:tc>
        <w:tc>
          <w:tcPr>
            <w:tcW w:w="1979" w:type="dxa"/>
            <w:tcBorders>
              <w:tl2br w:val="nil"/>
              <w:tr2bl w:val="nil"/>
            </w:tcBorders>
            <w:vAlign w:val="center"/>
          </w:tcPr>
          <w:p w14:paraId="2EAE30D5">
            <w:pPr>
              <w:pStyle w:val="27"/>
              <w:snapToGrid/>
              <w:ind w:right="-20" w:firstLine="0" w:firstLineChars="0"/>
              <w:jc w:val="center"/>
              <w:rPr>
                <w:rFonts w:ascii="Times New Roman" w:hAnsi="Times New Roman" w:eastAsia="宋体"/>
                <w:sz w:val="21"/>
                <w:szCs w:val="21"/>
              </w:rPr>
            </w:pPr>
            <w:r>
              <w:rPr>
                <w:rFonts w:ascii="Times New Roman" w:hAnsi="Times New Roman" w:eastAsia="宋体"/>
                <w:sz w:val="21"/>
                <w:szCs w:val="21"/>
              </w:rPr>
              <w:t>1次/2d</w:t>
            </w:r>
          </w:p>
        </w:tc>
      </w:tr>
      <w:tr w14:paraId="7419C9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800" w:type="dxa"/>
            <w:vMerge w:val="continue"/>
            <w:tcBorders>
              <w:tl2br w:val="nil"/>
              <w:tr2bl w:val="nil"/>
            </w:tcBorders>
            <w:vAlign w:val="center"/>
          </w:tcPr>
          <w:p w14:paraId="52D2FA61">
            <w:pPr>
              <w:jc w:val="center"/>
              <w:rPr>
                <w:sz w:val="21"/>
                <w:szCs w:val="21"/>
              </w:rPr>
            </w:pPr>
          </w:p>
        </w:tc>
        <w:tc>
          <w:tcPr>
            <w:tcW w:w="2416" w:type="dxa"/>
            <w:vMerge w:val="continue"/>
            <w:tcBorders>
              <w:tl2br w:val="nil"/>
              <w:tr2bl w:val="nil"/>
            </w:tcBorders>
            <w:vAlign w:val="center"/>
          </w:tcPr>
          <w:p w14:paraId="6E1478A3">
            <w:pPr>
              <w:pStyle w:val="27"/>
              <w:snapToGrid/>
              <w:ind w:right="15" w:firstLine="0" w:firstLineChars="0"/>
              <w:jc w:val="center"/>
              <w:rPr>
                <w:rFonts w:ascii="Times New Roman" w:hAnsi="Times New Roman" w:eastAsia="宋体"/>
                <w:sz w:val="21"/>
                <w:szCs w:val="21"/>
              </w:rPr>
            </w:pPr>
          </w:p>
        </w:tc>
        <w:tc>
          <w:tcPr>
            <w:tcW w:w="2309" w:type="dxa"/>
            <w:tcBorders>
              <w:tl2br w:val="nil"/>
              <w:tr2bl w:val="nil"/>
            </w:tcBorders>
            <w:vAlign w:val="center"/>
          </w:tcPr>
          <w:p w14:paraId="73D97F55">
            <w:pPr>
              <w:pStyle w:val="27"/>
              <w:snapToGrid/>
              <w:ind w:right="95" w:firstLine="0" w:firstLineChars="0"/>
              <w:jc w:val="center"/>
              <w:rPr>
                <w:rFonts w:ascii="Times New Roman" w:hAnsi="Times New Roman" w:eastAsia="宋体"/>
                <w:sz w:val="21"/>
                <w:szCs w:val="21"/>
              </w:rPr>
            </w:pPr>
            <w:r>
              <w:rPr>
                <w:rFonts w:ascii="Times New Roman" w:hAnsi="Times New Roman" w:eastAsia="宋体"/>
                <w:sz w:val="21"/>
                <w:szCs w:val="21"/>
              </w:rPr>
              <w:t>7～14</w:t>
            </w:r>
          </w:p>
        </w:tc>
        <w:tc>
          <w:tcPr>
            <w:tcW w:w="1979" w:type="dxa"/>
            <w:tcBorders>
              <w:tl2br w:val="nil"/>
              <w:tr2bl w:val="nil"/>
            </w:tcBorders>
            <w:vAlign w:val="center"/>
          </w:tcPr>
          <w:p w14:paraId="01BA93A5">
            <w:pPr>
              <w:pStyle w:val="27"/>
              <w:snapToGrid/>
              <w:ind w:right="-20" w:firstLine="0" w:firstLineChars="0"/>
              <w:jc w:val="center"/>
              <w:rPr>
                <w:rFonts w:ascii="Times New Roman" w:hAnsi="Times New Roman" w:eastAsia="宋体"/>
                <w:sz w:val="21"/>
                <w:szCs w:val="21"/>
              </w:rPr>
            </w:pPr>
            <w:r>
              <w:rPr>
                <w:rFonts w:ascii="Times New Roman" w:hAnsi="Times New Roman" w:eastAsia="宋体"/>
                <w:sz w:val="21"/>
                <w:szCs w:val="21"/>
              </w:rPr>
              <w:t>1次/3d</w:t>
            </w:r>
          </w:p>
        </w:tc>
      </w:tr>
      <w:tr w14:paraId="482F38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800" w:type="dxa"/>
            <w:vMerge w:val="continue"/>
            <w:tcBorders>
              <w:tl2br w:val="nil"/>
              <w:tr2bl w:val="nil"/>
            </w:tcBorders>
            <w:vAlign w:val="center"/>
          </w:tcPr>
          <w:p w14:paraId="7123D7F0">
            <w:pPr>
              <w:jc w:val="center"/>
              <w:rPr>
                <w:sz w:val="21"/>
                <w:szCs w:val="21"/>
              </w:rPr>
            </w:pPr>
          </w:p>
        </w:tc>
        <w:tc>
          <w:tcPr>
            <w:tcW w:w="2416" w:type="dxa"/>
            <w:vMerge w:val="continue"/>
            <w:tcBorders>
              <w:tl2br w:val="nil"/>
              <w:tr2bl w:val="nil"/>
            </w:tcBorders>
            <w:vAlign w:val="center"/>
          </w:tcPr>
          <w:p w14:paraId="2A94BA55">
            <w:pPr>
              <w:pStyle w:val="27"/>
              <w:snapToGrid/>
              <w:ind w:right="15" w:firstLine="0" w:firstLineChars="0"/>
              <w:jc w:val="center"/>
              <w:rPr>
                <w:rFonts w:ascii="Times New Roman" w:hAnsi="Times New Roman" w:eastAsia="宋体"/>
                <w:sz w:val="21"/>
                <w:szCs w:val="21"/>
              </w:rPr>
            </w:pPr>
          </w:p>
        </w:tc>
        <w:tc>
          <w:tcPr>
            <w:tcW w:w="2309" w:type="dxa"/>
            <w:tcBorders>
              <w:tl2br w:val="nil"/>
              <w:tr2bl w:val="nil"/>
            </w:tcBorders>
            <w:vAlign w:val="center"/>
          </w:tcPr>
          <w:p w14:paraId="1E6A1BF9">
            <w:pPr>
              <w:pStyle w:val="27"/>
              <w:snapToGrid/>
              <w:ind w:right="95" w:firstLine="0" w:firstLineChars="0"/>
              <w:jc w:val="center"/>
              <w:rPr>
                <w:rFonts w:ascii="Times New Roman" w:hAnsi="Times New Roman" w:eastAsia="宋体"/>
                <w:sz w:val="21"/>
                <w:szCs w:val="21"/>
              </w:rPr>
            </w:pPr>
            <w:r>
              <w:rPr>
                <w:rFonts w:ascii="Times New Roman" w:hAnsi="Times New Roman" w:eastAsia="宋体"/>
                <w:sz w:val="21"/>
                <w:szCs w:val="21"/>
              </w:rPr>
              <w:t>14～28</w:t>
            </w:r>
          </w:p>
        </w:tc>
        <w:tc>
          <w:tcPr>
            <w:tcW w:w="1979" w:type="dxa"/>
            <w:tcBorders>
              <w:tl2br w:val="nil"/>
              <w:tr2bl w:val="nil"/>
            </w:tcBorders>
            <w:vAlign w:val="center"/>
          </w:tcPr>
          <w:p w14:paraId="61F4A575">
            <w:pPr>
              <w:pStyle w:val="27"/>
              <w:snapToGrid/>
              <w:ind w:right="-20" w:firstLine="0" w:firstLineChars="0"/>
              <w:jc w:val="center"/>
              <w:rPr>
                <w:rFonts w:ascii="Times New Roman" w:hAnsi="Times New Roman" w:eastAsia="宋体"/>
                <w:sz w:val="21"/>
                <w:szCs w:val="21"/>
              </w:rPr>
            </w:pPr>
            <w:r>
              <w:rPr>
                <w:rFonts w:ascii="Times New Roman" w:hAnsi="Times New Roman" w:eastAsia="宋体"/>
                <w:sz w:val="21"/>
                <w:szCs w:val="21"/>
              </w:rPr>
              <w:t>1次/7d</w:t>
            </w:r>
          </w:p>
        </w:tc>
      </w:tr>
      <w:tr w14:paraId="6D9ABD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800" w:type="dxa"/>
            <w:vMerge w:val="continue"/>
            <w:tcBorders>
              <w:tl2br w:val="nil"/>
              <w:tr2bl w:val="nil"/>
            </w:tcBorders>
            <w:vAlign w:val="center"/>
          </w:tcPr>
          <w:p w14:paraId="09E3A773">
            <w:pPr>
              <w:jc w:val="center"/>
              <w:rPr>
                <w:sz w:val="21"/>
                <w:szCs w:val="21"/>
              </w:rPr>
            </w:pPr>
          </w:p>
        </w:tc>
        <w:tc>
          <w:tcPr>
            <w:tcW w:w="2416" w:type="dxa"/>
            <w:vMerge w:val="continue"/>
            <w:tcBorders>
              <w:tl2br w:val="nil"/>
              <w:tr2bl w:val="nil"/>
            </w:tcBorders>
            <w:vAlign w:val="center"/>
          </w:tcPr>
          <w:p w14:paraId="1DDB112E">
            <w:pPr>
              <w:pStyle w:val="27"/>
              <w:snapToGrid/>
              <w:ind w:right="15" w:firstLine="0" w:firstLineChars="0"/>
              <w:jc w:val="center"/>
              <w:rPr>
                <w:rFonts w:ascii="Times New Roman" w:hAnsi="Times New Roman" w:eastAsia="宋体"/>
                <w:sz w:val="21"/>
                <w:szCs w:val="21"/>
              </w:rPr>
            </w:pPr>
          </w:p>
        </w:tc>
        <w:tc>
          <w:tcPr>
            <w:tcW w:w="2309" w:type="dxa"/>
            <w:tcBorders>
              <w:tl2br w:val="nil"/>
              <w:tr2bl w:val="nil"/>
            </w:tcBorders>
            <w:vAlign w:val="center"/>
          </w:tcPr>
          <w:p w14:paraId="0E37DA38">
            <w:pPr>
              <w:pStyle w:val="27"/>
              <w:snapToGrid/>
              <w:ind w:right="95" w:firstLine="0" w:firstLineChars="0"/>
              <w:jc w:val="center"/>
              <w:rPr>
                <w:rFonts w:ascii="Times New Roman" w:hAnsi="Times New Roman" w:eastAsia="宋体"/>
                <w:sz w:val="21"/>
                <w:szCs w:val="21"/>
              </w:rPr>
            </w:pPr>
            <w:r>
              <w:rPr>
                <w:rFonts w:ascii="Times New Roman" w:hAnsi="Times New Roman" w:eastAsia="宋体"/>
                <w:sz w:val="21"/>
                <w:szCs w:val="21"/>
              </w:rPr>
              <w:t>&gt;28</w:t>
            </w:r>
          </w:p>
        </w:tc>
        <w:tc>
          <w:tcPr>
            <w:tcW w:w="1979" w:type="dxa"/>
            <w:tcBorders>
              <w:tl2br w:val="nil"/>
              <w:tr2bl w:val="nil"/>
            </w:tcBorders>
            <w:vAlign w:val="center"/>
          </w:tcPr>
          <w:p w14:paraId="2E5AE934">
            <w:pPr>
              <w:pStyle w:val="27"/>
              <w:snapToGrid/>
              <w:ind w:right="-20" w:firstLine="0" w:firstLineChars="0"/>
              <w:jc w:val="center"/>
              <w:rPr>
                <w:rFonts w:ascii="Times New Roman" w:hAnsi="Times New Roman" w:eastAsia="宋体"/>
                <w:sz w:val="21"/>
                <w:szCs w:val="21"/>
              </w:rPr>
            </w:pPr>
            <w:r>
              <w:rPr>
                <w:rFonts w:ascii="Times New Roman" w:hAnsi="Times New Roman" w:eastAsia="宋体"/>
                <w:sz w:val="21"/>
                <w:szCs w:val="21"/>
              </w:rPr>
              <w:t>1次/10d</w:t>
            </w:r>
          </w:p>
        </w:tc>
      </w:tr>
    </w:tbl>
    <w:p w14:paraId="5F890A54">
      <w:pPr>
        <w:rPr>
          <w:bCs/>
          <w:sz w:val="18"/>
          <w:szCs w:val="18"/>
        </w:rPr>
      </w:pPr>
    </w:p>
    <w:p w14:paraId="23DA88F5">
      <w:pPr>
        <w:ind w:firstLine="0"/>
        <w:rPr>
          <w:bCs/>
        </w:rPr>
      </w:pPr>
      <w:r>
        <w:rPr>
          <w:b/>
          <w:bCs/>
        </w:rPr>
        <w:t>7.4.3　</w:t>
      </w:r>
      <w:r>
        <w:rPr>
          <w:bCs/>
        </w:rPr>
        <w:t>当出现下列情况之一时，应提高监测频率：</w:t>
      </w:r>
    </w:p>
    <w:p w14:paraId="273889C8">
      <w:pPr>
        <w:ind w:firstLine="482" w:firstLineChars="200"/>
        <w:jc w:val="left"/>
      </w:pPr>
      <w:r>
        <w:rPr>
          <w:b/>
          <w:bCs/>
        </w:rPr>
        <w:t>1　</w:t>
      </w:r>
      <w:r>
        <w:t>监测数据达到报警值；</w:t>
      </w:r>
    </w:p>
    <w:p w14:paraId="254702BF">
      <w:pPr>
        <w:ind w:firstLine="482" w:firstLineChars="200"/>
        <w:jc w:val="left"/>
      </w:pPr>
      <w:r>
        <w:rPr>
          <w:b/>
          <w:bCs/>
        </w:rPr>
        <w:t>2　</w:t>
      </w:r>
      <w:r>
        <w:t>监测数据变化量较大或者速率异常增大；</w:t>
      </w:r>
    </w:p>
    <w:p w14:paraId="3328020C">
      <w:pPr>
        <w:ind w:firstLine="482" w:firstLineChars="200"/>
        <w:jc w:val="left"/>
      </w:pPr>
      <w:r>
        <w:rPr>
          <w:b/>
          <w:bCs/>
        </w:rPr>
        <w:t>3　</w:t>
      </w:r>
      <w:r>
        <w:t>存在勘察中未发现的不良地质条件；</w:t>
      </w:r>
    </w:p>
    <w:p w14:paraId="048AC420">
      <w:pPr>
        <w:ind w:firstLine="482" w:firstLineChars="200"/>
        <w:jc w:val="left"/>
      </w:pPr>
      <w:r>
        <w:rPr>
          <w:b/>
          <w:bCs/>
        </w:rPr>
        <w:t>4　</w:t>
      </w:r>
      <w:r>
        <w:t>大雨或长时间连续降雨；</w:t>
      </w:r>
    </w:p>
    <w:p w14:paraId="0A49BFD6">
      <w:pPr>
        <w:ind w:firstLine="482" w:firstLineChars="200"/>
        <w:jc w:val="left"/>
      </w:pPr>
      <w:r>
        <w:rPr>
          <w:b/>
          <w:bCs/>
        </w:rPr>
        <w:t>5　</w:t>
      </w:r>
      <w:r>
        <w:t>管廊支护结构附近地面荷载突然增大或超过设计限值；</w:t>
      </w:r>
    </w:p>
    <w:p w14:paraId="200A9282">
      <w:pPr>
        <w:ind w:firstLine="482" w:firstLineChars="200"/>
        <w:jc w:val="left"/>
      </w:pPr>
      <w:r>
        <w:rPr>
          <w:b/>
          <w:bCs/>
        </w:rPr>
        <w:t>6　</w:t>
      </w:r>
      <w:r>
        <w:t>支护结构出现明显的变形、较大的裂缝、断裂、较严重渗漏水，支撑出现明显变位或脱落；</w:t>
      </w:r>
    </w:p>
    <w:p w14:paraId="7207FB74">
      <w:pPr>
        <w:ind w:firstLine="482" w:firstLineChars="200"/>
        <w:jc w:val="left"/>
      </w:pPr>
      <w:r>
        <w:rPr>
          <w:b/>
          <w:bCs/>
        </w:rPr>
        <w:t>7　</w:t>
      </w:r>
      <w:r>
        <w:t>地表、建（构）筑物等周边环境出现突然较大沉降、不均匀沉降或严重开裂</w:t>
      </w:r>
      <w:bookmarkStart w:id="590" w:name="_Toc11235"/>
      <w:bookmarkStart w:id="591" w:name="_Toc14760"/>
      <w:r>
        <w:t>；</w:t>
      </w:r>
    </w:p>
    <w:p w14:paraId="0704A4D0">
      <w:pPr>
        <w:ind w:firstLine="482" w:firstLineChars="200"/>
        <w:jc w:val="left"/>
      </w:pPr>
      <w:r>
        <w:rPr>
          <w:b/>
          <w:bCs/>
        </w:rPr>
        <w:t>8　</w:t>
      </w:r>
      <w:r>
        <w:t>工程出现异常</w:t>
      </w:r>
      <w:bookmarkEnd w:id="590"/>
      <w:bookmarkEnd w:id="591"/>
      <w:r>
        <w:t>；</w:t>
      </w:r>
    </w:p>
    <w:p w14:paraId="11F48036">
      <w:pPr>
        <w:ind w:firstLine="482" w:firstLineChars="200"/>
        <w:jc w:val="left"/>
      </w:pPr>
      <w:r>
        <w:rPr>
          <w:b/>
          <w:bCs/>
        </w:rPr>
        <w:t>9　</w:t>
      </w:r>
      <w:r>
        <w:t>管廊支护结构出现涌砂、涌土、管涌，较严重的渗漏水、突水，滑移、坍塌，底部较大隆起等；</w:t>
      </w:r>
    </w:p>
    <w:p w14:paraId="1DFD9E9B">
      <w:pPr>
        <w:ind w:firstLine="482" w:firstLineChars="200"/>
        <w:jc w:val="left"/>
      </w:pPr>
      <w:bookmarkStart w:id="592" w:name="_Toc27633"/>
      <w:bookmarkStart w:id="593" w:name="_Toc11308"/>
      <w:r>
        <w:rPr>
          <w:b/>
          <w:bCs/>
        </w:rPr>
        <w:t>10　</w:t>
      </w:r>
      <w:r>
        <w:t>工程险情或事故后重新组织施工。</w:t>
      </w:r>
      <w:bookmarkEnd w:id="592"/>
      <w:bookmarkEnd w:id="593"/>
    </w:p>
    <w:p w14:paraId="1E0C8491">
      <w:pPr>
        <w:keepNext/>
        <w:spacing w:before="328" w:beforeLines="100" w:after="328" w:afterLines="100" w:line="240" w:lineRule="auto"/>
        <w:ind w:firstLine="0"/>
        <w:jc w:val="center"/>
        <w:outlineLvl w:val="1"/>
        <w:rPr>
          <w:rFonts w:eastAsia="黑体"/>
          <w:b/>
          <w:bCs/>
          <w:sz w:val="28"/>
          <w:szCs w:val="28"/>
        </w:rPr>
      </w:pPr>
      <w:bookmarkStart w:id="594" w:name="_Toc17587"/>
      <w:bookmarkStart w:id="595" w:name="_Toc17570"/>
      <w:bookmarkStart w:id="596" w:name="_Toc13301"/>
      <w:bookmarkStart w:id="597" w:name="_Toc5155"/>
      <w:bookmarkStart w:id="598" w:name="_Toc13892"/>
      <w:bookmarkStart w:id="599" w:name="_Toc193392092"/>
      <w:bookmarkStart w:id="600" w:name="_Toc20956"/>
      <w:bookmarkStart w:id="601" w:name="_Toc3226"/>
      <w:r>
        <w:rPr>
          <w:rFonts w:eastAsia="黑体"/>
          <w:b/>
          <w:bCs/>
          <w:sz w:val="28"/>
          <w:szCs w:val="28"/>
        </w:rPr>
        <w:t>7.5　监测预警值与控制值</w:t>
      </w:r>
      <w:bookmarkEnd w:id="594"/>
      <w:bookmarkEnd w:id="595"/>
      <w:bookmarkEnd w:id="596"/>
      <w:bookmarkEnd w:id="597"/>
      <w:bookmarkEnd w:id="598"/>
      <w:bookmarkEnd w:id="599"/>
      <w:bookmarkEnd w:id="600"/>
      <w:bookmarkEnd w:id="601"/>
    </w:p>
    <w:p w14:paraId="7698A952">
      <w:pPr>
        <w:ind w:firstLine="0"/>
        <w:rPr>
          <w:b/>
          <w:bCs/>
        </w:rPr>
      </w:pPr>
      <w:r>
        <w:rPr>
          <w:b/>
          <w:bCs/>
        </w:rPr>
        <w:t>7.5.1　</w:t>
      </w:r>
      <w:r>
        <w:t>综合管廊明挖段支护工程各监测对象的监测控制值和预警值应由支护结构设计方在设计文件中确定。</w:t>
      </w:r>
    </w:p>
    <w:p w14:paraId="227A112A">
      <w:pPr>
        <w:ind w:firstLine="0"/>
        <w:rPr>
          <w:b/>
          <w:bCs/>
        </w:rPr>
      </w:pPr>
      <w:r>
        <w:rPr>
          <w:b/>
          <w:bCs/>
        </w:rPr>
        <w:t>7.5.2　</w:t>
      </w:r>
      <w:r>
        <w:t>监测对象的控制值应符合下列规定：</w:t>
      </w:r>
    </w:p>
    <w:p w14:paraId="684C5587">
      <w:pPr>
        <w:ind w:firstLine="482" w:firstLineChars="200"/>
      </w:pPr>
      <w:r>
        <w:rPr>
          <w:b/>
          <w:bCs/>
        </w:rPr>
        <w:t>1　</w:t>
      </w:r>
      <w:r>
        <w:t>监测项目控制值应根据不同施工方法特点、周围岩土体特征、周边环境保护要求并结合当地工程经验进行确定，并应满足监测对象的安全状态得到合理、有效控制的要求；</w:t>
      </w:r>
    </w:p>
    <w:p w14:paraId="2A33E28D">
      <w:pPr>
        <w:ind w:firstLine="482" w:firstLineChars="200"/>
      </w:pPr>
      <w:r>
        <w:rPr>
          <w:b/>
          <w:bCs/>
        </w:rPr>
        <w:t>2　</w:t>
      </w:r>
      <w:r>
        <w:t>周边环境监测项目控制值应根据环境对象的类型与特点、结构形式、变形特征、已有变形、正常使用条件及国家现行有关标准的规定，并结合环境对象的重要性、易损性及相关单位的要求等进行确定；</w:t>
      </w:r>
    </w:p>
    <w:p w14:paraId="4C702E24">
      <w:pPr>
        <w:ind w:firstLine="482" w:firstLineChars="200"/>
      </w:pPr>
      <w:r>
        <w:rPr>
          <w:b/>
          <w:bCs/>
        </w:rPr>
        <w:t>3　</w:t>
      </w:r>
      <w:r>
        <w:t>支护结构监测项目控制值应根据工程监测等级、支护结构特点及设计计算结果等进行确定；</w:t>
      </w:r>
    </w:p>
    <w:p w14:paraId="543A00A9">
      <w:pPr>
        <w:ind w:firstLine="482" w:firstLineChars="200"/>
      </w:pPr>
      <w:r>
        <w:rPr>
          <w:b/>
          <w:bCs/>
        </w:rPr>
        <w:t>4　</w:t>
      </w:r>
      <w:r>
        <w:t>周围地表沉降等岩土体变形控制值应根据岩土体的特性，结合支护结构工程自身风险等级和周边环境安全风险等级等进行确定。</w:t>
      </w:r>
    </w:p>
    <w:p w14:paraId="5D1971E5">
      <w:pPr>
        <w:ind w:firstLine="0"/>
        <w:rPr>
          <w:rFonts w:hint="eastAsia" w:eastAsia="宋体"/>
          <w:lang w:eastAsia="zh-CN"/>
        </w:rPr>
      </w:pPr>
      <w:r>
        <w:rPr>
          <w:b/>
          <w:bCs/>
        </w:rPr>
        <w:t>7.5.3　</w:t>
      </w:r>
      <w:r>
        <w:t>变形监测预警值应包括监测项目的累计变化预警值和变化速率预警值</w:t>
      </w:r>
      <w:r>
        <w:rPr>
          <w:rFonts w:hint="eastAsia"/>
          <w:lang w:eastAsia="zh-CN"/>
        </w:rPr>
        <w:t>。</w:t>
      </w:r>
    </w:p>
    <w:p w14:paraId="011BB42C">
      <w:pPr>
        <w:ind w:firstLine="0"/>
      </w:pPr>
      <w:r>
        <w:rPr>
          <w:b/>
          <w:bCs/>
        </w:rPr>
        <w:t>7.5.4　</w:t>
      </w:r>
      <w:r>
        <w:t>管廊明挖段基坑及支护结构监测预警值应根据管廊基坑安全等级、工程地质条件设计计算结果及当地工程经验等因素确定，当无当地经验时可按本规程附录D执行。</w:t>
      </w:r>
    </w:p>
    <w:p w14:paraId="49C0DDB4">
      <w:pPr>
        <w:ind w:firstLine="0"/>
      </w:pPr>
      <w:r>
        <w:rPr>
          <w:b/>
          <w:bCs/>
        </w:rPr>
        <w:t>7.5.5　</w:t>
      </w:r>
      <w:r>
        <w:rPr>
          <w:bCs/>
        </w:rPr>
        <w:t>监测预警值除应符合上述要求外，尚应符合国家现行有关标准和中国工程建设标注化协会有关标准的规定。</w:t>
      </w:r>
    </w:p>
    <w:p w14:paraId="0E75885D">
      <w:pPr>
        <w:keepNext/>
        <w:spacing w:before="328" w:beforeLines="100" w:after="328" w:afterLines="100" w:line="240" w:lineRule="auto"/>
        <w:ind w:firstLine="0"/>
        <w:jc w:val="center"/>
        <w:outlineLvl w:val="1"/>
        <w:rPr>
          <w:rFonts w:eastAsia="黑体"/>
          <w:b/>
          <w:bCs/>
          <w:sz w:val="28"/>
          <w:szCs w:val="28"/>
        </w:rPr>
      </w:pPr>
      <w:bookmarkStart w:id="602" w:name="_Toc10247"/>
      <w:bookmarkStart w:id="603" w:name="_Toc28354"/>
      <w:bookmarkStart w:id="604" w:name="_Toc24917"/>
      <w:bookmarkStart w:id="605" w:name="_Toc13514"/>
      <w:bookmarkStart w:id="606" w:name="_Toc15785"/>
      <w:bookmarkStart w:id="607" w:name="_Toc16243"/>
      <w:bookmarkStart w:id="608" w:name="_Toc11672"/>
      <w:bookmarkStart w:id="609" w:name="_Toc29059"/>
      <w:bookmarkStart w:id="610" w:name="_Toc21648"/>
      <w:bookmarkStart w:id="611" w:name="_Toc13154"/>
      <w:bookmarkStart w:id="612" w:name="_Toc193392093"/>
      <w:r>
        <w:rPr>
          <w:rFonts w:eastAsia="黑体"/>
          <w:b/>
          <w:bCs/>
          <w:sz w:val="28"/>
          <w:szCs w:val="28"/>
        </w:rPr>
        <w:t>7.6　监测成果及信息反馈</w:t>
      </w:r>
      <w:bookmarkEnd w:id="565"/>
      <w:bookmarkEnd w:id="602"/>
      <w:bookmarkEnd w:id="603"/>
      <w:bookmarkEnd w:id="604"/>
      <w:bookmarkEnd w:id="605"/>
      <w:bookmarkEnd w:id="606"/>
      <w:bookmarkEnd w:id="607"/>
      <w:bookmarkEnd w:id="608"/>
      <w:bookmarkEnd w:id="609"/>
      <w:bookmarkEnd w:id="610"/>
      <w:bookmarkEnd w:id="611"/>
      <w:bookmarkEnd w:id="612"/>
    </w:p>
    <w:p w14:paraId="2F3F1480">
      <w:pPr>
        <w:ind w:firstLine="0"/>
        <w:rPr>
          <w:bCs/>
        </w:rPr>
      </w:pPr>
      <w:bookmarkStart w:id="613" w:name="_Toc92958633"/>
      <w:bookmarkStart w:id="614" w:name="_Toc69912115"/>
      <w:bookmarkStart w:id="615" w:name="_Toc93652788"/>
      <w:r>
        <w:rPr>
          <w:b/>
          <w:bCs/>
        </w:rPr>
        <w:t>7.6.1　</w:t>
      </w:r>
      <w:r>
        <w:rPr>
          <w:bCs/>
        </w:rPr>
        <w:t>取得现场监测资料后，应及时对监测资料进行整理、分析和校对，监测数据出现异常时，应分析原因，必要时应进行现场核对或复测。</w:t>
      </w:r>
      <w:bookmarkEnd w:id="613"/>
      <w:bookmarkEnd w:id="614"/>
      <w:bookmarkEnd w:id="615"/>
    </w:p>
    <w:p w14:paraId="2442DC7D">
      <w:pPr>
        <w:ind w:firstLine="0"/>
        <w:rPr>
          <w:bCs/>
        </w:rPr>
      </w:pPr>
      <w:r>
        <w:rPr>
          <w:b/>
          <w:bCs/>
        </w:rPr>
        <w:t>7.6.2　</w:t>
      </w:r>
      <w:r>
        <w:rPr>
          <w:bCs/>
        </w:rPr>
        <w:t>现场监测资料宜包括外业观测记录、现场巡查记录、记事项以及仪器采集的数据、照片、视频等电子数据资料。外业观测记录、现场巡查记录和记事项目应在现场直接记录在正式的监测记录表格中，监测记录表格中应有相应的工况描述；任何原始记录不得涂改、伪造和转抄；采用电子方式记录的数据，应完整存储在可靠的介质上。</w:t>
      </w:r>
    </w:p>
    <w:p w14:paraId="611D8F36">
      <w:pPr>
        <w:ind w:firstLine="0"/>
        <w:rPr>
          <w:bCs/>
        </w:rPr>
      </w:pPr>
      <w:r>
        <w:rPr>
          <w:b/>
          <w:bCs/>
        </w:rPr>
        <w:t>7.6.3　</w:t>
      </w:r>
      <w:r>
        <w:rPr>
          <w:bCs/>
        </w:rPr>
        <w:t>对监测数据应定期进行综合分析，应及时计算累计变化值、变化速率值，并绘制时程曲线，并应根据施工工况、地质条件和环境条件分析监测数据的变化原因和变化规律，预测其发展趋势，提出施工建议。</w:t>
      </w:r>
    </w:p>
    <w:p w14:paraId="1E44659A">
      <w:pPr>
        <w:ind w:firstLine="0"/>
        <w:rPr>
          <w:bCs/>
        </w:rPr>
      </w:pPr>
      <w:r>
        <w:rPr>
          <w:b/>
          <w:bCs/>
        </w:rPr>
        <w:t>7.6.4　</w:t>
      </w:r>
      <w:r>
        <w:rPr>
          <w:bCs/>
        </w:rPr>
        <w:t>监测报告可分为日报、阶段性报告和总结报告，监测报告应按时报送。监测报告应采用文字、表格、图形、照片等形式，表达直观、明确。</w:t>
      </w:r>
    </w:p>
    <w:p w14:paraId="0BE58C1A">
      <w:pPr>
        <w:ind w:firstLine="0"/>
        <w:rPr>
          <w:bCs/>
        </w:rPr>
      </w:pPr>
      <w:r>
        <w:rPr>
          <w:b/>
          <w:bCs/>
        </w:rPr>
        <w:t>7.6.5　</w:t>
      </w:r>
      <w:r>
        <w:rPr>
          <w:bCs/>
        </w:rPr>
        <w:t>监测数据的处理与信息反馈宜利用专门的工程监测数据处理与信息管理系统软件，实现数据采集、处理、分析、查询和管理一体化及监测成果可视化。</w:t>
      </w:r>
    </w:p>
    <w:p w14:paraId="206A4BF3">
      <w:pPr>
        <w:ind w:firstLine="0"/>
        <w:rPr>
          <w:bCs/>
        </w:rPr>
      </w:pPr>
      <w:r>
        <w:rPr>
          <w:b/>
          <w:bCs/>
        </w:rPr>
        <w:t>7.6.6　</w:t>
      </w:r>
      <w:r>
        <w:rPr>
          <w:bCs/>
        </w:rPr>
        <w:t>工程监测工作完成后应及时提供监测成果，成果资料应完整、清晰、签字齐全，监测成果应有相关负责人签字，并加盖成果章。监测成果应包括现场监测资料、计算分析资料、图表、曲线、照片、影像、文字报告等。</w:t>
      </w:r>
    </w:p>
    <w:p w14:paraId="5F192E99">
      <w:pPr>
        <w:rPr>
          <w:b/>
          <w:bCs/>
          <w:sz w:val="30"/>
          <w:szCs w:val="30"/>
        </w:rPr>
      </w:pPr>
      <w:bookmarkStart w:id="616" w:name="_bookmark78"/>
      <w:bookmarkEnd w:id="616"/>
      <w:bookmarkStart w:id="617" w:name="12.7__监测数据处理及信息反馈"/>
      <w:bookmarkEnd w:id="617"/>
      <w:bookmarkStart w:id="618" w:name="_Toc23628"/>
      <w:r>
        <w:rPr>
          <w:b/>
          <w:bCs/>
          <w:sz w:val="30"/>
          <w:szCs w:val="30"/>
        </w:rPr>
        <w:br w:type="page"/>
      </w:r>
    </w:p>
    <w:p w14:paraId="63B0B961"/>
    <w:p w14:paraId="15BB988A">
      <w:pPr>
        <w:pStyle w:val="19"/>
        <w:widowControl w:val="0"/>
        <w:spacing w:before="328" w:beforeLines="100" w:after="328" w:afterLines="100" w:line="360" w:lineRule="auto"/>
        <w:jc w:val="center"/>
        <w:outlineLvl w:val="0"/>
        <w:rPr>
          <w:rFonts w:ascii="Times New Roman" w:eastAsia="宋体"/>
          <w:b/>
          <w:sz w:val="32"/>
        </w:rPr>
      </w:pPr>
      <w:bookmarkStart w:id="619" w:name="_Toc21711"/>
      <w:bookmarkStart w:id="620" w:name="_Toc19595"/>
      <w:bookmarkStart w:id="621" w:name="_Toc15533"/>
      <w:bookmarkStart w:id="622" w:name="_Toc15646"/>
      <w:bookmarkStart w:id="623" w:name="_Toc25933"/>
      <w:bookmarkStart w:id="624" w:name="_Toc19405"/>
      <w:bookmarkStart w:id="625" w:name="_Toc22749"/>
      <w:bookmarkStart w:id="626" w:name="_Toc32491"/>
      <w:bookmarkStart w:id="627" w:name="_Toc31557"/>
      <w:bookmarkStart w:id="628" w:name="_Toc9001"/>
      <w:bookmarkStart w:id="629" w:name="_Toc193392094"/>
      <w:bookmarkStart w:id="630" w:name="_Toc1599"/>
      <w:r>
        <w:rPr>
          <w:rFonts w:ascii="Times New Roman" w:eastAsia="宋体"/>
          <w:b/>
          <w:sz w:val="32"/>
        </w:rPr>
        <w:t>8　岩土工程</w:t>
      </w:r>
      <w:bookmarkEnd w:id="618"/>
      <w:r>
        <w:rPr>
          <w:rFonts w:ascii="Times New Roman" w:eastAsia="宋体"/>
          <w:b/>
          <w:sz w:val="32"/>
        </w:rPr>
        <w:t>检验与</w:t>
      </w:r>
      <w:bookmarkEnd w:id="619"/>
      <w:bookmarkEnd w:id="620"/>
      <w:bookmarkEnd w:id="621"/>
      <w:r>
        <w:rPr>
          <w:rFonts w:ascii="Times New Roman" w:eastAsia="宋体"/>
          <w:b/>
          <w:sz w:val="32"/>
        </w:rPr>
        <w:t>检测</w:t>
      </w:r>
      <w:bookmarkEnd w:id="622"/>
      <w:bookmarkEnd w:id="623"/>
      <w:bookmarkEnd w:id="624"/>
      <w:bookmarkEnd w:id="625"/>
      <w:bookmarkEnd w:id="626"/>
      <w:bookmarkEnd w:id="627"/>
      <w:bookmarkEnd w:id="628"/>
      <w:bookmarkEnd w:id="629"/>
      <w:bookmarkEnd w:id="630"/>
    </w:p>
    <w:p w14:paraId="50C37F2F">
      <w:pPr>
        <w:keepNext/>
        <w:spacing w:before="328" w:beforeLines="100" w:after="328" w:afterLines="100" w:line="240" w:lineRule="auto"/>
        <w:ind w:firstLine="0"/>
        <w:jc w:val="center"/>
        <w:outlineLvl w:val="1"/>
        <w:rPr>
          <w:rFonts w:eastAsia="黑体"/>
          <w:b/>
          <w:bCs/>
          <w:sz w:val="28"/>
          <w:szCs w:val="28"/>
        </w:rPr>
      </w:pPr>
      <w:bookmarkStart w:id="631" w:name="_Toc3954"/>
      <w:bookmarkStart w:id="632" w:name="_Toc14994"/>
      <w:bookmarkStart w:id="633" w:name="_Toc193392095"/>
      <w:bookmarkStart w:id="634" w:name="_Toc20284"/>
      <w:bookmarkStart w:id="635" w:name="_Toc31129"/>
      <w:bookmarkStart w:id="636" w:name="_Toc27065"/>
      <w:bookmarkStart w:id="637" w:name="_Toc6091"/>
      <w:bookmarkStart w:id="638" w:name="_Toc27185"/>
      <w:bookmarkStart w:id="639" w:name="_Toc20071"/>
      <w:bookmarkStart w:id="640" w:name="_Toc6473"/>
      <w:bookmarkStart w:id="641" w:name="_Toc15526"/>
      <w:r>
        <w:rPr>
          <w:rFonts w:eastAsia="黑体"/>
          <w:b/>
          <w:bCs/>
          <w:sz w:val="28"/>
          <w:szCs w:val="28"/>
        </w:rPr>
        <w:t>8.1　一般规定</w:t>
      </w:r>
      <w:bookmarkEnd w:id="631"/>
      <w:bookmarkEnd w:id="632"/>
      <w:bookmarkEnd w:id="633"/>
      <w:bookmarkEnd w:id="634"/>
      <w:bookmarkEnd w:id="635"/>
      <w:bookmarkEnd w:id="636"/>
      <w:bookmarkEnd w:id="637"/>
      <w:bookmarkEnd w:id="638"/>
      <w:bookmarkEnd w:id="639"/>
      <w:bookmarkEnd w:id="640"/>
      <w:bookmarkEnd w:id="641"/>
    </w:p>
    <w:p w14:paraId="32AF848B">
      <w:pPr>
        <w:ind w:firstLine="0"/>
        <w:rPr>
          <w:bCs/>
        </w:rPr>
      </w:pPr>
      <w:r>
        <w:rPr>
          <w:b/>
          <w:bCs/>
        </w:rPr>
        <w:t>8.1.1　</w:t>
      </w:r>
      <w:r>
        <w:rPr>
          <w:bCs/>
        </w:rPr>
        <w:t>检测前，检测单位应进行现场调查，收集相关资料，现场调查和资料收集应包括下列内容：</w:t>
      </w:r>
    </w:p>
    <w:p w14:paraId="2C4EC1BE">
      <w:pPr>
        <w:rPr>
          <w:bCs/>
        </w:rPr>
      </w:pPr>
      <w:r>
        <w:rPr>
          <w:b/>
        </w:rPr>
        <w:t>1　</w:t>
      </w:r>
      <w:r>
        <w:rPr>
          <w:bCs/>
        </w:rPr>
        <w:t>管廊拟建场地岩土工程勘察报告、地基基础设计及施工资料、采用的施工工艺和施工中出现的异常情况；</w:t>
      </w:r>
    </w:p>
    <w:p w14:paraId="68C4EF9F">
      <w:pPr>
        <w:rPr>
          <w:bCs/>
        </w:rPr>
      </w:pPr>
      <w:r>
        <w:rPr>
          <w:b/>
        </w:rPr>
        <w:t>2　</w:t>
      </w:r>
      <w:r>
        <w:rPr>
          <w:bCs/>
        </w:rPr>
        <w:t>检测目的、设计要求；</w:t>
      </w:r>
    </w:p>
    <w:p w14:paraId="00055B3A">
      <w:pPr>
        <w:rPr>
          <w:bCs/>
        </w:rPr>
      </w:pPr>
      <w:r>
        <w:rPr>
          <w:b/>
        </w:rPr>
        <w:t>3　</w:t>
      </w:r>
      <w:r>
        <w:rPr>
          <w:bCs/>
        </w:rPr>
        <w:t>分析检测项目现场实施的影响因素及检测方法的可行性。</w:t>
      </w:r>
    </w:p>
    <w:p w14:paraId="0300C381">
      <w:pPr>
        <w:ind w:firstLine="0"/>
        <w:rPr>
          <w:bCs/>
        </w:rPr>
      </w:pPr>
      <w:r>
        <w:rPr>
          <w:b/>
          <w:bCs/>
        </w:rPr>
        <w:t>8.1.2　</w:t>
      </w:r>
      <w:r>
        <w:rPr>
          <w:bCs/>
        </w:rPr>
        <w:t>检测单位应根据现场情况和设计要求编制检测方案，检测方案应包括下列内容：</w:t>
      </w:r>
    </w:p>
    <w:p w14:paraId="67E865B9">
      <w:pPr>
        <w:rPr>
          <w:bCs/>
        </w:rPr>
      </w:pPr>
      <w:r>
        <w:rPr>
          <w:b/>
        </w:rPr>
        <w:t>1　</w:t>
      </w:r>
      <w:r>
        <w:rPr>
          <w:bCs/>
        </w:rPr>
        <w:t>工程概况；</w:t>
      </w:r>
    </w:p>
    <w:p w14:paraId="41421333">
      <w:pPr>
        <w:rPr>
          <w:bCs/>
        </w:rPr>
      </w:pPr>
      <w:r>
        <w:rPr>
          <w:b/>
        </w:rPr>
        <w:t>2　</w:t>
      </w:r>
      <w:r>
        <w:rPr>
          <w:bCs/>
        </w:rPr>
        <w:t>检测内容及其依据的标准；</w:t>
      </w:r>
    </w:p>
    <w:p w14:paraId="62D5AD53">
      <w:pPr>
        <w:rPr>
          <w:bCs/>
        </w:rPr>
      </w:pPr>
      <w:r>
        <w:rPr>
          <w:b/>
        </w:rPr>
        <w:t>3　</w:t>
      </w:r>
      <w:r>
        <w:rPr>
          <w:bCs/>
        </w:rPr>
        <w:t>检测数量，抽样方案；</w:t>
      </w:r>
    </w:p>
    <w:p w14:paraId="2AD570F0">
      <w:pPr>
        <w:rPr>
          <w:bCs/>
        </w:rPr>
      </w:pPr>
      <w:r>
        <w:rPr>
          <w:b/>
        </w:rPr>
        <w:t>4　</w:t>
      </w:r>
      <w:r>
        <w:rPr>
          <w:bCs/>
        </w:rPr>
        <w:t>所需的仪器设备和人员及试验时间计划；</w:t>
      </w:r>
    </w:p>
    <w:p w14:paraId="07BBA7E1">
      <w:pPr>
        <w:rPr>
          <w:bCs/>
        </w:rPr>
      </w:pPr>
      <w:r>
        <w:rPr>
          <w:b/>
        </w:rPr>
        <w:t>5　</w:t>
      </w:r>
      <w:r>
        <w:rPr>
          <w:bCs/>
        </w:rPr>
        <w:t>试验点开挖、加固、处理；</w:t>
      </w:r>
    </w:p>
    <w:p w14:paraId="18CF58DC">
      <w:pPr>
        <w:rPr>
          <w:bCs/>
        </w:rPr>
      </w:pPr>
      <w:r>
        <w:rPr>
          <w:b/>
        </w:rPr>
        <w:t>6　</w:t>
      </w:r>
      <w:r>
        <w:rPr>
          <w:bCs/>
        </w:rPr>
        <w:t>场地平整、道路修筑、供水供电需求；</w:t>
      </w:r>
    </w:p>
    <w:p w14:paraId="000FCB30">
      <w:pPr>
        <w:rPr>
          <w:bCs/>
        </w:rPr>
      </w:pPr>
      <w:r>
        <w:rPr>
          <w:b/>
        </w:rPr>
        <w:t>7　</w:t>
      </w:r>
      <w:r>
        <w:rPr>
          <w:bCs/>
        </w:rPr>
        <w:t>安全、环境保护措施等要求。</w:t>
      </w:r>
    </w:p>
    <w:p w14:paraId="43136AFA">
      <w:pPr>
        <w:ind w:firstLine="0"/>
        <w:rPr>
          <w:bCs/>
        </w:rPr>
      </w:pPr>
      <w:r>
        <w:rPr>
          <w:b/>
          <w:bCs/>
        </w:rPr>
        <w:t>8.1.3　</w:t>
      </w:r>
      <w:r>
        <w:rPr>
          <w:bCs/>
        </w:rPr>
        <w:t>当单一检测方法无法满足工程需求，或检测结论无法明确时，应采取两种或两种以上的检测方法，相互补充、相互验证。</w:t>
      </w:r>
    </w:p>
    <w:p w14:paraId="170D4316">
      <w:pPr>
        <w:ind w:firstLine="0"/>
        <w:rPr>
          <w:b/>
        </w:rPr>
      </w:pPr>
      <w:r>
        <w:rPr>
          <w:b/>
          <w:bCs/>
        </w:rPr>
        <w:t>8.1.4　</w:t>
      </w:r>
      <w:r>
        <w:rPr>
          <w:bCs/>
        </w:rPr>
        <w:t>检测点位应随机抽取，并具有代表性，检测数量应满足相关标准的要求。</w:t>
      </w:r>
    </w:p>
    <w:p w14:paraId="60007D82">
      <w:pPr>
        <w:ind w:firstLine="0"/>
        <w:rPr>
          <w:bCs/>
        </w:rPr>
      </w:pPr>
      <w:r>
        <w:rPr>
          <w:b/>
          <w:bCs/>
        </w:rPr>
        <w:t>8.1.5　</w:t>
      </w:r>
      <w:r>
        <w:rPr>
          <w:bCs/>
        </w:rPr>
        <w:t>现场检测除应符合本规程外，尚应符合国家现行标准《建筑地基基础工程施工质量验收规范》GB 50202、《建筑地基检测技术规范》JGJ 340、《建筑桩基技术规范》JGJ 94、《建筑地基处理技术规范》JGJ 79、《建筑基坑支护技术规程》JGJ 120等标准的有关规定。</w:t>
      </w:r>
    </w:p>
    <w:p w14:paraId="5BF79E90">
      <w:pPr>
        <w:keepNext/>
        <w:spacing w:before="328" w:beforeLines="100" w:after="328" w:afterLines="100" w:line="240" w:lineRule="auto"/>
        <w:ind w:firstLine="0"/>
        <w:jc w:val="center"/>
        <w:outlineLvl w:val="1"/>
        <w:rPr>
          <w:rFonts w:eastAsia="黑体"/>
          <w:b/>
          <w:bCs/>
          <w:sz w:val="28"/>
          <w:szCs w:val="28"/>
        </w:rPr>
      </w:pPr>
      <w:bookmarkStart w:id="642" w:name="_Toc18571"/>
      <w:bookmarkStart w:id="643" w:name="_Toc7474"/>
      <w:bookmarkStart w:id="644" w:name="_Toc193392096"/>
      <w:bookmarkStart w:id="645" w:name="_Toc27121"/>
      <w:bookmarkStart w:id="646" w:name="_Toc24348"/>
      <w:bookmarkStart w:id="647" w:name="_Toc23824"/>
      <w:bookmarkStart w:id="648" w:name="_Toc14798"/>
      <w:bookmarkStart w:id="649" w:name="_Toc13424"/>
      <w:bookmarkStart w:id="650" w:name="_Toc9029"/>
      <w:bookmarkStart w:id="651" w:name="_Toc25420"/>
      <w:bookmarkStart w:id="652" w:name="_Toc23198"/>
      <w:r>
        <w:rPr>
          <w:rFonts w:eastAsia="黑体"/>
          <w:b/>
          <w:bCs/>
          <w:sz w:val="28"/>
          <w:szCs w:val="28"/>
        </w:rPr>
        <w:t>8.2　地基检验与检测</w:t>
      </w:r>
      <w:bookmarkEnd w:id="642"/>
      <w:bookmarkEnd w:id="643"/>
      <w:bookmarkEnd w:id="644"/>
      <w:bookmarkEnd w:id="645"/>
      <w:bookmarkEnd w:id="646"/>
      <w:bookmarkEnd w:id="647"/>
      <w:bookmarkEnd w:id="648"/>
      <w:bookmarkEnd w:id="649"/>
      <w:bookmarkEnd w:id="650"/>
      <w:bookmarkEnd w:id="651"/>
      <w:bookmarkEnd w:id="652"/>
    </w:p>
    <w:p w14:paraId="2F4F2314">
      <w:pPr>
        <w:ind w:firstLine="0"/>
        <w:rPr>
          <w:bCs/>
        </w:rPr>
      </w:pPr>
      <w:r>
        <w:rPr>
          <w:b/>
          <w:bCs/>
        </w:rPr>
        <w:t>8.2.1　</w:t>
      </w:r>
      <w:r>
        <w:rPr>
          <w:bCs/>
        </w:rPr>
        <w:t>综合管廊地基检验应包括下列内容：</w:t>
      </w:r>
    </w:p>
    <w:p w14:paraId="51A26BCC">
      <w:pPr>
        <w:widowControl/>
        <w:ind w:firstLine="482" w:firstLineChars="200"/>
        <w:rPr>
          <w:bCs/>
        </w:rPr>
      </w:pPr>
      <w:r>
        <w:rPr>
          <w:b/>
          <w:bCs/>
        </w:rPr>
        <w:t>1　</w:t>
      </w:r>
      <w:r>
        <w:rPr>
          <w:bCs/>
        </w:rPr>
        <w:t>核对基槽位置、平面尺寸、槽底标高是否符合设计文件要求；</w:t>
      </w:r>
    </w:p>
    <w:p w14:paraId="4DA5909B">
      <w:pPr>
        <w:widowControl/>
        <w:ind w:firstLine="482" w:firstLineChars="200"/>
        <w:rPr>
          <w:bCs/>
        </w:rPr>
      </w:pPr>
      <w:r>
        <w:rPr>
          <w:b/>
          <w:bCs/>
        </w:rPr>
        <w:t>2　</w:t>
      </w:r>
      <w:r>
        <w:rPr>
          <w:bCs/>
        </w:rPr>
        <w:t>核对基槽的土质和地下水情况是否与勘察报告一致；</w:t>
      </w:r>
    </w:p>
    <w:p w14:paraId="3CF39098">
      <w:pPr>
        <w:widowControl/>
        <w:ind w:firstLine="482" w:firstLineChars="200"/>
        <w:rPr>
          <w:bCs/>
        </w:rPr>
      </w:pPr>
      <w:r>
        <w:rPr>
          <w:b/>
          <w:bCs/>
        </w:rPr>
        <w:t>3　</w:t>
      </w:r>
      <w:r>
        <w:rPr>
          <w:bCs/>
        </w:rPr>
        <w:t>检验基槽底是否有洞穴、古墓、古井、古河道、人防工程及地下敷设物，并查清其位置、深度、性状等；</w:t>
      </w:r>
    </w:p>
    <w:p w14:paraId="532729C5">
      <w:pPr>
        <w:widowControl/>
        <w:ind w:firstLine="482" w:firstLineChars="200"/>
        <w:jc w:val="left"/>
        <w:rPr>
          <w:bCs/>
        </w:rPr>
      </w:pPr>
      <w:r>
        <w:rPr>
          <w:b/>
          <w:bCs/>
        </w:rPr>
        <w:t>4　</w:t>
      </w:r>
      <w:r>
        <w:rPr>
          <w:bCs/>
        </w:rPr>
        <w:t>遇有下列情况之一时，应在基槽底面进行轻型动力触探（N10）或进行钎探检验：</w:t>
      </w:r>
    </w:p>
    <w:p w14:paraId="33DAB582">
      <w:pPr>
        <w:snapToGrid w:val="0"/>
        <w:ind w:firstLine="711" w:firstLineChars="295"/>
      </w:pPr>
      <w:r>
        <w:rPr>
          <w:b/>
        </w:rPr>
        <w:t>1</w:t>
      </w:r>
      <w:r>
        <w:t>）持力层土质明显差异或不均匀；</w:t>
      </w:r>
    </w:p>
    <w:p w14:paraId="13B14F4B">
      <w:pPr>
        <w:snapToGrid w:val="0"/>
        <w:ind w:firstLine="711" w:firstLineChars="295"/>
      </w:pPr>
      <w:r>
        <w:rPr>
          <w:b/>
        </w:rPr>
        <w:t>2</w:t>
      </w:r>
      <w:r>
        <w:t>）浅部有软弱下卧层；</w:t>
      </w:r>
    </w:p>
    <w:p w14:paraId="1E68BBCF">
      <w:pPr>
        <w:snapToGrid w:val="0"/>
        <w:ind w:firstLine="711" w:firstLineChars="295"/>
      </w:pPr>
      <w:r>
        <w:rPr>
          <w:b/>
        </w:rPr>
        <w:t>3</w:t>
      </w:r>
      <w:r>
        <w:t>）有浅埋的坑穴、古墓、古井、腐质物等，直接观察难以发现时。</w:t>
      </w:r>
    </w:p>
    <w:p w14:paraId="07EE8312">
      <w:pPr>
        <w:ind w:firstLine="0"/>
        <w:rPr>
          <w:bCs/>
        </w:rPr>
      </w:pPr>
      <w:r>
        <w:rPr>
          <w:b/>
          <w:bCs/>
        </w:rPr>
        <w:t>8.2.2　</w:t>
      </w:r>
      <w:r>
        <w:rPr>
          <w:bCs/>
        </w:rPr>
        <w:t>当现场检验结果与勘察报告有较大出入时，应进行补充勘察，提出处理意见。</w:t>
      </w:r>
    </w:p>
    <w:p w14:paraId="0A58C570">
      <w:pPr>
        <w:ind w:firstLine="0"/>
        <w:rPr>
          <w:bCs/>
        </w:rPr>
      </w:pPr>
      <w:r>
        <w:rPr>
          <w:b/>
          <w:bCs/>
        </w:rPr>
        <w:t>8.2.4　</w:t>
      </w:r>
      <w:r>
        <w:rPr>
          <w:bCs/>
        </w:rPr>
        <w:t>城市综合管廊地基检测包括：确定地基承载力和变形指标、评价岩土性状和人工地基施工质量。</w:t>
      </w:r>
    </w:p>
    <w:p w14:paraId="6C3D5C65">
      <w:pPr>
        <w:ind w:firstLine="0"/>
        <w:rPr>
          <w:bCs/>
        </w:rPr>
      </w:pPr>
      <w:r>
        <w:rPr>
          <w:b/>
          <w:bCs/>
        </w:rPr>
        <w:t>8.2.5　</w:t>
      </w:r>
      <w:r>
        <w:rPr>
          <w:bCs/>
        </w:rPr>
        <w:t>确定地基承载力和变形指标应采用静载荷试验，评价岩土性状和人工地基施工质量可选用标准贯入试验、圆锥动力触探试验、静力触探试验、钻芯法等原为测试方法。</w:t>
      </w:r>
    </w:p>
    <w:p w14:paraId="5C62C99B">
      <w:pPr>
        <w:ind w:firstLine="0"/>
        <w:rPr>
          <w:bCs/>
        </w:rPr>
      </w:pPr>
      <w:r>
        <w:rPr>
          <w:b/>
          <w:bCs/>
        </w:rPr>
        <w:t>8.2.6　</w:t>
      </w:r>
      <w:r>
        <w:rPr>
          <w:bCs/>
        </w:rPr>
        <w:t>人工地基和复合地基检测应在合理休止稳定时间后进行，当无工程经验时，从施工结束到开始检测的稳定间隔时间应符合下列规定：</w:t>
      </w:r>
    </w:p>
    <w:p w14:paraId="311DE605">
      <w:pPr>
        <w:ind w:firstLine="482" w:firstLineChars="200"/>
        <w:rPr>
          <w:bCs/>
        </w:rPr>
      </w:pPr>
      <w:r>
        <w:rPr>
          <w:b/>
        </w:rPr>
        <w:t>1　</w:t>
      </w:r>
      <w:r>
        <w:rPr>
          <w:bCs/>
        </w:rPr>
        <w:t>对黏性土地基不宜少于28d，对粉土地基不宜少于14d，对其他地基不宜少于7d；</w:t>
      </w:r>
    </w:p>
    <w:p w14:paraId="6087F03A">
      <w:pPr>
        <w:ind w:firstLine="482" w:firstLineChars="200"/>
        <w:rPr>
          <w:bCs/>
        </w:rPr>
      </w:pPr>
      <w:r>
        <w:rPr>
          <w:b/>
        </w:rPr>
        <w:t>2　</w:t>
      </w:r>
      <w:r>
        <w:rPr>
          <w:bCs/>
        </w:rPr>
        <w:t>有黏结强度的增强体复合地基不宜少于28d；</w:t>
      </w:r>
    </w:p>
    <w:p w14:paraId="762A70F9">
      <w:pPr>
        <w:ind w:firstLine="482" w:firstLineChars="200"/>
        <w:rPr>
          <w:bCs/>
        </w:rPr>
      </w:pPr>
      <w:r>
        <w:rPr>
          <w:b/>
        </w:rPr>
        <w:t>3　</w:t>
      </w:r>
      <w:r>
        <w:rPr>
          <w:bCs/>
        </w:rPr>
        <w:t>当设计对龄期有要求时，应按设计要求执行。</w:t>
      </w:r>
    </w:p>
    <w:p w14:paraId="05AAB34D">
      <w:pPr>
        <w:ind w:firstLine="0"/>
        <w:rPr>
          <w:bCs/>
        </w:rPr>
      </w:pPr>
      <w:r>
        <w:rPr>
          <w:b/>
          <w:bCs/>
        </w:rPr>
        <w:t>8.2.7　</w:t>
      </w:r>
      <w:r>
        <w:rPr>
          <w:bCs/>
        </w:rPr>
        <w:t>天然地基、复合地基承载力检测的检测数量每500m</w:t>
      </w:r>
      <w:r>
        <w:rPr>
          <w:bCs/>
          <w:vertAlign w:val="superscript"/>
        </w:rPr>
        <w:t>2</w:t>
      </w:r>
      <w:r>
        <w:rPr>
          <w:bCs/>
        </w:rPr>
        <w:t>不应少于1个点，且相同条件下的总检测点数不应少于3个。</w:t>
      </w:r>
    </w:p>
    <w:p w14:paraId="33127256">
      <w:pPr>
        <w:ind w:firstLine="0"/>
        <w:rPr>
          <w:bCs/>
        </w:rPr>
      </w:pPr>
      <w:r>
        <w:rPr>
          <w:b/>
          <w:bCs/>
        </w:rPr>
        <w:t>8.2.5　</w:t>
      </w:r>
      <w:r>
        <w:rPr>
          <w:bCs/>
        </w:rPr>
        <w:t>采用原位测试方法检测地基土性状和人工地基施工质量时，每个单位工程检测数量不应少于10点，当面积超过3000m</w:t>
      </w:r>
      <w:r>
        <w:rPr>
          <w:bCs/>
          <w:vertAlign w:val="superscript"/>
        </w:rPr>
        <w:t>2</w:t>
      </w:r>
      <w:r>
        <w:rPr>
          <w:bCs/>
        </w:rPr>
        <w:t>时，每500m</w:t>
      </w:r>
      <w:r>
        <w:rPr>
          <w:bCs/>
          <w:vertAlign w:val="superscript"/>
        </w:rPr>
        <w:t>2</w:t>
      </w:r>
      <w:r>
        <w:rPr>
          <w:bCs/>
        </w:rPr>
        <w:t>增加1点，检测同一土层的试验有效数据不应少于6个。</w:t>
      </w:r>
    </w:p>
    <w:p w14:paraId="1AFACD5A">
      <w:pPr>
        <w:ind w:firstLine="0"/>
        <w:rPr>
          <w:bCs/>
        </w:rPr>
      </w:pPr>
      <w:r>
        <w:rPr>
          <w:b/>
          <w:bCs/>
        </w:rPr>
        <w:t>8.2.6　</w:t>
      </w:r>
      <w:r>
        <w:rPr>
          <w:bCs/>
        </w:rPr>
        <w:t>有黏结强度的增强体复合地基应采用平板载荷试验进行单桩或多桩复合地基承载力检测和单桩载荷试验，检测数量不应少于总桩数的0.5%，且不得少于3根。</w:t>
      </w:r>
    </w:p>
    <w:p w14:paraId="67F4A26B">
      <w:pPr>
        <w:ind w:firstLine="0"/>
        <w:rPr>
          <w:bCs/>
        </w:rPr>
      </w:pPr>
      <w:r>
        <w:rPr>
          <w:b/>
          <w:bCs/>
        </w:rPr>
        <w:t>8.2.7　</w:t>
      </w:r>
      <w:r>
        <w:rPr>
          <w:bCs/>
        </w:rPr>
        <w:t>散体材料增强体复合地基应进行单桩或多桩复合地基平板载荷试验，检测数量不应少于总桩数的0.5%，且不得少于3根。散体材料复合地基增强体应进行密实度检测，检测方法可采用标准贯入试验、圆锥动力触探试验等原位测试方法，检测数量不应少于总桩数的2%，且不得少于6根</w:t>
      </w:r>
    </w:p>
    <w:p w14:paraId="18F2DC46">
      <w:pPr>
        <w:ind w:firstLine="0"/>
        <w:rPr>
          <w:bCs/>
        </w:rPr>
      </w:pPr>
      <w:r>
        <w:rPr>
          <w:b/>
          <w:bCs/>
        </w:rPr>
        <w:t>8.2.8　</w:t>
      </w:r>
      <w:r>
        <w:rPr>
          <w:bCs/>
        </w:rPr>
        <w:t>有黏结强度的复合地基增强体应进行桩身完整性检测，当采用低应变法检测时，检测数量不应少于总桩数的10%，且不得少于10根；当采用钻芯法检测水泥土桩时，检测数量不应少于总桩数的0.5%，且不得少于6根。</w:t>
      </w:r>
    </w:p>
    <w:p w14:paraId="1522A818">
      <w:pPr>
        <w:ind w:firstLine="0"/>
        <w:rPr>
          <w:bCs/>
        </w:rPr>
      </w:pPr>
      <w:r>
        <w:rPr>
          <w:b/>
          <w:bCs/>
        </w:rPr>
        <w:t>8.2.9　</w:t>
      </w:r>
      <w:r>
        <w:rPr>
          <w:bCs/>
        </w:rPr>
        <w:t>对消除液化的地基检测应采用标准贯入试验，检测深度不应少于地基处理深度。</w:t>
      </w:r>
    </w:p>
    <w:p w14:paraId="6A5ECD65">
      <w:pPr>
        <w:ind w:firstLine="0"/>
        <w:rPr>
          <w:b/>
          <w:bCs/>
          <w:szCs w:val="21"/>
        </w:rPr>
      </w:pPr>
      <w:r>
        <w:rPr>
          <w:b/>
          <w:bCs/>
        </w:rPr>
        <w:t>8.2.10　</w:t>
      </w:r>
      <w:r>
        <w:rPr>
          <w:bCs/>
        </w:rPr>
        <w:t>湿陷性特殊性土处理后的地基检测应满足地基承载力和变形满足设计要求，检测方法包括标准贯入试验、轻便触探试验、静力触探试验、载荷板试验等，检测应按国家现行标准《湿陷性黄土地区建筑规范》GB 50025及《建筑地基处理技术规范》JGJ 79的有关规定执行</w:t>
      </w:r>
      <w:bookmarkStart w:id="653" w:name="_Toc2394"/>
      <w:r>
        <w:rPr>
          <w:bCs/>
        </w:rPr>
        <w:t>。</w:t>
      </w:r>
    </w:p>
    <w:p w14:paraId="2293FFB3">
      <w:pPr>
        <w:keepNext/>
        <w:spacing w:before="328" w:beforeLines="100" w:after="328" w:afterLines="100" w:line="240" w:lineRule="auto"/>
        <w:ind w:firstLine="0"/>
        <w:jc w:val="center"/>
        <w:outlineLvl w:val="1"/>
        <w:rPr>
          <w:rFonts w:eastAsia="黑体"/>
          <w:b/>
          <w:bCs/>
          <w:sz w:val="28"/>
          <w:szCs w:val="28"/>
        </w:rPr>
      </w:pPr>
      <w:bookmarkStart w:id="654" w:name="_Toc28466"/>
      <w:bookmarkStart w:id="655" w:name="_Toc4881"/>
      <w:bookmarkStart w:id="656" w:name="_Toc9696"/>
      <w:bookmarkStart w:id="657" w:name="_Toc18810"/>
      <w:bookmarkStart w:id="658" w:name="_Toc4767"/>
      <w:bookmarkStart w:id="659" w:name="_Toc2957"/>
      <w:bookmarkStart w:id="660" w:name="_Toc12140"/>
      <w:bookmarkStart w:id="661" w:name="_Toc9989"/>
      <w:bookmarkStart w:id="662" w:name="_Toc6101"/>
      <w:bookmarkStart w:id="663" w:name="_Toc193392097"/>
      <w:r>
        <w:rPr>
          <w:rFonts w:eastAsia="黑体"/>
          <w:b/>
          <w:bCs/>
          <w:sz w:val="28"/>
          <w:szCs w:val="28"/>
        </w:rPr>
        <w:t>8.3　支护体系检验与检测</w:t>
      </w:r>
      <w:bookmarkEnd w:id="653"/>
      <w:bookmarkEnd w:id="654"/>
      <w:bookmarkEnd w:id="655"/>
      <w:bookmarkEnd w:id="656"/>
      <w:bookmarkEnd w:id="657"/>
      <w:bookmarkEnd w:id="658"/>
      <w:bookmarkEnd w:id="659"/>
      <w:bookmarkEnd w:id="660"/>
      <w:bookmarkEnd w:id="661"/>
      <w:bookmarkEnd w:id="662"/>
      <w:bookmarkEnd w:id="663"/>
    </w:p>
    <w:p w14:paraId="47360AAF">
      <w:pPr>
        <w:ind w:firstLine="0"/>
        <w:rPr>
          <w:bCs/>
        </w:rPr>
      </w:pPr>
      <w:r>
        <w:rPr>
          <w:b/>
          <w:bCs/>
        </w:rPr>
        <w:t>8.3.1　</w:t>
      </w:r>
      <w:r>
        <w:rPr>
          <w:bCs/>
        </w:rPr>
        <w:t>城市综合管廊支护体系检验与检测包括：施工过程的质量检验，桩（墙）身完整性检测、锚杆（索）抗拔承载力检测、土钉抗拔承载力检测、喷锚面层混凝土强度和厚度检测。</w:t>
      </w:r>
    </w:p>
    <w:p w14:paraId="35FD50E6">
      <w:pPr>
        <w:ind w:right="-149" w:rightChars="-62" w:firstLine="0"/>
      </w:pPr>
      <w:r>
        <w:rPr>
          <w:b/>
          <w:bCs/>
        </w:rPr>
        <w:t>8.3.2　</w:t>
      </w:r>
      <w:r>
        <w:t>支护桩施工过程的质量检验与检测应包括下列内容：</w:t>
      </w:r>
    </w:p>
    <w:p w14:paraId="3C2C840E">
      <w:pPr>
        <w:pStyle w:val="41"/>
        <w:ind w:right="-149" w:rightChars="-62"/>
      </w:pPr>
      <w:r>
        <w:rPr>
          <w:b/>
        </w:rPr>
        <w:t>1　</w:t>
      </w:r>
      <w:r>
        <w:t>桩位、桩径、桩顶与桩底标高、嵌固深度的检验；</w:t>
      </w:r>
    </w:p>
    <w:p w14:paraId="6229C52B">
      <w:pPr>
        <w:pStyle w:val="41"/>
        <w:ind w:right="-149" w:rightChars="-62"/>
      </w:pPr>
      <w:r>
        <w:rPr>
          <w:b/>
        </w:rPr>
        <w:t>2　</w:t>
      </w:r>
      <w:r>
        <w:t>混凝土灌注桩包括水泥、钢材、砂石、水及外加剂等原材料的质量检验；</w:t>
      </w:r>
    </w:p>
    <w:p w14:paraId="6CB6901F">
      <w:pPr>
        <w:pStyle w:val="41"/>
        <w:ind w:right="-149" w:rightChars="-62"/>
      </w:pPr>
      <w:r>
        <w:rPr>
          <w:b/>
        </w:rPr>
        <w:t>3　</w:t>
      </w:r>
      <w:r>
        <w:t>采用混凝土灌注桩时，支护桩配筋数量、直径、配筋方向性、保护层厚度的检验；</w:t>
      </w:r>
    </w:p>
    <w:p w14:paraId="50699DDC">
      <w:pPr>
        <w:pStyle w:val="41"/>
        <w:ind w:right="-149" w:rightChars="-62"/>
      </w:pPr>
      <w:r>
        <w:rPr>
          <w:b/>
        </w:rPr>
        <w:t>4　</w:t>
      </w:r>
      <w:r>
        <w:t>桩的垂直度、混凝土冠梁尺寸与配筋的检验；</w:t>
      </w:r>
    </w:p>
    <w:p w14:paraId="2068787A">
      <w:pPr>
        <w:pStyle w:val="41"/>
        <w:ind w:right="-149" w:rightChars="-62"/>
      </w:pPr>
      <w:r>
        <w:rPr>
          <w:b/>
        </w:rPr>
        <w:t>5　</w:t>
      </w:r>
      <w:r>
        <w:t>采用混凝土灌注桩、混凝土冠梁时，应进行现场浇注混凝土试块的抗压强度试验，每100m</w:t>
      </w:r>
      <w:r>
        <w:rPr>
          <w:vertAlign w:val="superscript"/>
        </w:rPr>
        <w:t>3</w:t>
      </w:r>
      <w:r>
        <w:t>混凝土的取样数量不应少于3组；受力纵向钢筋应进行接头抽样检验；</w:t>
      </w:r>
    </w:p>
    <w:p w14:paraId="50E083A0">
      <w:pPr>
        <w:pStyle w:val="41"/>
        <w:ind w:right="-149" w:rightChars="-62"/>
        <w:rPr>
          <w:b/>
          <w:bCs/>
        </w:rPr>
      </w:pPr>
      <w:r>
        <w:rPr>
          <w:b/>
        </w:rPr>
        <w:t>6　</w:t>
      </w:r>
      <w:r>
        <w:t>桩的成孔、钢筋笼制作和安装施工偏差应符合现行行业标准《建筑桩基技术规范》JGJ 94的有关规定。</w:t>
      </w:r>
    </w:p>
    <w:p w14:paraId="556F01A9">
      <w:pPr>
        <w:ind w:firstLine="0"/>
        <w:rPr>
          <w:bCs/>
        </w:rPr>
      </w:pPr>
      <w:r>
        <w:rPr>
          <w:b/>
          <w:bCs/>
        </w:rPr>
        <w:t>8.3.3　</w:t>
      </w:r>
      <w:r>
        <w:rPr>
          <w:bCs/>
        </w:rPr>
        <w:t>对排桩桩身完整性宜采用低应变法进行检测，检测数量为总桩数的100%。当低应变检测发现桩身缺陷严重，影响桩的水平承载力时，应采用钻芯法进行验证。采用钻芯法检测时，桩身混凝土龄期应达到28d，桩径应大于600mm。</w:t>
      </w:r>
    </w:p>
    <w:p w14:paraId="2DA11455">
      <w:pPr>
        <w:ind w:firstLine="0"/>
        <w:rPr>
          <w:bCs/>
        </w:rPr>
      </w:pPr>
      <w:r>
        <w:rPr>
          <w:b/>
          <w:bCs/>
        </w:rPr>
        <w:t>8.3.4　</w:t>
      </w:r>
      <w:r>
        <w:rPr>
          <w:bCs/>
        </w:rPr>
        <w:t>锚杆（索）施工过程的质量检验与检测应符合表8.3.4的规定。</w:t>
      </w:r>
    </w:p>
    <w:p w14:paraId="703DEC75">
      <w:pPr>
        <w:ind w:firstLine="0"/>
        <w:jc w:val="center"/>
        <w:rPr>
          <w:b/>
          <w:bCs/>
        </w:rPr>
      </w:pPr>
      <w:r>
        <w:rPr>
          <w:b/>
          <w:bCs/>
          <w:sz w:val="21"/>
          <w:szCs w:val="21"/>
        </w:rPr>
        <w:t>表8.3.4　锚杆（索）施工质量检验标准</w:t>
      </w:r>
    </w:p>
    <w:tbl>
      <w:tblPr>
        <w:tblStyle w:val="1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800"/>
        <w:gridCol w:w="1140"/>
        <w:gridCol w:w="2110"/>
        <w:gridCol w:w="2387"/>
        <w:gridCol w:w="1527"/>
      </w:tblGrid>
      <w:tr w14:paraId="498B77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6" w:type="dxa"/>
            <w:tcBorders>
              <w:tl2br w:val="nil"/>
              <w:tr2bl w:val="nil"/>
            </w:tcBorders>
            <w:vAlign w:val="center"/>
          </w:tcPr>
          <w:p w14:paraId="715B1B5A">
            <w:pPr>
              <w:ind w:firstLine="0"/>
              <w:jc w:val="center"/>
              <w:rPr>
                <w:bCs/>
                <w:sz w:val="21"/>
                <w:szCs w:val="21"/>
              </w:rPr>
            </w:pPr>
            <w:r>
              <w:rPr>
                <w:bCs/>
                <w:sz w:val="21"/>
                <w:szCs w:val="21"/>
              </w:rPr>
              <w:t>项目</w:t>
            </w:r>
          </w:p>
        </w:tc>
        <w:tc>
          <w:tcPr>
            <w:tcW w:w="800" w:type="dxa"/>
            <w:tcBorders>
              <w:tl2br w:val="nil"/>
              <w:tr2bl w:val="nil"/>
            </w:tcBorders>
            <w:vAlign w:val="center"/>
          </w:tcPr>
          <w:p w14:paraId="0C853E84">
            <w:pPr>
              <w:ind w:firstLine="0"/>
              <w:jc w:val="center"/>
              <w:rPr>
                <w:bCs/>
                <w:sz w:val="21"/>
                <w:szCs w:val="21"/>
              </w:rPr>
            </w:pPr>
            <w:r>
              <w:rPr>
                <w:bCs/>
                <w:sz w:val="21"/>
                <w:szCs w:val="21"/>
              </w:rPr>
              <w:t>序号</w:t>
            </w:r>
          </w:p>
        </w:tc>
        <w:tc>
          <w:tcPr>
            <w:tcW w:w="3250" w:type="dxa"/>
            <w:gridSpan w:val="2"/>
            <w:tcBorders>
              <w:tl2br w:val="nil"/>
              <w:tr2bl w:val="nil"/>
            </w:tcBorders>
            <w:vAlign w:val="center"/>
          </w:tcPr>
          <w:p w14:paraId="79620379">
            <w:pPr>
              <w:ind w:firstLine="0"/>
              <w:jc w:val="center"/>
              <w:rPr>
                <w:bCs/>
                <w:sz w:val="21"/>
                <w:szCs w:val="21"/>
              </w:rPr>
            </w:pPr>
            <w:r>
              <w:rPr>
                <w:bCs/>
                <w:sz w:val="21"/>
                <w:szCs w:val="21"/>
              </w:rPr>
              <w:t>检查项目</w:t>
            </w:r>
          </w:p>
        </w:tc>
        <w:tc>
          <w:tcPr>
            <w:tcW w:w="2387" w:type="dxa"/>
            <w:tcBorders>
              <w:tl2br w:val="nil"/>
              <w:tr2bl w:val="nil"/>
            </w:tcBorders>
            <w:vAlign w:val="center"/>
          </w:tcPr>
          <w:p w14:paraId="1A1E71B9">
            <w:pPr>
              <w:ind w:firstLine="0"/>
              <w:jc w:val="center"/>
              <w:rPr>
                <w:bCs/>
                <w:sz w:val="21"/>
                <w:szCs w:val="21"/>
              </w:rPr>
            </w:pPr>
            <w:r>
              <w:rPr>
                <w:bCs/>
                <w:sz w:val="21"/>
                <w:szCs w:val="21"/>
              </w:rPr>
              <w:t>允许偏差或允许值</w:t>
            </w:r>
          </w:p>
        </w:tc>
        <w:tc>
          <w:tcPr>
            <w:tcW w:w="1527" w:type="dxa"/>
            <w:tcBorders>
              <w:tl2br w:val="nil"/>
              <w:tr2bl w:val="nil"/>
            </w:tcBorders>
            <w:vAlign w:val="center"/>
          </w:tcPr>
          <w:p w14:paraId="67CF4BC2">
            <w:pPr>
              <w:ind w:firstLine="0"/>
              <w:jc w:val="center"/>
              <w:rPr>
                <w:bCs/>
                <w:sz w:val="21"/>
                <w:szCs w:val="21"/>
              </w:rPr>
            </w:pPr>
            <w:r>
              <w:rPr>
                <w:bCs/>
                <w:sz w:val="21"/>
                <w:szCs w:val="21"/>
              </w:rPr>
              <w:t>检查方法</w:t>
            </w:r>
          </w:p>
        </w:tc>
      </w:tr>
      <w:tr w14:paraId="559418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6" w:type="dxa"/>
            <w:vMerge w:val="restart"/>
            <w:tcBorders>
              <w:tl2br w:val="nil"/>
              <w:tr2bl w:val="nil"/>
            </w:tcBorders>
            <w:vAlign w:val="center"/>
          </w:tcPr>
          <w:p w14:paraId="36656D2C">
            <w:pPr>
              <w:spacing w:line="360" w:lineRule="exact"/>
              <w:ind w:firstLine="0"/>
              <w:jc w:val="center"/>
              <w:rPr>
                <w:bCs/>
                <w:sz w:val="21"/>
                <w:szCs w:val="21"/>
              </w:rPr>
            </w:pPr>
            <w:r>
              <w:rPr>
                <w:bCs/>
                <w:sz w:val="21"/>
                <w:szCs w:val="21"/>
              </w:rPr>
              <w:t>主控</w:t>
            </w:r>
          </w:p>
          <w:p w14:paraId="6CDB26AF">
            <w:pPr>
              <w:spacing w:line="360" w:lineRule="exact"/>
              <w:ind w:firstLine="0"/>
              <w:jc w:val="center"/>
              <w:rPr>
                <w:bCs/>
                <w:sz w:val="21"/>
                <w:szCs w:val="21"/>
              </w:rPr>
            </w:pPr>
            <w:r>
              <w:rPr>
                <w:bCs/>
                <w:sz w:val="21"/>
                <w:szCs w:val="21"/>
              </w:rPr>
              <w:t>项目</w:t>
            </w:r>
          </w:p>
        </w:tc>
        <w:tc>
          <w:tcPr>
            <w:tcW w:w="800" w:type="dxa"/>
            <w:tcBorders>
              <w:tl2br w:val="nil"/>
              <w:tr2bl w:val="nil"/>
            </w:tcBorders>
            <w:vAlign w:val="center"/>
          </w:tcPr>
          <w:p w14:paraId="0B9734A0">
            <w:pPr>
              <w:ind w:firstLine="0"/>
              <w:jc w:val="center"/>
              <w:rPr>
                <w:bCs/>
                <w:sz w:val="21"/>
                <w:szCs w:val="21"/>
              </w:rPr>
            </w:pPr>
            <w:r>
              <w:rPr>
                <w:bCs/>
                <w:sz w:val="21"/>
                <w:szCs w:val="21"/>
              </w:rPr>
              <w:t>1</w:t>
            </w:r>
          </w:p>
        </w:tc>
        <w:tc>
          <w:tcPr>
            <w:tcW w:w="3250" w:type="dxa"/>
            <w:gridSpan w:val="2"/>
            <w:tcBorders>
              <w:tl2br w:val="nil"/>
              <w:tr2bl w:val="nil"/>
            </w:tcBorders>
            <w:vAlign w:val="center"/>
          </w:tcPr>
          <w:p w14:paraId="582444A3">
            <w:pPr>
              <w:ind w:firstLine="0"/>
              <w:jc w:val="center"/>
              <w:rPr>
                <w:bCs/>
                <w:sz w:val="21"/>
                <w:szCs w:val="21"/>
              </w:rPr>
            </w:pPr>
            <w:r>
              <w:rPr>
                <w:bCs/>
                <w:sz w:val="21"/>
                <w:szCs w:val="21"/>
              </w:rPr>
              <w:t>锚杆（索）杆体长度（mm）</w:t>
            </w:r>
          </w:p>
        </w:tc>
        <w:tc>
          <w:tcPr>
            <w:tcW w:w="2387" w:type="dxa"/>
            <w:tcBorders>
              <w:tl2br w:val="nil"/>
              <w:tr2bl w:val="nil"/>
            </w:tcBorders>
            <w:vAlign w:val="center"/>
          </w:tcPr>
          <w:p w14:paraId="43537C28">
            <w:pPr>
              <w:spacing w:line="360" w:lineRule="exact"/>
              <w:ind w:firstLine="0"/>
              <w:jc w:val="center"/>
              <w:rPr>
                <w:bCs/>
                <w:sz w:val="21"/>
                <w:szCs w:val="21"/>
              </w:rPr>
            </w:pPr>
            <w:r>
              <w:rPr>
                <w:bCs/>
                <w:sz w:val="21"/>
                <w:szCs w:val="21"/>
              </w:rPr>
              <w:t>+100</w:t>
            </w:r>
          </w:p>
          <w:p w14:paraId="1F668FD7">
            <w:pPr>
              <w:spacing w:line="360" w:lineRule="exact"/>
              <w:ind w:firstLine="0"/>
              <w:jc w:val="center"/>
              <w:rPr>
                <w:bCs/>
                <w:sz w:val="21"/>
                <w:szCs w:val="21"/>
              </w:rPr>
            </w:pPr>
            <w:r>
              <w:rPr>
                <w:bCs/>
                <w:sz w:val="21"/>
                <w:szCs w:val="21"/>
              </w:rPr>
              <w:t>-30</w:t>
            </w:r>
          </w:p>
        </w:tc>
        <w:tc>
          <w:tcPr>
            <w:tcW w:w="1527" w:type="dxa"/>
            <w:tcBorders>
              <w:tl2br w:val="nil"/>
              <w:tr2bl w:val="nil"/>
            </w:tcBorders>
            <w:vAlign w:val="center"/>
          </w:tcPr>
          <w:p w14:paraId="17C4D57F">
            <w:pPr>
              <w:ind w:firstLine="0"/>
              <w:jc w:val="center"/>
              <w:rPr>
                <w:bCs/>
                <w:sz w:val="21"/>
                <w:szCs w:val="21"/>
              </w:rPr>
            </w:pPr>
            <w:r>
              <w:rPr>
                <w:bCs/>
                <w:sz w:val="21"/>
                <w:szCs w:val="21"/>
              </w:rPr>
              <w:t>用钢尺量</w:t>
            </w:r>
          </w:p>
        </w:tc>
      </w:tr>
      <w:tr w14:paraId="1691B5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6" w:type="dxa"/>
            <w:vMerge w:val="continue"/>
            <w:tcBorders>
              <w:tl2br w:val="nil"/>
              <w:tr2bl w:val="nil"/>
            </w:tcBorders>
            <w:vAlign w:val="center"/>
          </w:tcPr>
          <w:p w14:paraId="06D002F4">
            <w:pPr>
              <w:ind w:firstLine="0"/>
              <w:jc w:val="center"/>
              <w:rPr>
                <w:bCs/>
                <w:sz w:val="21"/>
                <w:szCs w:val="21"/>
              </w:rPr>
            </w:pPr>
          </w:p>
        </w:tc>
        <w:tc>
          <w:tcPr>
            <w:tcW w:w="800" w:type="dxa"/>
            <w:tcBorders>
              <w:tl2br w:val="nil"/>
              <w:tr2bl w:val="nil"/>
            </w:tcBorders>
            <w:vAlign w:val="center"/>
          </w:tcPr>
          <w:p w14:paraId="72959C92">
            <w:pPr>
              <w:ind w:firstLine="0"/>
              <w:jc w:val="center"/>
              <w:rPr>
                <w:bCs/>
                <w:sz w:val="21"/>
                <w:szCs w:val="21"/>
              </w:rPr>
            </w:pPr>
            <w:r>
              <w:rPr>
                <w:bCs/>
                <w:sz w:val="21"/>
                <w:szCs w:val="21"/>
              </w:rPr>
              <w:t>2</w:t>
            </w:r>
          </w:p>
        </w:tc>
        <w:tc>
          <w:tcPr>
            <w:tcW w:w="3250" w:type="dxa"/>
            <w:gridSpan w:val="2"/>
            <w:tcBorders>
              <w:tl2br w:val="nil"/>
              <w:tr2bl w:val="nil"/>
            </w:tcBorders>
            <w:vAlign w:val="center"/>
          </w:tcPr>
          <w:p w14:paraId="2B2F52FC">
            <w:pPr>
              <w:ind w:firstLine="0"/>
              <w:jc w:val="center"/>
              <w:rPr>
                <w:bCs/>
                <w:sz w:val="21"/>
                <w:szCs w:val="21"/>
              </w:rPr>
            </w:pPr>
            <w:r>
              <w:rPr>
                <w:bCs/>
                <w:sz w:val="21"/>
                <w:szCs w:val="21"/>
              </w:rPr>
              <w:t>锚杆（索）拉力设计值</w:t>
            </w:r>
          </w:p>
        </w:tc>
        <w:tc>
          <w:tcPr>
            <w:tcW w:w="2387" w:type="dxa"/>
            <w:tcBorders>
              <w:tl2br w:val="nil"/>
              <w:tr2bl w:val="nil"/>
            </w:tcBorders>
            <w:vAlign w:val="center"/>
          </w:tcPr>
          <w:p w14:paraId="7A1ADDEF">
            <w:pPr>
              <w:ind w:firstLine="0"/>
              <w:jc w:val="center"/>
              <w:rPr>
                <w:bCs/>
                <w:sz w:val="21"/>
                <w:szCs w:val="21"/>
              </w:rPr>
            </w:pPr>
            <w:r>
              <w:rPr>
                <w:bCs/>
                <w:sz w:val="21"/>
                <w:szCs w:val="21"/>
              </w:rPr>
              <w:t>设计要求</w:t>
            </w:r>
          </w:p>
        </w:tc>
        <w:tc>
          <w:tcPr>
            <w:tcW w:w="1527" w:type="dxa"/>
            <w:tcBorders>
              <w:tl2br w:val="nil"/>
              <w:tr2bl w:val="nil"/>
            </w:tcBorders>
            <w:vAlign w:val="center"/>
          </w:tcPr>
          <w:p w14:paraId="7F059611">
            <w:pPr>
              <w:ind w:firstLine="0"/>
              <w:jc w:val="center"/>
              <w:rPr>
                <w:bCs/>
                <w:sz w:val="21"/>
                <w:szCs w:val="21"/>
              </w:rPr>
            </w:pPr>
            <w:r>
              <w:rPr>
                <w:bCs/>
                <w:sz w:val="21"/>
                <w:szCs w:val="21"/>
              </w:rPr>
              <w:t>现场抗拔试验</w:t>
            </w:r>
          </w:p>
        </w:tc>
      </w:tr>
      <w:tr w14:paraId="425D3C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6" w:type="dxa"/>
            <w:vMerge w:val="restart"/>
            <w:tcBorders>
              <w:tl2br w:val="nil"/>
              <w:tr2bl w:val="nil"/>
            </w:tcBorders>
            <w:vAlign w:val="center"/>
          </w:tcPr>
          <w:p w14:paraId="1C274ABD">
            <w:pPr>
              <w:spacing w:line="360" w:lineRule="exact"/>
              <w:ind w:firstLine="0"/>
              <w:jc w:val="center"/>
              <w:rPr>
                <w:bCs/>
                <w:sz w:val="21"/>
                <w:szCs w:val="21"/>
              </w:rPr>
            </w:pPr>
            <w:r>
              <w:rPr>
                <w:bCs/>
                <w:sz w:val="21"/>
                <w:szCs w:val="21"/>
              </w:rPr>
              <w:t>一般</w:t>
            </w:r>
          </w:p>
          <w:p w14:paraId="3F7D7674">
            <w:pPr>
              <w:spacing w:line="360" w:lineRule="exact"/>
              <w:ind w:firstLine="0"/>
              <w:jc w:val="center"/>
              <w:rPr>
                <w:bCs/>
                <w:sz w:val="21"/>
                <w:szCs w:val="21"/>
              </w:rPr>
            </w:pPr>
            <w:r>
              <w:rPr>
                <w:bCs/>
                <w:sz w:val="21"/>
                <w:szCs w:val="21"/>
              </w:rPr>
              <w:t>项目</w:t>
            </w:r>
          </w:p>
        </w:tc>
        <w:tc>
          <w:tcPr>
            <w:tcW w:w="800" w:type="dxa"/>
            <w:tcBorders>
              <w:tl2br w:val="nil"/>
              <w:tr2bl w:val="nil"/>
            </w:tcBorders>
            <w:vAlign w:val="center"/>
          </w:tcPr>
          <w:p w14:paraId="0730DE77">
            <w:pPr>
              <w:ind w:firstLine="0"/>
              <w:jc w:val="center"/>
              <w:rPr>
                <w:bCs/>
                <w:sz w:val="21"/>
                <w:szCs w:val="21"/>
              </w:rPr>
            </w:pPr>
            <w:r>
              <w:rPr>
                <w:bCs/>
                <w:sz w:val="21"/>
                <w:szCs w:val="21"/>
              </w:rPr>
              <w:t>1</w:t>
            </w:r>
          </w:p>
        </w:tc>
        <w:tc>
          <w:tcPr>
            <w:tcW w:w="3250" w:type="dxa"/>
            <w:gridSpan w:val="2"/>
            <w:tcBorders>
              <w:tl2br w:val="nil"/>
              <w:tr2bl w:val="nil"/>
            </w:tcBorders>
            <w:vAlign w:val="center"/>
          </w:tcPr>
          <w:p w14:paraId="737B018D">
            <w:pPr>
              <w:ind w:firstLine="0"/>
              <w:jc w:val="center"/>
              <w:rPr>
                <w:bCs/>
                <w:sz w:val="21"/>
                <w:szCs w:val="21"/>
              </w:rPr>
            </w:pPr>
            <w:r>
              <w:rPr>
                <w:bCs/>
                <w:sz w:val="21"/>
                <w:szCs w:val="21"/>
              </w:rPr>
              <w:t>锚杆（索）位置</w:t>
            </w:r>
          </w:p>
        </w:tc>
        <w:tc>
          <w:tcPr>
            <w:tcW w:w="2387" w:type="dxa"/>
            <w:tcBorders>
              <w:tl2br w:val="nil"/>
              <w:tr2bl w:val="nil"/>
            </w:tcBorders>
            <w:vAlign w:val="center"/>
          </w:tcPr>
          <w:p w14:paraId="798613E4">
            <w:pPr>
              <w:ind w:firstLine="0"/>
              <w:jc w:val="center"/>
              <w:rPr>
                <w:bCs/>
                <w:sz w:val="21"/>
                <w:szCs w:val="21"/>
              </w:rPr>
            </w:pPr>
            <w:r>
              <w:rPr>
                <w:bCs/>
                <w:sz w:val="21"/>
                <w:szCs w:val="21"/>
              </w:rPr>
              <w:t>±100</w:t>
            </w:r>
          </w:p>
        </w:tc>
        <w:tc>
          <w:tcPr>
            <w:tcW w:w="1527" w:type="dxa"/>
            <w:tcBorders>
              <w:tl2br w:val="nil"/>
              <w:tr2bl w:val="nil"/>
            </w:tcBorders>
            <w:vAlign w:val="center"/>
          </w:tcPr>
          <w:p w14:paraId="4A787187">
            <w:pPr>
              <w:ind w:firstLine="0"/>
              <w:jc w:val="center"/>
              <w:rPr>
                <w:bCs/>
                <w:sz w:val="21"/>
                <w:szCs w:val="21"/>
              </w:rPr>
            </w:pPr>
            <w:r>
              <w:rPr>
                <w:bCs/>
                <w:sz w:val="21"/>
                <w:szCs w:val="21"/>
              </w:rPr>
              <w:t>用钢尺量</w:t>
            </w:r>
          </w:p>
        </w:tc>
      </w:tr>
      <w:tr w14:paraId="41559D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56" w:type="dxa"/>
            <w:vMerge w:val="continue"/>
            <w:tcBorders>
              <w:tl2br w:val="nil"/>
              <w:tr2bl w:val="nil"/>
            </w:tcBorders>
            <w:vAlign w:val="center"/>
          </w:tcPr>
          <w:p w14:paraId="7F50DA6C">
            <w:pPr>
              <w:ind w:firstLine="0"/>
              <w:jc w:val="center"/>
              <w:rPr>
                <w:bCs/>
                <w:sz w:val="21"/>
                <w:szCs w:val="21"/>
              </w:rPr>
            </w:pPr>
          </w:p>
        </w:tc>
        <w:tc>
          <w:tcPr>
            <w:tcW w:w="800" w:type="dxa"/>
            <w:tcBorders>
              <w:tl2br w:val="nil"/>
              <w:tr2bl w:val="nil"/>
            </w:tcBorders>
            <w:vAlign w:val="center"/>
          </w:tcPr>
          <w:p w14:paraId="61218495">
            <w:pPr>
              <w:ind w:firstLine="0"/>
              <w:jc w:val="center"/>
              <w:rPr>
                <w:bCs/>
                <w:sz w:val="21"/>
                <w:szCs w:val="21"/>
              </w:rPr>
            </w:pPr>
            <w:r>
              <w:rPr>
                <w:bCs/>
                <w:sz w:val="21"/>
                <w:szCs w:val="21"/>
              </w:rPr>
              <w:t>2</w:t>
            </w:r>
          </w:p>
        </w:tc>
        <w:tc>
          <w:tcPr>
            <w:tcW w:w="3250" w:type="dxa"/>
            <w:gridSpan w:val="2"/>
            <w:tcBorders>
              <w:tl2br w:val="nil"/>
              <w:tr2bl w:val="nil"/>
            </w:tcBorders>
            <w:vAlign w:val="center"/>
          </w:tcPr>
          <w:p w14:paraId="631B71A2">
            <w:pPr>
              <w:ind w:firstLine="0"/>
              <w:jc w:val="center"/>
              <w:rPr>
                <w:bCs/>
                <w:sz w:val="21"/>
                <w:szCs w:val="21"/>
              </w:rPr>
            </w:pPr>
            <w:r>
              <w:rPr>
                <w:bCs/>
                <w:sz w:val="21"/>
                <w:szCs w:val="21"/>
              </w:rPr>
              <w:t>锚杆（索）倾斜度（°）</w:t>
            </w:r>
          </w:p>
        </w:tc>
        <w:tc>
          <w:tcPr>
            <w:tcW w:w="2387" w:type="dxa"/>
            <w:tcBorders>
              <w:tl2br w:val="nil"/>
              <w:tr2bl w:val="nil"/>
            </w:tcBorders>
            <w:vAlign w:val="center"/>
          </w:tcPr>
          <w:p w14:paraId="648A9DBF">
            <w:pPr>
              <w:ind w:firstLine="0"/>
              <w:jc w:val="center"/>
              <w:rPr>
                <w:bCs/>
                <w:sz w:val="21"/>
                <w:szCs w:val="21"/>
              </w:rPr>
            </w:pPr>
            <w:r>
              <w:rPr>
                <w:bCs/>
                <w:sz w:val="21"/>
                <w:szCs w:val="21"/>
              </w:rPr>
              <w:t>±1</w:t>
            </w:r>
          </w:p>
        </w:tc>
        <w:tc>
          <w:tcPr>
            <w:tcW w:w="1527" w:type="dxa"/>
            <w:tcBorders>
              <w:tl2br w:val="nil"/>
              <w:tr2bl w:val="nil"/>
            </w:tcBorders>
            <w:vAlign w:val="center"/>
          </w:tcPr>
          <w:p w14:paraId="73896375">
            <w:pPr>
              <w:ind w:firstLine="0"/>
              <w:jc w:val="center"/>
              <w:rPr>
                <w:bCs/>
                <w:sz w:val="21"/>
                <w:szCs w:val="21"/>
              </w:rPr>
            </w:pPr>
            <w:r>
              <w:rPr>
                <w:bCs/>
                <w:sz w:val="21"/>
                <w:szCs w:val="21"/>
              </w:rPr>
              <w:t>测斜仪等</w:t>
            </w:r>
          </w:p>
        </w:tc>
      </w:tr>
      <w:tr w14:paraId="090668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6" w:type="dxa"/>
            <w:vMerge w:val="continue"/>
            <w:tcBorders>
              <w:tl2br w:val="nil"/>
              <w:tr2bl w:val="nil"/>
            </w:tcBorders>
            <w:vAlign w:val="center"/>
          </w:tcPr>
          <w:p w14:paraId="76C7ED1F">
            <w:pPr>
              <w:ind w:firstLine="0"/>
              <w:jc w:val="center"/>
              <w:rPr>
                <w:bCs/>
                <w:sz w:val="21"/>
                <w:szCs w:val="21"/>
              </w:rPr>
            </w:pPr>
          </w:p>
        </w:tc>
        <w:tc>
          <w:tcPr>
            <w:tcW w:w="800" w:type="dxa"/>
            <w:tcBorders>
              <w:tl2br w:val="nil"/>
              <w:tr2bl w:val="nil"/>
            </w:tcBorders>
            <w:vAlign w:val="center"/>
          </w:tcPr>
          <w:p w14:paraId="1707C7E2">
            <w:pPr>
              <w:ind w:firstLine="0"/>
              <w:jc w:val="center"/>
              <w:rPr>
                <w:bCs/>
                <w:sz w:val="21"/>
                <w:szCs w:val="21"/>
              </w:rPr>
            </w:pPr>
            <w:r>
              <w:rPr>
                <w:bCs/>
                <w:sz w:val="21"/>
                <w:szCs w:val="21"/>
              </w:rPr>
              <w:t>3</w:t>
            </w:r>
          </w:p>
        </w:tc>
        <w:tc>
          <w:tcPr>
            <w:tcW w:w="3250" w:type="dxa"/>
            <w:gridSpan w:val="2"/>
            <w:tcBorders>
              <w:tl2br w:val="nil"/>
              <w:tr2bl w:val="nil"/>
            </w:tcBorders>
            <w:vAlign w:val="center"/>
          </w:tcPr>
          <w:p w14:paraId="3584FD9A">
            <w:pPr>
              <w:ind w:firstLine="0"/>
              <w:jc w:val="center"/>
              <w:rPr>
                <w:bCs/>
                <w:sz w:val="21"/>
                <w:szCs w:val="21"/>
              </w:rPr>
            </w:pPr>
            <w:r>
              <w:rPr>
                <w:bCs/>
                <w:sz w:val="21"/>
                <w:szCs w:val="21"/>
              </w:rPr>
              <w:t>浆体强度</w:t>
            </w:r>
          </w:p>
        </w:tc>
        <w:tc>
          <w:tcPr>
            <w:tcW w:w="2387" w:type="dxa"/>
            <w:tcBorders>
              <w:tl2br w:val="nil"/>
              <w:tr2bl w:val="nil"/>
            </w:tcBorders>
            <w:vAlign w:val="center"/>
          </w:tcPr>
          <w:p w14:paraId="65790454">
            <w:pPr>
              <w:ind w:firstLine="0"/>
              <w:jc w:val="center"/>
              <w:rPr>
                <w:bCs/>
                <w:sz w:val="21"/>
                <w:szCs w:val="21"/>
              </w:rPr>
            </w:pPr>
            <w:r>
              <w:rPr>
                <w:bCs/>
                <w:sz w:val="21"/>
                <w:szCs w:val="21"/>
              </w:rPr>
              <w:t>设计要求</w:t>
            </w:r>
          </w:p>
        </w:tc>
        <w:tc>
          <w:tcPr>
            <w:tcW w:w="1527" w:type="dxa"/>
            <w:tcBorders>
              <w:tl2br w:val="nil"/>
              <w:tr2bl w:val="nil"/>
            </w:tcBorders>
            <w:vAlign w:val="center"/>
          </w:tcPr>
          <w:p w14:paraId="01957E3F">
            <w:pPr>
              <w:ind w:firstLine="0"/>
              <w:jc w:val="center"/>
              <w:rPr>
                <w:bCs/>
                <w:sz w:val="21"/>
                <w:szCs w:val="21"/>
              </w:rPr>
            </w:pPr>
            <w:r>
              <w:rPr>
                <w:bCs/>
                <w:sz w:val="21"/>
                <w:szCs w:val="21"/>
              </w:rPr>
              <w:t>取样送检</w:t>
            </w:r>
          </w:p>
        </w:tc>
      </w:tr>
      <w:tr w14:paraId="11E09C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6" w:type="dxa"/>
            <w:vMerge w:val="continue"/>
            <w:tcBorders>
              <w:tl2br w:val="nil"/>
              <w:tr2bl w:val="nil"/>
            </w:tcBorders>
            <w:vAlign w:val="center"/>
          </w:tcPr>
          <w:p w14:paraId="09213819">
            <w:pPr>
              <w:ind w:firstLine="0"/>
              <w:jc w:val="center"/>
              <w:rPr>
                <w:bCs/>
                <w:sz w:val="21"/>
                <w:szCs w:val="21"/>
              </w:rPr>
            </w:pPr>
          </w:p>
        </w:tc>
        <w:tc>
          <w:tcPr>
            <w:tcW w:w="800" w:type="dxa"/>
            <w:tcBorders>
              <w:tl2br w:val="nil"/>
              <w:tr2bl w:val="nil"/>
            </w:tcBorders>
            <w:vAlign w:val="center"/>
          </w:tcPr>
          <w:p w14:paraId="1B381C01">
            <w:pPr>
              <w:ind w:firstLine="0"/>
              <w:jc w:val="center"/>
              <w:rPr>
                <w:bCs/>
                <w:sz w:val="21"/>
                <w:szCs w:val="21"/>
              </w:rPr>
            </w:pPr>
            <w:r>
              <w:rPr>
                <w:bCs/>
                <w:sz w:val="21"/>
                <w:szCs w:val="21"/>
              </w:rPr>
              <w:t>4</w:t>
            </w:r>
          </w:p>
        </w:tc>
        <w:tc>
          <w:tcPr>
            <w:tcW w:w="3250" w:type="dxa"/>
            <w:gridSpan w:val="2"/>
            <w:tcBorders>
              <w:tl2br w:val="nil"/>
              <w:tr2bl w:val="nil"/>
            </w:tcBorders>
            <w:vAlign w:val="center"/>
          </w:tcPr>
          <w:p w14:paraId="471D446A">
            <w:pPr>
              <w:ind w:firstLine="0"/>
              <w:jc w:val="center"/>
              <w:rPr>
                <w:bCs/>
                <w:sz w:val="21"/>
                <w:szCs w:val="21"/>
              </w:rPr>
            </w:pPr>
            <w:r>
              <w:rPr>
                <w:bCs/>
                <w:sz w:val="21"/>
                <w:szCs w:val="21"/>
              </w:rPr>
              <w:t>注浆量</w:t>
            </w:r>
          </w:p>
        </w:tc>
        <w:tc>
          <w:tcPr>
            <w:tcW w:w="2387" w:type="dxa"/>
            <w:tcBorders>
              <w:tl2br w:val="nil"/>
              <w:tr2bl w:val="nil"/>
            </w:tcBorders>
            <w:vAlign w:val="center"/>
          </w:tcPr>
          <w:p w14:paraId="47EF0A0A">
            <w:pPr>
              <w:ind w:firstLine="0"/>
              <w:jc w:val="center"/>
              <w:rPr>
                <w:bCs/>
                <w:sz w:val="21"/>
                <w:szCs w:val="21"/>
              </w:rPr>
            </w:pPr>
            <w:r>
              <w:rPr>
                <w:bCs/>
                <w:sz w:val="21"/>
                <w:szCs w:val="21"/>
              </w:rPr>
              <w:t>大于理论计算浆量</w:t>
            </w:r>
          </w:p>
        </w:tc>
        <w:tc>
          <w:tcPr>
            <w:tcW w:w="1527" w:type="dxa"/>
            <w:tcBorders>
              <w:tl2br w:val="nil"/>
              <w:tr2bl w:val="nil"/>
            </w:tcBorders>
            <w:vAlign w:val="center"/>
          </w:tcPr>
          <w:p w14:paraId="43F214DD">
            <w:pPr>
              <w:ind w:firstLine="0"/>
              <w:jc w:val="center"/>
              <w:rPr>
                <w:bCs/>
                <w:sz w:val="21"/>
                <w:szCs w:val="21"/>
              </w:rPr>
            </w:pPr>
            <w:r>
              <w:rPr>
                <w:bCs/>
                <w:sz w:val="21"/>
                <w:szCs w:val="21"/>
              </w:rPr>
              <w:t>检查计算数据</w:t>
            </w:r>
          </w:p>
        </w:tc>
      </w:tr>
      <w:tr w14:paraId="3575FA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756" w:type="dxa"/>
            <w:vMerge w:val="continue"/>
            <w:tcBorders>
              <w:tl2br w:val="nil"/>
              <w:tr2bl w:val="nil"/>
            </w:tcBorders>
            <w:vAlign w:val="center"/>
          </w:tcPr>
          <w:p w14:paraId="760567FB">
            <w:pPr>
              <w:ind w:firstLine="0"/>
              <w:jc w:val="center"/>
              <w:rPr>
                <w:bCs/>
                <w:sz w:val="21"/>
                <w:szCs w:val="21"/>
              </w:rPr>
            </w:pPr>
          </w:p>
        </w:tc>
        <w:tc>
          <w:tcPr>
            <w:tcW w:w="800" w:type="dxa"/>
            <w:vMerge w:val="restart"/>
            <w:tcBorders>
              <w:tl2br w:val="nil"/>
              <w:tr2bl w:val="nil"/>
            </w:tcBorders>
            <w:vAlign w:val="center"/>
          </w:tcPr>
          <w:p w14:paraId="4C14A4E9">
            <w:pPr>
              <w:ind w:firstLine="0"/>
              <w:jc w:val="center"/>
              <w:rPr>
                <w:bCs/>
                <w:sz w:val="21"/>
                <w:szCs w:val="21"/>
              </w:rPr>
            </w:pPr>
            <w:r>
              <w:rPr>
                <w:bCs/>
                <w:sz w:val="21"/>
                <w:szCs w:val="21"/>
              </w:rPr>
              <w:t>5</w:t>
            </w:r>
          </w:p>
        </w:tc>
        <w:tc>
          <w:tcPr>
            <w:tcW w:w="1140" w:type="dxa"/>
            <w:vMerge w:val="restart"/>
            <w:tcBorders>
              <w:tl2br w:val="nil"/>
              <w:tr2bl w:val="nil"/>
            </w:tcBorders>
            <w:vAlign w:val="center"/>
          </w:tcPr>
          <w:p w14:paraId="166D2637">
            <w:pPr>
              <w:spacing w:line="360" w:lineRule="exact"/>
              <w:ind w:firstLine="0"/>
              <w:jc w:val="center"/>
              <w:rPr>
                <w:bCs/>
                <w:sz w:val="21"/>
                <w:szCs w:val="21"/>
              </w:rPr>
            </w:pPr>
            <w:r>
              <w:rPr>
                <w:bCs/>
                <w:sz w:val="21"/>
                <w:szCs w:val="21"/>
              </w:rPr>
              <w:t>杆体插入长度</w:t>
            </w:r>
          </w:p>
        </w:tc>
        <w:tc>
          <w:tcPr>
            <w:tcW w:w="2110" w:type="dxa"/>
            <w:tcBorders>
              <w:tl2br w:val="nil"/>
              <w:tr2bl w:val="nil"/>
            </w:tcBorders>
            <w:vAlign w:val="center"/>
          </w:tcPr>
          <w:p w14:paraId="0FC87673">
            <w:pPr>
              <w:ind w:firstLine="0"/>
              <w:jc w:val="center"/>
              <w:rPr>
                <w:bCs/>
                <w:sz w:val="21"/>
                <w:szCs w:val="21"/>
              </w:rPr>
            </w:pPr>
            <w:r>
              <w:rPr>
                <w:bCs/>
                <w:sz w:val="21"/>
                <w:szCs w:val="21"/>
              </w:rPr>
              <w:t>全长粘结性锚杆（索）</w:t>
            </w:r>
          </w:p>
        </w:tc>
        <w:tc>
          <w:tcPr>
            <w:tcW w:w="2387" w:type="dxa"/>
            <w:tcBorders>
              <w:tl2br w:val="nil"/>
              <w:tr2bl w:val="nil"/>
            </w:tcBorders>
            <w:vAlign w:val="center"/>
          </w:tcPr>
          <w:p w14:paraId="375630F8">
            <w:pPr>
              <w:ind w:firstLine="0"/>
              <w:jc w:val="center"/>
              <w:rPr>
                <w:bCs/>
                <w:sz w:val="21"/>
                <w:szCs w:val="21"/>
              </w:rPr>
            </w:pPr>
            <w:r>
              <w:rPr>
                <w:bCs/>
                <w:sz w:val="21"/>
                <w:szCs w:val="21"/>
              </w:rPr>
              <w:t>不小于设计长度的95%</w:t>
            </w:r>
          </w:p>
        </w:tc>
        <w:tc>
          <w:tcPr>
            <w:tcW w:w="1527" w:type="dxa"/>
            <w:vMerge w:val="restart"/>
            <w:tcBorders>
              <w:tl2br w:val="nil"/>
              <w:tr2bl w:val="nil"/>
            </w:tcBorders>
            <w:vAlign w:val="center"/>
          </w:tcPr>
          <w:p w14:paraId="6A5DC98A">
            <w:pPr>
              <w:ind w:firstLine="0"/>
              <w:jc w:val="center"/>
              <w:rPr>
                <w:bCs/>
                <w:sz w:val="21"/>
                <w:szCs w:val="21"/>
              </w:rPr>
            </w:pPr>
            <w:r>
              <w:rPr>
                <w:bCs/>
                <w:sz w:val="21"/>
                <w:szCs w:val="21"/>
              </w:rPr>
              <w:t>用钢尺量</w:t>
            </w:r>
          </w:p>
        </w:tc>
      </w:tr>
      <w:tr w14:paraId="2F0F1D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756" w:type="dxa"/>
            <w:vMerge w:val="continue"/>
            <w:tcBorders>
              <w:tl2br w:val="nil"/>
              <w:tr2bl w:val="nil"/>
            </w:tcBorders>
            <w:vAlign w:val="center"/>
          </w:tcPr>
          <w:p w14:paraId="270E17FC">
            <w:pPr>
              <w:ind w:firstLine="0"/>
              <w:jc w:val="center"/>
              <w:rPr>
                <w:bCs/>
                <w:sz w:val="21"/>
                <w:szCs w:val="21"/>
              </w:rPr>
            </w:pPr>
          </w:p>
        </w:tc>
        <w:tc>
          <w:tcPr>
            <w:tcW w:w="800" w:type="dxa"/>
            <w:vMerge w:val="continue"/>
            <w:tcBorders>
              <w:tl2br w:val="nil"/>
              <w:tr2bl w:val="nil"/>
            </w:tcBorders>
            <w:vAlign w:val="center"/>
          </w:tcPr>
          <w:p w14:paraId="55577588">
            <w:pPr>
              <w:ind w:firstLine="0"/>
              <w:jc w:val="center"/>
              <w:rPr>
                <w:bCs/>
                <w:sz w:val="21"/>
                <w:szCs w:val="21"/>
              </w:rPr>
            </w:pPr>
          </w:p>
        </w:tc>
        <w:tc>
          <w:tcPr>
            <w:tcW w:w="1140" w:type="dxa"/>
            <w:vMerge w:val="continue"/>
            <w:tcBorders>
              <w:tl2br w:val="nil"/>
              <w:tr2bl w:val="nil"/>
            </w:tcBorders>
            <w:vAlign w:val="center"/>
          </w:tcPr>
          <w:p w14:paraId="0B73D259">
            <w:pPr>
              <w:spacing w:line="360" w:lineRule="exact"/>
              <w:ind w:firstLine="0"/>
              <w:jc w:val="center"/>
              <w:rPr>
                <w:bCs/>
                <w:sz w:val="21"/>
                <w:szCs w:val="21"/>
              </w:rPr>
            </w:pPr>
          </w:p>
        </w:tc>
        <w:tc>
          <w:tcPr>
            <w:tcW w:w="2110" w:type="dxa"/>
            <w:tcBorders>
              <w:tl2br w:val="nil"/>
              <w:tr2bl w:val="nil"/>
            </w:tcBorders>
            <w:vAlign w:val="center"/>
          </w:tcPr>
          <w:p w14:paraId="1345FE23">
            <w:pPr>
              <w:ind w:firstLine="0"/>
              <w:jc w:val="center"/>
              <w:rPr>
                <w:bCs/>
                <w:sz w:val="21"/>
                <w:szCs w:val="21"/>
              </w:rPr>
            </w:pPr>
            <w:r>
              <w:rPr>
                <w:bCs/>
                <w:sz w:val="21"/>
                <w:szCs w:val="21"/>
              </w:rPr>
              <w:t>预应力锚杆（索）</w:t>
            </w:r>
          </w:p>
        </w:tc>
        <w:tc>
          <w:tcPr>
            <w:tcW w:w="2387" w:type="dxa"/>
            <w:tcBorders>
              <w:tl2br w:val="nil"/>
              <w:tr2bl w:val="nil"/>
            </w:tcBorders>
            <w:vAlign w:val="center"/>
          </w:tcPr>
          <w:p w14:paraId="302710EB">
            <w:pPr>
              <w:ind w:firstLine="0"/>
              <w:jc w:val="center"/>
              <w:rPr>
                <w:bCs/>
                <w:sz w:val="21"/>
                <w:szCs w:val="21"/>
              </w:rPr>
            </w:pPr>
            <w:r>
              <w:rPr>
                <w:bCs/>
                <w:sz w:val="21"/>
                <w:szCs w:val="21"/>
              </w:rPr>
              <w:t>不小于设计长度的98%</w:t>
            </w:r>
          </w:p>
        </w:tc>
        <w:tc>
          <w:tcPr>
            <w:tcW w:w="1527" w:type="dxa"/>
            <w:vMerge w:val="continue"/>
            <w:tcBorders>
              <w:tl2br w:val="nil"/>
              <w:tr2bl w:val="nil"/>
            </w:tcBorders>
            <w:vAlign w:val="center"/>
          </w:tcPr>
          <w:p w14:paraId="1798FC0E">
            <w:pPr>
              <w:ind w:firstLine="0"/>
              <w:jc w:val="center"/>
              <w:rPr>
                <w:bCs/>
                <w:sz w:val="21"/>
                <w:szCs w:val="21"/>
              </w:rPr>
            </w:pPr>
          </w:p>
        </w:tc>
      </w:tr>
    </w:tbl>
    <w:p w14:paraId="44B60EF2">
      <w:pPr>
        <w:ind w:firstLine="0"/>
        <w:rPr>
          <w:b/>
          <w:bCs/>
        </w:rPr>
      </w:pPr>
    </w:p>
    <w:p w14:paraId="602CEB87">
      <w:pPr>
        <w:ind w:firstLine="0"/>
        <w:rPr>
          <w:bCs/>
        </w:rPr>
      </w:pPr>
      <w:r>
        <w:rPr>
          <w:b/>
          <w:bCs/>
        </w:rPr>
        <w:t>8.3.5　</w:t>
      </w:r>
      <w:r>
        <w:rPr>
          <w:bCs/>
        </w:rPr>
        <w:t>对于锚杆（索）的抗拔承载力检测，同一土层锚杆（索）的检测数量不得少于锚杆（索）总数的5%，且不得少于5根。抗拔检测需在锚固段注浆体强度达到15MPa或设计强度的75%以上后才能进行；浆体强度检测用的试块每30根锚杆（索）不应少于1组，每组不应少于6个试块。</w:t>
      </w:r>
    </w:p>
    <w:p w14:paraId="7063B1F4">
      <w:pPr>
        <w:ind w:firstLine="0"/>
        <w:rPr>
          <w:bCs/>
        </w:rPr>
      </w:pPr>
      <w:r>
        <w:rPr>
          <w:b/>
          <w:bCs/>
        </w:rPr>
        <w:t>8.3.6　</w:t>
      </w:r>
      <w:r>
        <w:rPr>
          <w:bCs/>
        </w:rPr>
        <w:t>土钉墙的土钉应进行抗拔承载力检测，数量不得少于土钉总数的1%，且不得少于3根。</w:t>
      </w:r>
    </w:p>
    <w:p w14:paraId="7C59A42E">
      <w:pPr>
        <w:ind w:firstLine="0"/>
        <w:rPr>
          <w:bCs/>
        </w:rPr>
      </w:pPr>
      <w:r>
        <w:rPr>
          <w:b/>
          <w:bCs/>
        </w:rPr>
        <w:t>8.3.7　</w:t>
      </w:r>
      <w:r>
        <w:rPr>
          <w:bCs/>
        </w:rPr>
        <w:t>坡面喷射混凝土的强度应预留试块进行检测，同配合比的混凝土每100m</w:t>
      </w:r>
      <w:r>
        <w:rPr>
          <w:bCs/>
          <w:vertAlign w:val="superscript"/>
        </w:rPr>
        <w:t>3</w:t>
      </w:r>
      <w:r>
        <w:rPr>
          <w:bCs/>
        </w:rPr>
        <w:t>不得少于1组，每组3块。</w:t>
      </w:r>
    </w:p>
    <w:p w14:paraId="60F502B8">
      <w:pPr>
        <w:ind w:firstLine="0"/>
        <w:rPr>
          <w:bCs/>
        </w:rPr>
      </w:pPr>
      <w:r>
        <w:rPr>
          <w:b/>
          <w:bCs/>
        </w:rPr>
        <w:t>8.3.8　</w:t>
      </w:r>
      <w:r>
        <w:rPr>
          <w:bCs/>
        </w:rPr>
        <w:t>坡面喷射混凝土的厚度应进行检测，每100m</w:t>
      </w:r>
      <w:r>
        <w:rPr>
          <w:bCs/>
          <w:vertAlign w:val="superscript"/>
        </w:rPr>
        <w:t>2</w:t>
      </w:r>
      <w:r>
        <w:rPr>
          <w:bCs/>
        </w:rPr>
        <w:t>喷射面积不得少于1组，每组不得少于3个点。</w:t>
      </w:r>
    </w:p>
    <w:p w14:paraId="76A8677C">
      <w:pPr>
        <w:ind w:firstLine="569"/>
        <w:rPr>
          <w:b/>
          <w:bCs/>
          <w:color w:val="auto"/>
          <w:sz w:val="28"/>
        </w:rPr>
      </w:pPr>
    </w:p>
    <w:p w14:paraId="3485181B">
      <w:pPr>
        <w:ind w:firstLine="569"/>
        <w:rPr>
          <w:b/>
          <w:bCs/>
          <w:color w:val="auto"/>
          <w:sz w:val="28"/>
        </w:rPr>
      </w:pPr>
    </w:p>
    <w:p w14:paraId="2E8A4B25">
      <w:pPr>
        <w:pStyle w:val="2"/>
        <w:spacing w:before="328" w:beforeLines="100" w:after="328" w:afterLines="100" w:line="300" w:lineRule="auto"/>
        <w:jc w:val="center"/>
        <w:rPr>
          <w:rFonts w:eastAsiaTheme="majorEastAsia"/>
          <w:kern w:val="0"/>
          <w:sz w:val="32"/>
          <w:szCs w:val="32"/>
          <w:lang w:val="zh-CN"/>
        </w:rPr>
        <w:sectPr>
          <w:pgSz w:w="11906" w:h="16838"/>
          <w:pgMar w:top="1984" w:right="1701" w:bottom="1701" w:left="1701" w:header="1701" w:footer="1417" w:gutter="0"/>
          <w:cols w:space="0" w:num="1"/>
          <w:docGrid w:type="lines" w:linePitch="328" w:charSpace="0"/>
        </w:sectPr>
      </w:pPr>
      <w:bookmarkStart w:id="664" w:name="_Toc178071736"/>
    </w:p>
    <w:bookmarkEnd w:id="664"/>
    <w:p w14:paraId="73BB4D0D">
      <w:pPr>
        <w:rPr>
          <w:lang w:val="zh-CN"/>
        </w:rPr>
      </w:pPr>
    </w:p>
    <w:p w14:paraId="62782A9A">
      <w:pPr>
        <w:pStyle w:val="19"/>
        <w:widowControl w:val="0"/>
        <w:spacing w:before="328" w:beforeLines="100" w:after="328" w:afterLines="100" w:line="360" w:lineRule="auto"/>
        <w:jc w:val="center"/>
        <w:outlineLvl w:val="0"/>
        <w:rPr>
          <w:rFonts w:ascii="Times New Roman" w:eastAsia="宋体"/>
          <w:b/>
          <w:sz w:val="30"/>
          <w:szCs w:val="30"/>
        </w:rPr>
      </w:pPr>
      <w:bookmarkStart w:id="665" w:name="_Toc22357"/>
      <w:bookmarkStart w:id="666" w:name="_Toc5749"/>
      <w:bookmarkStart w:id="667" w:name="_Toc27022"/>
      <w:bookmarkStart w:id="668" w:name="_Toc19087"/>
      <w:bookmarkStart w:id="669" w:name="_Toc3929"/>
      <w:bookmarkStart w:id="670" w:name="_Toc27245"/>
      <w:bookmarkStart w:id="671" w:name="_Toc28895"/>
      <w:bookmarkStart w:id="672" w:name="_Toc193392098"/>
      <w:r>
        <w:rPr>
          <w:rFonts w:ascii="Times New Roman" w:eastAsia="宋体"/>
          <w:b/>
          <w:sz w:val="30"/>
          <w:szCs w:val="30"/>
        </w:rPr>
        <w:t>附录A　综合管廊岩土工程（子）分部</w:t>
      </w:r>
      <w:bookmarkEnd w:id="665"/>
      <w:bookmarkEnd w:id="666"/>
      <w:bookmarkEnd w:id="667"/>
      <w:bookmarkEnd w:id="668"/>
      <w:bookmarkEnd w:id="669"/>
      <w:bookmarkEnd w:id="670"/>
      <w:bookmarkEnd w:id="671"/>
      <w:bookmarkStart w:id="673" w:name="_Toc5561"/>
      <w:bookmarkStart w:id="674" w:name="_Toc6468"/>
      <w:bookmarkStart w:id="675" w:name="_Toc31257"/>
      <w:bookmarkStart w:id="676" w:name="_Toc18436"/>
      <w:bookmarkStart w:id="677" w:name="_Toc7558"/>
      <w:bookmarkStart w:id="678" w:name="_Toc470"/>
      <w:bookmarkStart w:id="679" w:name="_Toc2599"/>
      <w:r>
        <w:rPr>
          <w:rFonts w:ascii="Times New Roman" w:eastAsia="宋体"/>
          <w:b/>
          <w:sz w:val="30"/>
          <w:szCs w:val="30"/>
        </w:rPr>
        <w:t>分项工程划分表</w:t>
      </w:r>
      <w:bookmarkEnd w:id="672"/>
      <w:bookmarkEnd w:id="673"/>
      <w:bookmarkEnd w:id="674"/>
      <w:bookmarkEnd w:id="675"/>
      <w:bookmarkEnd w:id="676"/>
      <w:bookmarkEnd w:id="677"/>
      <w:bookmarkEnd w:id="678"/>
      <w:bookmarkEnd w:id="679"/>
    </w:p>
    <w:p w14:paraId="2D7756CE"/>
    <w:p w14:paraId="35B8A546">
      <w:pPr>
        <w:pStyle w:val="6"/>
        <w:jc w:val="center"/>
        <w:rPr>
          <w:rFonts w:ascii="Times New Roman" w:hAnsi="Times New Roman"/>
          <w:b/>
          <w:sz w:val="24"/>
        </w:rPr>
      </w:pPr>
      <w:bookmarkStart w:id="680" w:name="_Toc2610"/>
      <w:bookmarkStart w:id="681" w:name="_Toc11143"/>
      <w:bookmarkStart w:id="682" w:name="_Toc7157"/>
      <w:bookmarkStart w:id="683" w:name="_Toc10450"/>
      <w:bookmarkStart w:id="684" w:name="_Toc1490"/>
      <w:bookmarkStart w:id="685" w:name="_Toc491"/>
      <w:bookmarkStart w:id="686" w:name="_Toc26426"/>
      <w:bookmarkStart w:id="687" w:name="_Toc32731"/>
      <w:r>
        <w:rPr>
          <w:rFonts w:ascii="Times New Roman" w:hAnsi="Times New Roman"/>
          <w:b/>
          <w:sz w:val="24"/>
        </w:rPr>
        <w:t>表A　综合管廊岩土工程（子）分部分项工程划分表</w:t>
      </w:r>
      <w:bookmarkEnd w:id="680"/>
      <w:bookmarkEnd w:id="681"/>
      <w:bookmarkEnd w:id="682"/>
      <w:bookmarkEnd w:id="683"/>
      <w:bookmarkEnd w:id="684"/>
      <w:bookmarkEnd w:id="685"/>
      <w:bookmarkEnd w:id="686"/>
      <w:bookmarkEnd w:id="687"/>
    </w:p>
    <w:p w14:paraId="208D5A8A">
      <w:pPr>
        <w:pStyle w:val="20"/>
        <w:snapToGrid w:val="0"/>
        <w:ind w:firstLine="300"/>
        <w:rPr>
          <w:rFonts w:ascii="Times New Roman"/>
          <w:sz w:val="15"/>
          <w:szCs w:val="15"/>
        </w:rPr>
      </w:pPr>
    </w:p>
    <w:tbl>
      <w:tblPr>
        <w:tblStyle w:val="29"/>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13" w:type="dxa"/>
          <w:bottom w:w="0" w:type="dxa"/>
          <w:right w:w="113" w:type="dxa"/>
        </w:tblCellMar>
      </w:tblPr>
      <w:tblGrid>
        <w:gridCol w:w="746"/>
        <w:gridCol w:w="867"/>
        <w:gridCol w:w="814"/>
        <w:gridCol w:w="893"/>
        <w:gridCol w:w="3127"/>
        <w:gridCol w:w="2057"/>
      </w:tblGrid>
      <w:tr w14:paraId="2A403D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113" w:type="dxa"/>
          </w:tblCellMar>
        </w:tblPrEx>
        <w:trPr>
          <w:trHeight w:val="464" w:hRule="atLeast"/>
          <w:jc w:val="center"/>
        </w:trPr>
        <w:tc>
          <w:tcPr>
            <w:tcW w:w="8504" w:type="dxa"/>
            <w:gridSpan w:val="6"/>
            <w:tcBorders>
              <w:tl2br w:val="nil"/>
              <w:tr2bl w:val="nil"/>
            </w:tcBorders>
            <w:vAlign w:val="center"/>
          </w:tcPr>
          <w:p w14:paraId="17082B5E">
            <w:pPr>
              <w:autoSpaceDE w:val="0"/>
              <w:autoSpaceDN w:val="0"/>
              <w:spacing w:line="240" w:lineRule="auto"/>
              <w:ind w:firstLine="0"/>
              <w:jc w:val="center"/>
              <w:rPr>
                <w:sz w:val="21"/>
                <w:szCs w:val="21"/>
                <w:lang w:eastAsia="zh-CN"/>
              </w:rPr>
            </w:pPr>
            <w:r>
              <w:rPr>
                <w:sz w:val="21"/>
                <w:szCs w:val="21"/>
                <w:lang w:eastAsia="zh-CN"/>
              </w:rPr>
              <w:t>综合管廊（子）分部分项工程表</w:t>
            </w:r>
          </w:p>
        </w:tc>
      </w:tr>
      <w:tr w14:paraId="7F4A95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113" w:type="dxa"/>
          </w:tblCellMar>
        </w:tblPrEx>
        <w:trPr>
          <w:trHeight w:val="909" w:hRule="atLeast"/>
          <w:jc w:val="center"/>
        </w:trPr>
        <w:tc>
          <w:tcPr>
            <w:tcW w:w="746" w:type="dxa"/>
            <w:tcBorders>
              <w:tl2br w:val="nil"/>
              <w:tr2bl w:val="nil"/>
            </w:tcBorders>
            <w:vAlign w:val="center"/>
          </w:tcPr>
          <w:p w14:paraId="1AD85F2B">
            <w:pPr>
              <w:autoSpaceDE w:val="0"/>
              <w:autoSpaceDN w:val="0"/>
              <w:spacing w:line="240" w:lineRule="auto"/>
              <w:ind w:firstLine="0"/>
              <w:jc w:val="center"/>
              <w:rPr>
                <w:sz w:val="21"/>
                <w:szCs w:val="21"/>
                <w:lang w:eastAsia="en-US"/>
              </w:rPr>
            </w:pPr>
            <w:r>
              <w:rPr>
                <w:spacing w:val="4"/>
                <w:sz w:val="21"/>
                <w:szCs w:val="21"/>
                <w:lang w:eastAsia="en-US"/>
              </w:rPr>
              <w:t>单位工程</w:t>
            </w:r>
          </w:p>
        </w:tc>
        <w:tc>
          <w:tcPr>
            <w:tcW w:w="867" w:type="dxa"/>
            <w:tcBorders>
              <w:tl2br w:val="nil"/>
              <w:tr2bl w:val="nil"/>
            </w:tcBorders>
            <w:vAlign w:val="center"/>
          </w:tcPr>
          <w:p w14:paraId="769BA8EC">
            <w:pPr>
              <w:autoSpaceDE w:val="0"/>
              <w:autoSpaceDN w:val="0"/>
              <w:spacing w:line="240" w:lineRule="auto"/>
              <w:ind w:firstLine="0"/>
              <w:jc w:val="center"/>
              <w:rPr>
                <w:sz w:val="21"/>
                <w:szCs w:val="21"/>
                <w:lang w:eastAsia="en-US"/>
              </w:rPr>
            </w:pPr>
            <w:r>
              <w:rPr>
                <w:spacing w:val="-4"/>
                <w:sz w:val="21"/>
                <w:szCs w:val="21"/>
                <w:lang w:eastAsia="en-US"/>
              </w:rPr>
              <w:t>子单位</w:t>
            </w:r>
            <w:r>
              <w:rPr>
                <w:spacing w:val="4"/>
                <w:sz w:val="21"/>
                <w:szCs w:val="21"/>
                <w:lang w:eastAsia="en-US"/>
              </w:rPr>
              <w:t>工程</w:t>
            </w:r>
          </w:p>
        </w:tc>
        <w:tc>
          <w:tcPr>
            <w:tcW w:w="814" w:type="dxa"/>
            <w:tcBorders>
              <w:tl2br w:val="nil"/>
              <w:tr2bl w:val="nil"/>
            </w:tcBorders>
            <w:vAlign w:val="center"/>
          </w:tcPr>
          <w:p w14:paraId="62AF7FE5">
            <w:pPr>
              <w:autoSpaceDE w:val="0"/>
              <w:autoSpaceDN w:val="0"/>
              <w:spacing w:line="240" w:lineRule="auto"/>
              <w:ind w:firstLine="0"/>
              <w:jc w:val="center"/>
              <w:rPr>
                <w:sz w:val="21"/>
                <w:szCs w:val="21"/>
                <w:lang w:eastAsia="en-US"/>
              </w:rPr>
            </w:pPr>
            <w:r>
              <w:rPr>
                <w:spacing w:val="6"/>
                <w:sz w:val="21"/>
                <w:szCs w:val="21"/>
                <w:lang w:eastAsia="en-US"/>
              </w:rPr>
              <w:t>分部</w:t>
            </w:r>
            <w:r>
              <w:rPr>
                <w:spacing w:val="4"/>
                <w:sz w:val="21"/>
                <w:szCs w:val="21"/>
                <w:lang w:eastAsia="en-US"/>
              </w:rPr>
              <w:t>工程</w:t>
            </w:r>
          </w:p>
        </w:tc>
        <w:tc>
          <w:tcPr>
            <w:tcW w:w="893" w:type="dxa"/>
            <w:tcBorders>
              <w:tl2br w:val="nil"/>
              <w:tr2bl w:val="nil"/>
            </w:tcBorders>
            <w:vAlign w:val="center"/>
          </w:tcPr>
          <w:p w14:paraId="7B8934EB">
            <w:pPr>
              <w:autoSpaceDE w:val="0"/>
              <w:autoSpaceDN w:val="0"/>
              <w:spacing w:line="240" w:lineRule="auto"/>
              <w:ind w:firstLine="0"/>
              <w:jc w:val="center"/>
              <w:rPr>
                <w:sz w:val="21"/>
                <w:szCs w:val="21"/>
                <w:lang w:eastAsia="en-US"/>
              </w:rPr>
            </w:pPr>
            <w:r>
              <w:rPr>
                <w:spacing w:val="4"/>
                <w:sz w:val="21"/>
                <w:szCs w:val="21"/>
                <w:lang w:eastAsia="en-US"/>
              </w:rPr>
              <w:t>子分部</w:t>
            </w:r>
          </w:p>
          <w:p w14:paraId="633CD680">
            <w:pPr>
              <w:autoSpaceDE w:val="0"/>
              <w:autoSpaceDN w:val="0"/>
              <w:spacing w:line="240" w:lineRule="auto"/>
              <w:ind w:firstLine="0"/>
              <w:jc w:val="center"/>
              <w:rPr>
                <w:sz w:val="21"/>
                <w:szCs w:val="21"/>
                <w:lang w:eastAsia="en-US"/>
              </w:rPr>
            </w:pPr>
            <w:r>
              <w:rPr>
                <w:spacing w:val="4"/>
                <w:sz w:val="21"/>
                <w:szCs w:val="21"/>
                <w:lang w:eastAsia="en-US"/>
              </w:rPr>
              <w:t>工程</w:t>
            </w:r>
          </w:p>
        </w:tc>
        <w:tc>
          <w:tcPr>
            <w:tcW w:w="3127" w:type="dxa"/>
            <w:tcBorders>
              <w:tl2br w:val="nil"/>
              <w:tr2bl w:val="nil"/>
            </w:tcBorders>
            <w:vAlign w:val="center"/>
          </w:tcPr>
          <w:p w14:paraId="3B53A79F">
            <w:pPr>
              <w:autoSpaceDE w:val="0"/>
              <w:autoSpaceDN w:val="0"/>
              <w:spacing w:line="240" w:lineRule="auto"/>
              <w:ind w:firstLine="0"/>
              <w:jc w:val="center"/>
              <w:rPr>
                <w:sz w:val="21"/>
                <w:szCs w:val="21"/>
                <w:lang w:eastAsia="en-US"/>
              </w:rPr>
            </w:pPr>
            <w:r>
              <w:rPr>
                <w:spacing w:val="2"/>
                <w:sz w:val="21"/>
                <w:szCs w:val="21"/>
                <w:lang w:eastAsia="en-US"/>
              </w:rPr>
              <w:t>分项工程</w:t>
            </w:r>
          </w:p>
        </w:tc>
        <w:tc>
          <w:tcPr>
            <w:tcW w:w="2057" w:type="dxa"/>
            <w:tcBorders>
              <w:tl2br w:val="nil"/>
              <w:tr2bl w:val="nil"/>
            </w:tcBorders>
            <w:vAlign w:val="center"/>
          </w:tcPr>
          <w:p w14:paraId="5EACCAF0">
            <w:pPr>
              <w:autoSpaceDE w:val="0"/>
              <w:autoSpaceDN w:val="0"/>
              <w:spacing w:line="240" w:lineRule="auto"/>
              <w:ind w:firstLine="0"/>
              <w:jc w:val="center"/>
              <w:rPr>
                <w:sz w:val="21"/>
                <w:szCs w:val="21"/>
                <w:lang w:eastAsia="en-US"/>
              </w:rPr>
            </w:pPr>
            <w:r>
              <w:rPr>
                <w:spacing w:val="-3"/>
                <w:sz w:val="21"/>
                <w:szCs w:val="21"/>
                <w:lang w:eastAsia="en-US"/>
              </w:rPr>
              <w:t>检验批</w:t>
            </w:r>
          </w:p>
        </w:tc>
      </w:tr>
      <w:tr w14:paraId="1603F6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113" w:type="dxa"/>
          </w:tblCellMar>
        </w:tblPrEx>
        <w:trPr>
          <w:trHeight w:val="919" w:hRule="atLeast"/>
          <w:jc w:val="center"/>
        </w:trPr>
        <w:tc>
          <w:tcPr>
            <w:tcW w:w="746" w:type="dxa"/>
            <w:vMerge w:val="restart"/>
            <w:tcBorders>
              <w:tl2br w:val="nil"/>
              <w:tr2bl w:val="nil"/>
            </w:tcBorders>
            <w:vAlign w:val="center"/>
          </w:tcPr>
          <w:p w14:paraId="48092209">
            <w:pPr>
              <w:autoSpaceDE w:val="0"/>
              <w:autoSpaceDN w:val="0"/>
              <w:spacing w:line="240" w:lineRule="auto"/>
              <w:ind w:firstLine="0"/>
              <w:jc w:val="center"/>
              <w:rPr>
                <w:sz w:val="21"/>
                <w:szCs w:val="21"/>
                <w:lang w:eastAsia="en-US"/>
              </w:rPr>
            </w:pPr>
            <w:r>
              <w:rPr>
                <w:spacing w:val="5"/>
                <w:sz w:val="21"/>
                <w:szCs w:val="21"/>
                <w:lang w:eastAsia="en-US"/>
              </w:rPr>
              <w:t>综合</w:t>
            </w:r>
            <w:r>
              <w:rPr>
                <w:spacing w:val="7"/>
                <w:sz w:val="21"/>
                <w:szCs w:val="21"/>
                <w:lang w:eastAsia="en-US"/>
              </w:rPr>
              <w:t>管廊</w:t>
            </w:r>
          </w:p>
        </w:tc>
        <w:tc>
          <w:tcPr>
            <w:tcW w:w="867" w:type="dxa"/>
            <w:vMerge w:val="restart"/>
            <w:tcBorders>
              <w:tl2br w:val="nil"/>
              <w:tr2bl w:val="nil"/>
            </w:tcBorders>
            <w:vAlign w:val="center"/>
          </w:tcPr>
          <w:p w14:paraId="3A800033">
            <w:pPr>
              <w:autoSpaceDE w:val="0"/>
              <w:autoSpaceDN w:val="0"/>
              <w:spacing w:line="240" w:lineRule="auto"/>
              <w:ind w:firstLine="0"/>
              <w:jc w:val="center"/>
              <w:rPr>
                <w:sz w:val="21"/>
                <w:szCs w:val="21"/>
                <w:lang w:eastAsia="en-US"/>
              </w:rPr>
            </w:pPr>
            <w:r>
              <w:rPr>
                <w:spacing w:val="5"/>
                <w:sz w:val="21"/>
                <w:szCs w:val="21"/>
                <w:lang w:eastAsia="en-US"/>
              </w:rPr>
              <w:t>本体</w:t>
            </w:r>
            <w:r>
              <w:rPr>
                <w:spacing w:val="4"/>
                <w:sz w:val="21"/>
                <w:szCs w:val="21"/>
                <w:lang w:eastAsia="en-US"/>
              </w:rPr>
              <w:t>工程</w:t>
            </w:r>
          </w:p>
        </w:tc>
        <w:tc>
          <w:tcPr>
            <w:tcW w:w="814" w:type="dxa"/>
            <w:vMerge w:val="restart"/>
            <w:tcBorders>
              <w:tl2br w:val="nil"/>
              <w:tr2bl w:val="nil"/>
            </w:tcBorders>
            <w:vAlign w:val="center"/>
          </w:tcPr>
          <w:p w14:paraId="66A50F20">
            <w:pPr>
              <w:autoSpaceDE w:val="0"/>
              <w:autoSpaceDN w:val="0"/>
              <w:spacing w:line="240" w:lineRule="auto"/>
              <w:ind w:firstLine="0"/>
              <w:jc w:val="center"/>
              <w:rPr>
                <w:sz w:val="21"/>
                <w:szCs w:val="21"/>
                <w:lang w:eastAsia="en-US"/>
              </w:rPr>
            </w:pPr>
            <w:r>
              <w:rPr>
                <w:spacing w:val="25"/>
                <w:sz w:val="21"/>
                <w:szCs w:val="21"/>
                <w:lang w:eastAsia="en-US"/>
              </w:rPr>
              <w:t>地基与</w:t>
            </w:r>
            <w:r>
              <w:rPr>
                <w:spacing w:val="25"/>
                <w:sz w:val="21"/>
                <w:szCs w:val="21"/>
                <w:lang w:eastAsia="en-US"/>
              </w:rPr>
              <w:br w:type="textWrapping"/>
            </w:r>
            <w:r>
              <w:rPr>
                <w:spacing w:val="-1"/>
                <w:sz w:val="21"/>
                <w:szCs w:val="21"/>
                <w:lang w:eastAsia="en-US"/>
              </w:rPr>
              <w:t>基础</w:t>
            </w:r>
          </w:p>
        </w:tc>
        <w:tc>
          <w:tcPr>
            <w:tcW w:w="893" w:type="dxa"/>
            <w:tcBorders>
              <w:tl2br w:val="nil"/>
              <w:tr2bl w:val="nil"/>
            </w:tcBorders>
            <w:vAlign w:val="center"/>
          </w:tcPr>
          <w:p w14:paraId="7EDD4AFE">
            <w:pPr>
              <w:autoSpaceDE w:val="0"/>
              <w:autoSpaceDN w:val="0"/>
              <w:spacing w:line="240" w:lineRule="auto"/>
              <w:ind w:firstLine="0"/>
              <w:jc w:val="center"/>
              <w:rPr>
                <w:spacing w:val="-5"/>
                <w:sz w:val="21"/>
                <w:szCs w:val="21"/>
                <w:lang w:eastAsia="en-US"/>
              </w:rPr>
            </w:pPr>
            <w:r>
              <w:rPr>
                <w:spacing w:val="-5"/>
                <w:sz w:val="21"/>
                <w:szCs w:val="21"/>
                <w:lang w:eastAsia="en-US"/>
              </w:rPr>
              <w:t>土方</w:t>
            </w:r>
          </w:p>
          <w:p w14:paraId="7C1A6D5B">
            <w:pPr>
              <w:autoSpaceDE w:val="0"/>
              <w:autoSpaceDN w:val="0"/>
              <w:spacing w:line="240" w:lineRule="auto"/>
              <w:ind w:firstLine="0"/>
              <w:jc w:val="center"/>
              <w:rPr>
                <w:sz w:val="21"/>
                <w:szCs w:val="21"/>
                <w:lang w:eastAsia="en-US"/>
              </w:rPr>
            </w:pPr>
            <w:r>
              <w:rPr>
                <w:spacing w:val="-5"/>
                <w:sz w:val="21"/>
                <w:szCs w:val="21"/>
                <w:lang w:eastAsia="en-US"/>
              </w:rPr>
              <w:t>工程</w:t>
            </w:r>
          </w:p>
        </w:tc>
        <w:tc>
          <w:tcPr>
            <w:tcW w:w="3127" w:type="dxa"/>
            <w:tcBorders>
              <w:tl2br w:val="nil"/>
              <w:tr2bl w:val="nil"/>
            </w:tcBorders>
            <w:vAlign w:val="center"/>
          </w:tcPr>
          <w:p w14:paraId="733183B1">
            <w:pPr>
              <w:autoSpaceDE w:val="0"/>
              <w:autoSpaceDN w:val="0"/>
              <w:spacing w:line="240" w:lineRule="auto"/>
              <w:ind w:firstLine="0"/>
              <w:rPr>
                <w:sz w:val="21"/>
                <w:szCs w:val="21"/>
                <w:lang w:eastAsia="zh-CN"/>
              </w:rPr>
            </w:pPr>
            <w:r>
              <w:rPr>
                <w:spacing w:val="-2"/>
                <w:sz w:val="21"/>
                <w:szCs w:val="21"/>
                <w:lang w:eastAsia="zh-CN"/>
              </w:rPr>
              <w:t>施工测量，土方开挖，土石</w:t>
            </w:r>
            <w:r>
              <w:rPr>
                <w:sz w:val="21"/>
                <w:szCs w:val="21"/>
                <w:lang w:eastAsia="zh-CN"/>
              </w:rPr>
              <w:t>方回填，场地平整</w:t>
            </w:r>
          </w:p>
        </w:tc>
        <w:tc>
          <w:tcPr>
            <w:tcW w:w="2057" w:type="dxa"/>
            <w:tcBorders>
              <w:tl2br w:val="nil"/>
              <w:tr2bl w:val="nil"/>
            </w:tcBorders>
            <w:vAlign w:val="center"/>
          </w:tcPr>
          <w:p w14:paraId="17804AEB">
            <w:pPr>
              <w:autoSpaceDE w:val="0"/>
              <w:autoSpaceDN w:val="0"/>
              <w:spacing w:line="240" w:lineRule="auto"/>
              <w:ind w:firstLine="0"/>
              <w:jc w:val="center"/>
              <w:rPr>
                <w:sz w:val="21"/>
                <w:szCs w:val="21"/>
                <w:lang w:eastAsia="zh-CN"/>
              </w:rPr>
            </w:pPr>
            <w:r>
              <w:rPr>
                <w:sz w:val="21"/>
                <w:szCs w:val="21"/>
                <w:lang w:eastAsia="zh-CN"/>
              </w:rPr>
              <w:t>按流水施工长</w:t>
            </w:r>
            <w:r>
              <w:rPr>
                <w:spacing w:val="12"/>
                <w:sz w:val="21"/>
                <w:szCs w:val="21"/>
                <w:lang w:eastAsia="zh-CN"/>
              </w:rPr>
              <w:t>度（层）</w:t>
            </w:r>
          </w:p>
        </w:tc>
      </w:tr>
      <w:tr w14:paraId="6041B6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113" w:type="dxa"/>
          </w:tblCellMar>
        </w:tblPrEx>
        <w:trPr>
          <w:trHeight w:val="2492" w:hRule="atLeast"/>
          <w:jc w:val="center"/>
        </w:trPr>
        <w:tc>
          <w:tcPr>
            <w:tcW w:w="746" w:type="dxa"/>
            <w:vMerge w:val="continue"/>
            <w:tcBorders>
              <w:tl2br w:val="nil"/>
              <w:tr2bl w:val="nil"/>
            </w:tcBorders>
            <w:vAlign w:val="center"/>
          </w:tcPr>
          <w:p w14:paraId="4C02E5FC">
            <w:pPr>
              <w:pStyle w:val="30"/>
              <w:autoSpaceDE w:val="0"/>
              <w:autoSpaceDN w:val="0"/>
              <w:spacing w:line="240" w:lineRule="auto"/>
              <w:ind w:firstLine="0"/>
              <w:jc w:val="center"/>
              <w:rPr>
                <w:rFonts w:ascii="Times New Roman" w:hAnsi="Times New Roman" w:cs="Times New Roman"/>
                <w:sz w:val="21"/>
                <w:szCs w:val="21"/>
                <w:lang w:eastAsia="zh-CN"/>
              </w:rPr>
            </w:pPr>
          </w:p>
        </w:tc>
        <w:tc>
          <w:tcPr>
            <w:tcW w:w="867" w:type="dxa"/>
            <w:vMerge w:val="continue"/>
            <w:tcBorders>
              <w:tl2br w:val="nil"/>
              <w:tr2bl w:val="nil"/>
            </w:tcBorders>
            <w:vAlign w:val="center"/>
          </w:tcPr>
          <w:p w14:paraId="4D7E0DB1">
            <w:pPr>
              <w:pStyle w:val="30"/>
              <w:autoSpaceDE w:val="0"/>
              <w:autoSpaceDN w:val="0"/>
              <w:spacing w:line="240" w:lineRule="auto"/>
              <w:ind w:firstLine="0"/>
              <w:jc w:val="center"/>
              <w:rPr>
                <w:rFonts w:ascii="Times New Roman" w:hAnsi="Times New Roman" w:cs="Times New Roman"/>
                <w:sz w:val="21"/>
                <w:szCs w:val="21"/>
                <w:lang w:eastAsia="zh-CN"/>
              </w:rPr>
            </w:pPr>
          </w:p>
        </w:tc>
        <w:tc>
          <w:tcPr>
            <w:tcW w:w="814" w:type="dxa"/>
            <w:vMerge w:val="continue"/>
            <w:tcBorders>
              <w:tl2br w:val="nil"/>
              <w:tr2bl w:val="nil"/>
            </w:tcBorders>
            <w:vAlign w:val="center"/>
          </w:tcPr>
          <w:p w14:paraId="1AE90B3C">
            <w:pPr>
              <w:pStyle w:val="30"/>
              <w:autoSpaceDE w:val="0"/>
              <w:autoSpaceDN w:val="0"/>
              <w:spacing w:line="240" w:lineRule="auto"/>
              <w:ind w:firstLine="0"/>
              <w:jc w:val="center"/>
              <w:rPr>
                <w:rFonts w:ascii="Times New Roman" w:hAnsi="Times New Roman" w:cs="Times New Roman"/>
                <w:sz w:val="21"/>
                <w:szCs w:val="21"/>
                <w:lang w:eastAsia="zh-CN"/>
              </w:rPr>
            </w:pPr>
          </w:p>
        </w:tc>
        <w:tc>
          <w:tcPr>
            <w:tcW w:w="893" w:type="dxa"/>
            <w:tcBorders>
              <w:tl2br w:val="nil"/>
              <w:tr2bl w:val="nil"/>
            </w:tcBorders>
            <w:vAlign w:val="center"/>
          </w:tcPr>
          <w:p w14:paraId="65B68035">
            <w:pPr>
              <w:autoSpaceDE w:val="0"/>
              <w:autoSpaceDN w:val="0"/>
              <w:spacing w:line="240" w:lineRule="auto"/>
              <w:ind w:firstLine="0"/>
              <w:jc w:val="center"/>
              <w:rPr>
                <w:sz w:val="21"/>
                <w:szCs w:val="21"/>
                <w:lang w:eastAsia="en-US"/>
              </w:rPr>
            </w:pPr>
            <w:r>
              <w:rPr>
                <w:spacing w:val="-5"/>
                <w:sz w:val="21"/>
                <w:szCs w:val="21"/>
                <w:lang w:eastAsia="en-US"/>
              </w:rPr>
              <w:t>基坑</w:t>
            </w:r>
            <w:r>
              <w:rPr>
                <w:spacing w:val="-5"/>
                <w:sz w:val="21"/>
                <w:szCs w:val="21"/>
                <w:lang w:eastAsia="en-US"/>
              </w:rPr>
              <w:br w:type="textWrapping"/>
            </w:r>
            <w:r>
              <w:rPr>
                <w:spacing w:val="8"/>
                <w:sz w:val="21"/>
                <w:szCs w:val="21"/>
                <w:lang w:eastAsia="en-US"/>
              </w:rPr>
              <w:t>支护</w:t>
            </w:r>
          </w:p>
        </w:tc>
        <w:tc>
          <w:tcPr>
            <w:tcW w:w="3127" w:type="dxa"/>
            <w:tcBorders>
              <w:tl2br w:val="nil"/>
              <w:tr2bl w:val="nil"/>
            </w:tcBorders>
            <w:vAlign w:val="center"/>
          </w:tcPr>
          <w:p w14:paraId="1C063201">
            <w:pPr>
              <w:autoSpaceDE w:val="0"/>
              <w:autoSpaceDN w:val="0"/>
              <w:spacing w:line="240" w:lineRule="auto"/>
              <w:ind w:firstLine="0"/>
              <w:rPr>
                <w:sz w:val="21"/>
                <w:szCs w:val="21"/>
                <w:lang w:eastAsia="zh-CN"/>
              </w:rPr>
            </w:pPr>
            <w:r>
              <w:rPr>
                <w:spacing w:val="-3"/>
                <w:sz w:val="21"/>
                <w:szCs w:val="21"/>
                <w:lang w:eastAsia="zh-CN"/>
              </w:rPr>
              <w:t>灌注桩排桩围护墙，板桩围</w:t>
            </w:r>
            <w:r>
              <w:rPr>
                <w:spacing w:val="-1"/>
                <w:sz w:val="21"/>
                <w:szCs w:val="21"/>
                <w:lang w:eastAsia="zh-CN"/>
              </w:rPr>
              <w:t>护墙，咬合桩围护墙，型钢水泥土搅拌墙，土钉墙，地下连</w:t>
            </w:r>
            <w:r>
              <w:rPr>
                <w:spacing w:val="1"/>
                <w:sz w:val="21"/>
                <w:szCs w:val="21"/>
                <w:lang w:eastAsia="zh-CN"/>
              </w:rPr>
              <w:t>续墙，水泥土重力式挡墙，内支撑，锚杆（索），与主体结</w:t>
            </w:r>
            <w:r>
              <w:rPr>
                <w:sz w:val="21"/>
                <w:szCs w:val="21"/>
                <w:lang w:eastAsia="zh-CN"/>
              </w:rPr>
              <w:t>构相结合的基坑支护，水泥土</w:t>
            </w:r>
            <w:r>
              <w:rPr>
                <w:spacing w:val="1"/>
                <w:sz w:val="21"/>
                <w:szCs w:val="21"/>
                <w:lang w:eastAsia="zh-CN"/>
              </w:rPr>
              <w:t>桩，钢及混凝土支撑，格构柱，施工测量，监控量测</w:t>
            </w:r>
          </w:p>
        </w:tc>
        <w:tc>
          <w:tcPr>
            <w:tcW w:w="2057" w:type="dxa"/>
            <w:tcBorders>
              <w:tl2br w:val="nil"/>
              <w:tr2bl w:val="nil"/>
            </w:tcBorders>
            <w:vAlign w:val="center"/>
          </w:tcPr>
          <w:p w14:paraId="60B85B82">
            <w:pPr>
              <w:autoSpaceDE w:val="0"/>
              <w:autoSpaceDN w:val="0"/>
              <w:spacing w:line="240" w:lineRule="auto"/>
              <w:ind w:firstLine="0"/>
              <w:jc w:val="center"/>
              <w:rPr>
                <w:sz w:val="21"/>
                <w:szCs w:val="21"/>
                <w:lang w:eastAsia="zh-CN"/>
              </w:rPr>
            </w:pPr>
            <w:r>
              <w:rPr>
                <w:sz w:val="21"/>
                <w:szCs w:val="21"/>
                <w:lang w:eastAsia="zh-CN"/>
              </w:rPr>
              <w:t>按施工段或变形缝位置划分检</w:t>
            </w:r>
            <w:r>
              <w:rPr>
                <w:spacing w:val="-3"/>
                <w:sz w:val="21"/>
                <w:szCs w:val="21"/>
                <w:lang w:eastAsia="zh-CN"/>
              </w:rPr>
              <w:t>验批</w:t>
            </w:r>
          </w:p>
        </w:tc>
      </w:tr>
      <w:tr w14:paraId="3F6190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113" w:type="dxa"/>
          </w:tblCellMar>
        </w:tblPrEx>
        <w:trPr>
          <w:trHeight w:val="707" w:hRule="atLeast"/>
          <w:jc w:val="center"/>
        </w:trPr>
        <w:tc>
          <w:tcPr>
            <w:tcW w:w="746" w:type="dxa"/>
            <w:vMerge w:val="continue"/>
            <w:tcBorders>
              <w:tl2br w:val="nil"/>
              <w:tr2bl w:val="nil"/>
            </w:tcBorders>
            <w:vAlign w:val="center"/>
          </w:tcPr>
          <w:p w14:paraId="1E1C0056">
            <w:pPr>
              <w:pStyle w:val="30"/>
              <w:autoSpaceDE w:val="0"/>
              <w:autoSpaceDN w:val="0"/>
              <w:spacing w:line="240" w:lineRule="auto"/>
              <w:ind w:firstLine="0"/>
              <w:jc w:val="center"/>
              <w:rPr>
                <w:rFonts w:ascii="Times New Roman" w:hAnsi="Times New Roman" w:cs="Times New Roman"/>
                <w:sz w:val="21"/>
                <w:szCs w:val="21"/>
                <w:lang w:eastAsia="zh-CN"/>
              </w:rPr>
            </w:pPr>
          </w:p>
        </w:tc>
        <w:tc>
          <w:tcPr>
            <w:tcW w:w="867" w:type="dxa"/>
            <w:vMerge w:val="continue"/>
            <w:tcBorders>
              <w:tl2br w:val="nil"/>
              <w:tr2bl w:val="nil"/>
            </w:tcBorders>
            <w:vAlign w:val="center"/>
          </w:tcPr>
          <w:p w14:paraId="53380667">
            <w:pPr>
              <w:pStyle w:val="30"/>
              <w:autoSpaceDE w:val="0"/>
              <w:autoSpaceDN w:val="0"/>
              <w:spacing w:line="240" w:lineRule="auto"/>
              <w:ind w:firstLine="0"/>
              <w:jc w:val="center"/>
              <w:rPr>
                <w:rFonts w:ascii="Times New Roman" w:hAnsi="Times New Roman" w:cs="Times New Roman"/>
                <w:sz w:val="21"/>
                <w:szCs w:val="21"/>
                <w:lang w:eastAsia="zh-CN"/>
              </w:rPr>
            </w:pPr>
          </w:p>
        </w:tc>
        <w:tc>
          <w:tcPr>
            <w:tcW w:w="814" w:type="dxa"/>
            <w:vMerge w:val="continue"/>
            <w:tcBorders>
              <w:tl2br w:val="nil"/>
              <w:tr2bl w:val="nil"/>
            </w:tcBorders>
            <w:vAlign w:val="center"/>
          </w:tcPr>
          <w:p w14:paraId="776B0D39">
            <w:pPr>
              <w:pStyle w:val="30"/>
              <w:autoSpaceDE w:val="0"/>
              <w:autoSpaceDN w:val="0"/>
              <w:spacing w:line="240" w:lineRule="auto"/>
              <w:ind w:firstLine="0"/>
              <w:jc w:val="center"/>
              <w:rPr>
                <w:rFonts w:ascii="Times New Roman" w:hAnsi="Times New Roman" w:cs="Times New Roman"/>
                <w:sz w:val="21"/>
                <w:szCs w:val="21"/>
                <w:lang w:eastAsia="zh-CN"/>
              </w:rPr>
            </w:pPr>
          </w:p>
        </w:tc>
        <w:tc>
          <w:tcPr>
            <w:tcW w:w="893" w:type="dxa"/>
            <w:tcBorders>
              <w:tl2br w:val="nil"/>
              <w:tr2bl w:val="nil"/>
            </w:tcBorders>
            <w:vAlign w:val="center"/>
          </w:tcPr>
          <w:p w14:paraId="36DD822A">
            <w:pPr>
              <w:autoSpaceDE w:val="0"/>
              <w:autoSpaceDN w:val="0"/>
              <w:spacing w:line="240" w:lineRule="auto"/>
              <w:ind w:firstLine="0"/>
              <w:jc w:val="center"/>
              <w:rPr>
                <w:sz w:val="21"/>
                <w:szCs w:val="21"/>
                <w:lang w:eastAsia="en-US"/>
              </w:rPr>
            </w:pPr>
            <w:r>
              <w:rPr>
                <w:spacing w:val="3"/>
                <w:sz w:val="21"/>
                <w:szCs w:val="21"/>
                <w:lang w:eastAsia="en-US"/>
              </w:rPr>
              <w:t>地下水</w:t>
            </w:r>
          </w:p>
          <w:p w14:paraId="5367AEAD">
            <w:pPr>
              <w:autoSpaceDE w:val="0"/>
              <w:autoSpaceDN w:val="0"/>
              <w:spacing w:line="240" w:lineRule="auto"/>
              <w:ind w:firstLine="0"/>
              <w:jc w:val="center"/>
              <w:rPr>
                <w:sz w:val="21"/>
                <w:szCs w:val="21"/>
                <w:lang w:eastAsia="en-US"/>
              </w:rPr>
            </w:pPr>
            <w:r>
              <w:rPr>
                <w:spacing w:val="10"/>
                <w:sz w:val="21"/>
                <w:szCs w:val="21"/>
                <w:lang w:eastAsia="en-US"/>
              </w:rPr>
              <w:t>控制</w:t>
            </w:r>
          </w:p>
        </w:tc>
        <w:tc>
          <w:tcPr>
            <w:tcW w:w="3127" w:type="dxa"/>
            <w:tcBorders>
              <w:tl2br w:val="nil"/>
              <w:tr2bl w:val="nil"/>
            </w:tcBorders>
            <w:vAlign w:val="center"/>
          </w:tcPr>
          <w:p w14:paraId="7FBB75CE">
            <w:pPr>
              <w:autoSpaceDE w:val="0"/>
              <w:autoSpaceDN w:val="0"/>
              <w:spacing w:line="240" w:lineRule="auto"/>
              <w:ind w:firstLine="0"/>
              <w:rPr>
                <w:sz w:val="21"/>
                <w:szCs w:val="21"/>
                <w:lang w:eastAsia="en-US"/>
              </w:rPr>
            </w:pPr>
            <w:r>
              <w:rPr>
                <w:spacing w:val="1"/>
                <w:sz w:val="21"/>
                <w:szCs w:val="21"/>
                <w:lang w:eastAsia="en-US"/>
              </w:rPr>
              <w:t>降水与排水，回灌</w:t>
            </w:r>
          </w:p>
        </w:tc>
        <w:tc>
          <w:tcPr>
            <w:tcW w:w="2057" w:type="dxa"/>
            <w:tcBorders>
              <w:tl2br w:val="nil"/>
              <w:tr2bl w:val="nil"/>
            </w:tcBorders>
            <w:vAlign w:val="center"/>
          </w:tcPr>
          <w:p w14:paraId="791B4928">
            <w:pPr>
              <w:autoSpaceDE w:val="0"/>
              <w:autoSpaceDN w:val="0"/>
              <w:spacing w:line="240" w:lineRule="auto"/>
              <w:ind w:firstLine="0"/>
              <w:jc w:val="center"/>
              <w:rPr>
                <w:sz w:val="21"/>
                <w:szCs w:val="21"/>
                <w:lang w:eastAsia="en-US"/>
              </w:rPr>
            </w:pPr>
            <w:r>
              <w:rPr>
                <w:spacing w:val="-2"/>
                <w:sz w:val="21"/>
                <w:szCs w:val="21"/>
                <w:lang w:eastAsia="en-US"/>
              </w:rPr>
              <w:t>每施工段</w:t>
            </w:r>
          </w:p>
        </w:tc>
      </w:tr>
      <w:tr w14:paraId="554B6B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113" w:type="dxa"/>
          </w:tblCellMar>
        </w:tblPrEx>
        <w:trPr>
          <w:trHeight w:val="2405" w:hRule="atLeast"/>
          <w:jc w:val="center"/>
        </w:trPr>
        <w:tc>
          <w:tcPr>
            <w:tcW w:w="746" w:type="dxa"/>
            <w:vMerge w:val="continue"/>
            <w:tcBorders>
              <w:tl2br w:val="nil"/>
              <w:tr2bl w:val="nil"/>
            </w:tcBorders>
            <w:vAlign w:val="center"/>
          </w:tcPr>
          <w:p w14:paraId="382ECEB3">
            <w:pPr>
              <w:pStyle w:val="30"/>
              <w:autoSpaceDE w:val="0"/>
              <w:autoSpaceDN w:val="0"/>
              <w:spacing w:line="240" w:lineRule="auto"/>
              <w:ind w:firstLine="0"/>
              <w:jc w:val="center"/>
              <w:rPr>
                <w:rFonts w:ascii="Times New Roman" w:hAnsi="Times New Roman" w:cs="Times New Roman"/>
                <w:sz w:val="21"/>
                <w:szCs w:val="21"/>
              </w:rPr>
            </w:pPr>
          </w:p>
        </w:tc>
        <w:tc>
          <w:tcPr>
            <w:tcW w:w="867" w:type="dxa"/>
            <w:vMerge w:val="continue"/>
            <w:tcBorders>
              <w:tl2br w:val="nil"/>
              <w:tr2bl w:val="nil"/>
            </w:tcBorders>
            <w:vAlign w:val="center"/>
          </w:tcPr>
          <w:p w14:paraId="469F86A3">
            <w:pPr>
              <w:pStyle w:val="30"/>
              <w:autoSpaceDE w:val="0"/>
              <w:autoSpaceDN w:val="0"/>
              <w:spacing w:line="240" w:lineRule="auto"/>
              <w:ind w:firstLine="0"/>
              <w:jc w:val="center"/>
              <w:rPr>
                <w:rFonts w:ascii="Times New Roman" w:hAnsi="Times New Roman" w:cs="Times New Roman"/>
                <w:sz w:val="21"/>
                <w:szCs w:val="21"/>
              </w:rPr>
            </w:pPr>
          </w:p>
        </w:tc>
        <w:tc>
          <w:tcPr>
            <w:tcW w:w="814" w:type="dxa"/>
            <w:vMerge w:val="continue"/>
            <w:tcBorders>
              <w:tl2br w:val="nil"/>
              <w:tr2bl w:val="nil"/>
            </w:tcBorders>
            <w:vAlign w:val="center"/>
          </w:tcPr>
          <w:p w14:paraId="11EDE02B">
            <w:pPr>
              <w:pStyle w:val="30"/>
              <w:autoSpaceDE w:val="0"/>
              <w:autoSpaceDN w:val="0"/>
              <w:spacing w:line="240" w:lineRule="auto"/>
              <w:ind w:firstLine="0"/>
              <w:jc w:val="center"/>
              <w:rPr>
                <w:rFonts w:ascii="Times New Roman" w:hAnsi="Times New Roman" w:cs="Times New Roman"/>
                <w:sz w:val="21"/>
                <w:szCs w:val="21"/>
              </w:rPr>
            </w:pPr>
          </w:p>
        </w:tc>
        <w:tc>
          <w:tcPr>
            <w:tcW w:w="893" w:type="dxa"/>
            <w:tcBorders>
              <w:tl2br w:val="nil"/>
              <w:tr2bl w:val="nil"/>
            </w:tcBorders>
            <w:vAlign w:val="center"/>
          </w:tcPr>
          <w:p w14:paraId="5AC21E17">
            <w:pPr>
              <w:autoSpaceDE w:val="0"/>
              <w:autoSpaceDN w:val="0"/>
              <w:spacing w:line="240" w:lineRule="auto"/>
              <w:ind w:firstLine="0"/>
              <w:jc w:val="center"/>
              <w:rPr>
                <w:sz w:val="21"/>
                <w:szCs w:val="21"/>
                <w:lang w:eastAsia="en-US"/>
              </w:rPr>
            </w:pPr>
            <w:r>
              <w:rPr>
                <w:spacing w:val="-3"/>
                <w:sz w:val="21"/>
                <w:szCs w:val="21"/>
                <w:lang w:eastAsia="en-US"/>
              </w:rPr>
              <w:t>地基</w:t>
            </w:r>
          </w:p>
        </w:tc>
        <w:tc>
          <w:tcPr>
            <w:tcW w:w="3127" w:type="dxa"/>
            <w:tcBorders>
              <w:tl2br w:val="nil"/>
              <w:tr2bl w:val="nil"/>
            </w:tcBorders>
            <w:vAlign w:val="center"/>
          </w:tcPr>
          <w:p w14:paraId="22E94B1A">
            <w:pPr>
              <w:autoSpaceDE w:val="0"/>
              <w:autoSpaceDN w:val="0"/>
              <w:spacing w:line="240" w:lineRule="auto"/>
              <w:ind w:firstLine="0"/>
              <w:rPr>
                <w:sz w:val="21"/>
                <w:szCs w:val="21"/>
                <w:lang w:eastAsia="zh-CN"/>
              </w:rPr>
            </w:pPr>
            <w:r>
              <w:rPr>
                <w:spacing w:val="-2"/>
                <w:sz w:val="21"/>
                <w:szCs w:val="21"/>
                <w:lang w:eastAsia="zh-CN"/>
              </w:rPr>
              <w:t>灰土地基，砂和砂石地基，</w:t>
            </w:r>
            <w:r>
              <w:rPr>
                <w:spacing w:val="-1"/>
                <w:sz w:val="21"/>
                <w:szCs w:val="21"/>
                <w:lang w:eastAsia="zh-CN"/>
              </w:rPr>
              <w:t>土工合成材料地基，强夯地</w:t>
            </w:r>
            <w:r>
              <w:rPr>
                <w:sz w:val="21"/>
                <w:szCs w:val="21"/>
                <w:lang w:eastAsia="zh-CN"/>
              </w:rPr>
              <w:t>基，砂石桩复合地基，高压旋</w:t>
            </w:r>
            <w:r>
              <w:rPr>
                <w:spacing w:val="1"/>
                <w:sz w:val="21"/>
                <w:szCs w:val="21"/>
                <w:lang w:eastAsia="zh-CN"/>
              </w:rPr>
              <w:t>喷射注浆地基，土和灰土挤密</w:t>
            </w:r>
            <w:r>
              <w:rPr>
                <w:sz w:val="21"/>
                <w:szCs w:val="21"/>
                <w:lang w:eastAsia="zh-CN"/>
              </w:rPr>
              <w:t xml:space="preserve"> </w:t>
            </w:r>
            <w:r>
              <w:rPr>
                <w:spacing w:val="1"/>
                <w:sz w:val="21"/>
                <w:szCs w:val="21"/>
                <w:lang w:eastAsia="zh-CN"/>
              </w:rPr>
              <w:t>桩复合地基，注浆地基，水泥粉煤灰碎石桩地基，夯实水泥</w:t>
            </w:r>
            <w:r>
              <w:rPr>
                <w:sz w:val="21"/>
                <w:szCs w:val="21"/>
                <w:lang w:eastAsia="zh-CN"/>
              </w:rPr>
              <w:t>土桩复合地基，水泥土搅拌桩</w:t>
            </w:r>
            <w:r>
              <w:rPr>
                <w:spacing w:val="10"/>
                <w:sz w:val="21"/>
                <w:szCs w:val="21"/>
                <w:lang w:eastAsia="zh-CN"/>
              </w:rPr>
              <w:t xml:space="preserve"> </w:t>
            </w:r>
            <w:r>
              <w:rPr>
                <w:spacing w:val="8"/>
                <w:sz w:val="21"/>
                <w:szCs w:val="21"/>
                <w:lang w:eastAsia="zh-CN"/>
              </w:rPr>
              <w:t>地基，施工测量</w:t>
            </w:r>
          </w:p>
        </w:tc>
        <w:tc>
          <w:tcPr>
            <w:tcW w:w="2057" w:type="dxa"/>
            <w:tcBorders>
              <w:tl2br w:val="nil"/>
              <w:tr2bl w:val="nil"/>
            </w:tcBorders>
            <w:vAlign w:val="center"/>
          </w:tcPr>
          <w:p w14:paraId="19CD7034">
            <w:pPr>
              <w:autoSpaceDE w:val="0"/>
              <w:autoSpaceDN w:val="0"/>
              <w:spacing w:line="240" w:lineRule="auto"/>
              <w:ind w:firstLine="0"/>
              <w:jc w:val="center"/>
              <w:rPr>
                <w:sz w:val="21"/>
                <w:szCs w:val="21"/>
                <w:lang w:eastAsia="zh-CN"/>
              </w:rPr>
            </w:pPr>
            <w:r>
              <w:rPr>
                <w:sz w:val="21"/>
                <w:szCs w:val="21"/>
                <w:lang w:eastAsia="zh-CN"/>
              </w:rPr>
              <w:t>按施工段或变形缝位置划分检</w:t>
            </w:r>
            <w:r>
              <w:rPr>
                <w:spacing w:val="-3"/>
                <w:sz w:val="21"/>
                <w:szCs w:val="21"/>
                <w:lang w:eastAsia="zh-CN"/>
              </w:rPr>
              <w:t>验批</w:t>
            </w:r>
          </w:p>
        </w:tc>
      </w:tr>
    </w:tbl>
    <w:p w14:paraId="6398D36D">
      <w:pPr>
        <w:pStyle w:val="20"/>
        <w:ind w:firstLine="420"/>
        <w:rPr>
          <w:rFonts w:ascii="Times New Roman"/>
        </w:rPr>
      </w:pPr>
    </w:p>
    <w:p w14:paraId="012284F3">
      <w:pPr>
        <w:widowControl/>
        <w:spacing w:line="240" w:lineRule="auto"/>
        <w:ind w:firstLine="0"/>
        <w:jc w:val="left"/>
        <w:rPr>
          <w:color w:val="auto"/>
          <w:sz w:val="21"/>
          <w:szCs w:val="20"/>
        </w:rPr>
      </w:pPr>
      <w:r>
        <w:br w:type="page"/>
      </w:r>
    </w:p>
    <w:p w14:paraId="6EA5DE35">
      <w:pPr>
        <w:pStyle w:val="20"/>
        <w:ind w:firstLine="422"/>
        <w:rPr>
          <w:rFonts w:ascii="Times New Roman"/>
          <w:b/>
          <w:bCs/>
          <w:szCs w:val="21"/>
        </w:rPr>
      </w:pPr>
    </w:p>
    <w:p w14:paraId="217FF6C5">
      <w:pPr>
        <w:pStyle w:val="19"/>
        <w:widowControl w:val="0"/>
        <w:spacing w:before="328" w:beforeLines="100" w:after="328" w:afterLines="100" w:line="360" w:lineRule="auto"/>
        <w:jc w:val="center"/>
        <w:outlineLvl w:val="0"/>
        <w:rPr>
          <w:rFonts w:ascii="Times New Roman" w:eastAsia="宋体"/>
          <w:b/>
          <w:sz w:val="30"/>
          <w:szCs w:val="30"/>
        </w:rPr>
      </w:pPr>
      <w:bookmarkStart w:id="688" w:name="_Toc19907"/>
      <w:bookmarkStart w:id="689" w:name="_Toc10853"/>
      <w:bookmarkStart w:id="690" w:name="_Toc1628"/>
      <w:bookmarkStart w:id="691" w:name="_Toc23540"/>
      <w:bookmarkStart w:id="692" w:name="_Toc28866"/>
      <w:bookmarkStart w:id="693" w:name="_Toc2311"/>
      <w:bookmarkStart w:id="694" w:name="_Toc8278"/>
      <w:bookmarkStart w:id="695" w:name="_Toc193392099"/>
      <w:bookmarkStart w:id="696" w:name="_Toc26650"/>
      <w:bookmarkStart w:id="697" w:name="_Toc25841"/>
      <w:r>
        <w:rPr>
          <w:rFonts w:ascii="Times New Roman" w:eastAsia="宋体"/>
          <w:b/>
          <w:sz w:val="30"/>
          <w:szCs w:val="30"/>
        </w:rPr>
        <w:t>附录B　渗透稳定性验算</w:t>
      </w:r>
      <w:bookmarkEnd w:id="688"/>
      <w:bookmarkEnd w:id="689"/>
      <w:bookmarkEnd w:id="690"/>
      <w:bookmarkEnd w:id="691"/>
      <w:bookmarkEnd w:id="692"/>
      <w:bookmarkEnd w:id="693"/>
      <w:bookmarkEnd w:id="694"/>
      <w:bookmarkEnd w:id="695"/>
      <w:bookmarkEnd w:id="696"/>
      <w:bookmarkEnd w:id="697"/>
    </w:p>
    <w:p w14:paraId="4A4655BC"/>
    <w:p w14:paraId="1D8481F8">
      <w:pPr>
        <w:ind w:firstLine="0"/>
        <w:rPr>
          <w:kern w:val="2"/>
          <w:szCs w:val="20"/>
        </w:rPr>
      </w:pPr>
      <w:r>
        <w:rPr>
          <w:b/>
          <w:bCs/>
          <w:kern w:val="2"/>
          <w:szCs w:val="20"/>
        </w:rPr>
        <w:t>B.0.1　</w:t>
      </w:r>
      <w:r>
        <w:rPr>
          <w:kern w:val="2"/>
          <w:szCs w:val="20"/>
        </w:rPr>
        <w:t>坑底以下有水头高于坑底的承压水含水层，且未用截水帷幕隔断其基坑内外的水力联系时，承压水作用下的坑底突涌稳定性应符合下式规定（图B.0.1）:</w:t>
      </w:r>
    </w:p>
    <w:p w14:paraId="2F54005B">
      <w:pPr>
        <w:pStyle w:val="6"/>
        <w:ind w:firstLine="0"/>
        <w:jc w:val="right"/>
        <w:rPr>
          <w:rFonts w:ascii="Times New Roman" w:hAnsi="Times New Roman"/>
          <w:sz w:val="32"/>
          <w:szCs w:val="32"/>
        </w:rPr>
      </w:pPr>
      <w:r>
        <w:rPr>
          <w:rFonts w:ascii="Times New Roman" w:hAnsi="Times New Roman"/>
          <w:color w:val="auto"/>
          <w:position w:val="-30"/>
          <w:sz w:val="24"/>
        </w:rPr>
        <w:object>
          <v:shape id="_x0000_i1189" o:spt="75" type="#_x0000_t75" style="height:36.3pt;width:57.6pt;" o:ole="t" filled="f" o:preferrelative="t" stroked="f" coordsize="21600,21600">
            <v:path/>
            <v:fill on="f" focussize="0,0"/>
            <v:stroke on="f" joinstyle="miter"/>
            <v:imagedata r:id="rId352" o:title=""/>
            <o:lock v:ext="edit" aspectratio="t"/>
            <w10:wrap type="none"/>
            <w10:anchorlock/>
          </v:shape>
          <o:OLEObject Type="Embed" ProgID="Equation.3" ShapeID="_x0000_i1189" DrawAspect="Content" ObjectID="_1468075889" r:id="rId351">
            <o:LockedField>false</o:LockedField>
          </o:OLEObject>
        </w:object>
      </w:r>
      <w:r>
        <w:rPr>
          <w:rFonts w:ascii="Times New Roman" w:hAnsi="Times New Roman"/>
          <w:color w:val="auto"/>
          <w:position w:val="-14"/>
          <w:sz w:val="24"/>
        </w:rPr>
        <w:t xml:space="preserve">                      （B.0.1）</w:t>
      </w:r>
    </w:p>
    <w:p w14:paraId="26A33E57">
      <w:pPr>
        <w:pStyle w:val="4"/>
        <w:ind w:left="180"/>
        <w:rPr>
          <w:rFonts w:ascii="Times New Roman" w:hAnsi="Times New Roman" w:cs="Times New Roman"/>
          <w:kern w:val="2"/>
          <w:sz w:val="24"/>
          <w:szCs w:val="20"/>
          <w:lang w:eastAsia="zh-CN"/>
        </w:rPr>
      </w:pPr>
      <w:r>
        <w:rPr>
          <w:rFonts w:ascii="Times New Roman" w:hAnsi="Times New Roman" w:cs="Times New Roman"/>
          <w:kern w:val="2"/>
          <w:sz w:val="24"/>
          <w:szCs w:val="20"/>
          <w:lang w:eastAsia="zh-CN"/>
        </w:rPr>
        <w:t>式中：K</w:t>
      </w:r>
      <w:r>
        <w:rPr>
          <w:rFonts w:ascii="Times New Roman" w:hAnsi="Times New Roman" w:cs="Times New Roman"/>
          <w:kern w:val="2"/>
          <w:sz w:val="24"/>
          <w:szCs w:val="20"/>
          <w:vertAlign w:val="subscript"/>
          <w:lang w:eastAsia="zh-CN"/>
        </w:rPr>
        <w:t>h</w:t>
      </w:r>
      <w:r>
        <w:rPr>
          <w:rFonts w:ascii="Times New Roman" w:hAnsi="Times New Roman" w:cs="Times New Roman"/>
          <w:kern w:val="2"/>
          <w:sz w:val="24"/>
          <w:szCs w:val="20"/>
          <w:lang w:eastAsia="zh-CN"/>
        </w:rPr>
        <w:t>——突涌稳定安全系数；K</w:t>
      </w:r>
      <w:r>
        <w:rPr>
          <w:rFonts w:ascii="Times New Roman" w:hAnsi="Times New Roman" w:cs="Times New Roman"/>
          <w:kern w:val="2"/>
          <w:sz w:val="24"/>
          <w:szCs w:val="20"/>
          <w:vertAlign w:val="subscript"/>
          <w:lang w:eastAsia="zh-CN"/>
        </w:rPr>
        <w:t>h</w:t>
      </w:r>
      <w:r>
        <w:rPr>
          <w:rFonts w:ascii="Times New Roman" w:hAnsi="Times New Roman" w:cs="Times New Roman"/>
          <w:kern w:val="2"/>
          <w:sz w:val="24"/>
          <w:szCs w:val="20"/>
          <w:lang w:eastAsia="zh-CN"/>
        </w:rPr>
        <w:t xml:space="preserve"> 不应小于1.1；</w:t>
      </w:r>
    </w:p>
    <w:p w14:paraId="367A0881">
      <w:pPr>
        <w:pStyle w:val="4"/>
        <w:ind w:firstLine="1442" w:firstLineChars="601"/>
        <w:rPr>
          <w:rFonts w:ascii="Times New Roman" w:hAnsi="Times New Roman" w:cs="Times New Roman"/>
          <w:kern w:val="2"/>
          <w:sz w:val="24"/>
          <w:szCs w:val="20"/>
          <w:lang w:eastAsia="zh-CN"/>
        </w:rPr>
      </w:pPr>
      <w:r>
        <w:rPr>
          <w:rFonts w:ascii="Times New Roman" w:hAnsi="Times New Roman" w:cs="Times New Roman"/>
          <w:kern w:val="2"/>
          <w:sz w:val="24"/>
          <w:szCs w:val="20"/>
          <w:lang w:eastAsia="zh-CN"/>
        </w:rPr>
        <w:t>D——承压水含水层顶面至坑底的土层厚度（m）；</w:t>
      </w:r>
    </w:p>
    <w:p w14:paraId="6185883A">
      <w:pPr>
        <w:pStyle w:val="4"/>
        <w:ind w:left="2124" w:leftChars="635" w:hanging="600" w:hangingChars="250"/>
        <w:rPr>
          <w:rFonts w:ascii="Times New Roman" w:hAnsi="Times New Roman" w:cs="Times New Roman"/>
          <w:kern w:val="2"/>
          <w:sz w:val="24"/>
          <w:szCs w:val="20"/>
          <w:lang w:eastAsia="zh-CN"/>
        </w:rPr>
      </w:pPr>
      <w:r>
        <w:rPr>
          <w:rFonts w:ascii="Times New Roman" w:hAnsi="Times New Roman" w:cs="Times New Roman"/>
          <w:kern w:val="2"/>
          <w:sz w:val="24"/>
          <w:szCs w:val="20"/>
          <w:lang w:eastAsia="zh-CN"/>
        </w:rPr>
        <w:t>γ——承压水含水层顶面至坑底土层的天然重度（kN/m³）；对多层土，取按土层厚度加权的平均天然重度；</w:t>
      </w:r>
    </w:p>
    <w:p w14:paraId="0AF786F1">
      <w:pPr>
        <w:pStyle w:val="4"/>
        <w:ind w:firstLine="1442" w:firstLineChars="601"/>
        <w:rPr>
          <w:rFonts w:ascii="Times New Roman" w:hAnsi="Times New Roman" w:cs="Times New Roman"/>
          <w:kern w:val="2"/>
          <w:sz w:val="24"/>
          <w:szCs w:val="20"/>
          <w:lang w:eastAsia="zh-CN"/>
        </w:rPr>
      </w:pPr>
      <w:r>
        <w:rPr>
          <w:rFonts w:ascii="Times New Roman" w:hAnsi="Times New Roman" w:cs="Times New Roman"/>
          <w:kern w:val="2"/>
          <w:sz w:val="24"/>
          <w:szCs w:val="20"/>
          <w:lang w:eastAsia="zh-CN"/>
        </w:rPr>
        <w:t>h</w:t>
      </w:r>
      <w:r>
        <w:rPr>
          <w:rFonts w:ascii="Times New Roman" w:hAnsi="Times New Roman" w:cs="Times New Roman"/>
          <w:kern w:val="2"/>
          <w:sz w:val="24"/>
          <w:szCs w:val="20"/>
          <w:vertAlign w:val="subscript"/>
          <w:lang w:eastAsia="zh-CN"/>
        </w:rPr>
        <w:t>w</w:t>
      </w:r>
      <w:r>
        <w:rPr>
          <w:rFonts w:ascii="Times New Roman" w:hAnsi="Times New Roman" w:cs="Times New Roman"/>
          <w:kern w:val="2"/>
          <w:sz w:val="24"/>
          <w:szCs w:val="20"/>
          <w:lang w:eastAsia="zh-CN"/>
        </w:rPr>
        <w:t>——承压水含水层顶面的压力水头高度（m）；</w:t>
      </w:r>
    </w:p>
    <w:p w14:paraId="1F57668F">
      <w:pPr>
        <w:pStyle w:val="4"/>
        <w:ind w:left="180" w:firstLine="1202" w:firstLineChars="501"/>
        <w:rPr>
          <w:rFonts w:ascii="Times New Roman" w:hAnsi="Times New Roman" w:cs="Times New Roman"/>
          <w:kern w:val="2"/>
          <w:sz w:val="24"/>
          <w:szCs w:val="20"/>
          <w:lang w:eastAsia="zh-CN"/>
        </w:rPr>
      </w:pPr>
      <w:r>
        <w:rPr>
          <w:rFonts w:ascii="Times New Roman" w:hAnsi="Times New Roman" w:cs="Times New Roman"/>
          <w:kern w:val="2"/>
          <w:sz w:val="24"/>
          <w:szCs w:val="20"/>
          <w:lang w:eastAsia="zh-CN"/>
        </w:rPr>
        <w:t>γ</w:t>
      </w:r>
      <w:r>
        <w:rPr>
          <w:rFonts w:ascii="Times New Roman" w:hAnsi="Times New Roman" w:cs="Times New Roman"/>
          <w:kern w:val="2"/>
          <w:sz w:val="24"/>
          <w:szCs w:val="20"/>
          <w:vertAlign w:val="subscript"/>
          <w:lang w:eastAsia="zh-CN"/>
        </w:rPr>
        <w:t>w</w:t>
      </w:r>
      <w:r>
        <w:rPr>
          <w:rFonts w:ascii="Times New Roman" w:hAnsi="Times New Roman" w:cs="Times New Roman"/>
          <w:kern w:val="2"/>
          <w:sz w:val="24"/>
          <w:szCs w:val="20"/>
          <w:lang w:eastAsia="zh-CN"/>
        </w:rPr>
        <w:t>——水的重度（kN/m³）。</w:t>
      </w:r>
    </w:p>
    <w:p w14:paraId="69AF28D6">
      <w:pPr>
        <w:pStyle w:val="6"/>
        <w:ind w:firstLine="0"/>
        <w:jc w:val="center"/>
        <w:rPr>
          <w:rFonts w:ascii="Times New Roman" w:hAnsi="Times New Roman" w:eastAsia="新宋体"/>
          <w:sz w:val="32"/>
          <w:szCs w:val="32"/>
        </w:rPr>
      </w:pPr>
      <w:r>
        <w:rPr>
          <w:rFonts w:ascii="Times New Roman" w:hAnsi="Times New Roman"/>
          <w:position w:val="-166"/>
        </w:rPr>
        <w:drawing>
          <wp:inline distT="0" distB="0" distL="0" distR="0">
            <wp:extent cx="2957830" cy="2277110"/>
            <wp:effectExtent l="0" t="0" r="1270" b="8890"/>
            <wp:docPr id="5" name="IM 2"/>
            <wp:cNvGraphicFramePr/>
            <a:graphic xmlns:a="http://schemas.openxmlformats.org/drawingml/2006/main">
              <a:graphicData uri="http://schemas.openxmlformats.org/drawingml/2006/picture">
                <pic:pic xmlns:pic="http://schemas.openxmlformats.org/drawingml/2006/picture">
                  <pic:nvPicPr>
                    <pic:cNvPr id="5" name="IM 2"/>
                    <pic:cNvPicPr/>
                  </pic:nvPicPr>
                  <pic:blipFill>
                    <a:blip r:embed="rId353"/>
                    <a:stretch>
                      <a:fillRect/>
                    </a:stretch>
                  </pic:blipFill>
                  <pic:spPr>
                    <a:xfrm>
                      <a:off x="0" y="0"/>
                      <a:ext cx="2957830" cy="2277110"/>
                    </a:xfrm>
                    <a:prstGeom prst="rect">
                      <a:avLst/>
                    </a:prstGeom>
                  </pic:spPr>
                </pic:pic>
              </a:graphicData>
            </a:graphic>
          </wp:inline>
        </w:drawing>
      </w:r>
    </w:p>
    <w:p w14:paraId="423B086A">
      <w:pPr>
        <w:ind w:firstLine="0"/>
        <w:jc w:val="center"/>
        <w:rPr>
          <w:color w:val="auto"/>
          <w:sz w:val="18"/>
          <w:szCs w:val="18"/>
        </w:rPr>
      </w:pPr>
      <w:r>
        <w:rPr>
          <w:color w:val="auto"/>
          <w:sz w:val="18"/>
          <w:szCs w:val="18"/>
        </w:rPr>
        <w:t>1—截水帷幕；2—基底；3—承压水测管水位；4—承压水含水层；5—隔水层</w:t>
      </w:r>
    </w:p>
    <w:p w14:paraId="553C622E">
      <w:pPr>
        <w:ind w:firstLine="0"/>
        <w:jc w:val="center"/>
        <w:rPr>
          <w:b/>
          <w:bCs/>
          <w:color w:val="auto"/>
          <w:sz w:val="21"/>
          <w:szCs w:val="21"/>
        </w:rPr>
      </w:pPr>
      <w:r>
        <w:rPr>
          <w:b/>
          <w:bCs/>
          <w:color w:val="auto"/>
          <w:sz w:val="21"/>
          <w:szCs w:val="21"/>
        </w:rPr>
        <w:t>图B.0.1　坑底土体的突涌稳定性验算</w:t>
      </w:r>
    </w:p>
    <w:p w14:paraId="4361BB47">
      <w:pPr>
        <w:ind w:firstLine="0"/>
        <w:rPr>
          <w:kern w:val="2"/>
          <w:szCs w:val="20"/>
        </w:rPr>
      </w:pPr>
      <w:r>
        <w:rPr>
          <w:b/>
          <w:bCs/>
          <w:kern w:val="2"/>
          <w:szCs w:val="20"/>
        </w:rPr>
        <w:t>B.0.2　</w:t>
      </w:r>
      <w:r>
        <w:rPr>
          <w:kern w:val="2"/>
          <w:szCs w:val="20"/>
        </w:rPr>
        <w:t>悬挂式截水帷幕底端位于碎石土、砂土或粉土含水层 时，对均质含水层，地下水渗流的流土稳定性应符合下式规定（图B.0.2），对渗透系数不同的非均质含水层，宜采用数值方法进行渗流稳定性分析。</w:t>
      </w:r>
    </w:p>
    <w:p w14:paraId="4337133B">
      <w:pPr>
        <w:pStyle w:val="6"/>
        <w:ind w:firstLine="3842" w:firstLineChars="1601"/>
        <w:jc w:val="left"/>
        <w:rPr>
          <w:rFonts w:ascii="Times New Roman" w:hAnsi="Times New Roman"/>
          <w:sz w:val="32"/>
          <w:szCs w:val="32"/>
        </w:rPr>
      </w:pPr>
      <w:r>
        <w:rPr>
          <w:rFonts w:ascii="Times New Roman" w:hAnsi="Times New Roman"/>
          <w:color w:val="auto"/>
          <w:position w:val="-30"/>
          <w:sz w:val="24"/>
        </w:rPr>
        <w:object>
          <v:shape id="_x0000_i1190" o:spt="75" type="#_x0000_t75" style="height:36.3pt;width:83.9pt;" o:ole="t" filled="f" o:preferrelative="t" stroked="f" coordsize="21600,21600">
            <v:path/>
            <v:fill on="f" focussize="0,0"/>
            <v:stroke on="f" joinstyle="miter"/>
            <v:imagedata r:id="rId355" o:title=""/>
            <o:lock v:ext="edit" aspectratio="t"/>
            <w10:wrap type="none"/>
            <w10:anchorlock/>
          </v:shape>
          <o:OLEObject Type="Embed" ProgID="Equation.3" ShapeID="_x0000_i1190" DrawAspect="Content" ObjectID="_1468075890" r:id="rId354">
            <o:LockedField>false</o:LockedField>
          </o:OLEObject>
        </w:object>
      </w:r>
      <w:r>
        <w:rPr>
          <w:rFonts w:ascii="Times New Roman" w:hAnsi="Times New Roman"/>
          <w:color w:val="auto"/>
          <w:position w:val="-14"/>
          <w:sz w:val="24"/>
        </w:rPr>
        <w:t xml:space="preserve">       （B.0.2）</w:t>
      </w:r>
    </w:p>
    <w:p w14:paraId="2F0DA669">
      <w:pPr>
        <w:pStyle w:val="4"/>
        <w:ind w:left="2493" w:leftChars="375" w:hanging="1593" w:hangingChars="664"/>
        <w:rPr>
          <w:rFonts w:ascii="Times New Roman" w:hAnsi="Times New Roman" w:cs="Times New Roman"/>
          <w:kern w:val="2"/>
          <w:sz w:val="24"/>
          <w:szCs w:val="20"/>
          <w:lang w:eastAsia="zh-CN"/>
        </w:rPr>
      </w:pPr>
      <w:r>
        <w:rPr>
          <w:rFonts w:ascii="Times New Roman" w:hAnsi="Times New Roman" w:cs="Times New Roman"/>
          <w:kern w:val="2"/>
          <w:sz w:val="24"/>
          <w:szCs w:val="20"/>
          <w:lang w:eastAsia="zh-CN"/>
        </w:rPr>
        <w:t>式中：K</w:t>
      </w:r>
      <w:r>
        <w:rPr>
          <w:rFonts w:ascii="Times New Roman" w:hAnsi="Times New Roman" w:cs="Times New Roman"/>
          <w:kern w:val="2"/>
          <w:sz w:val="24"/>
          <w:szCs w:val="20"/>
          <w:vertAlign w:val="subscript"/>
          <w:lang w:eastAsia="zh-CN"/>
        </w:rPr>
        <w:t xml:space="preserve">f  </w:t>
      </w:r>
      <w:r>
        <w:rPr>
          <w:rFonts w:ascii="Times New Roman" w:hAnsi="Times New Roman" w:cs="Times New Roman"/>
          <w:kern w:val="2"/>
          <w:sz w:val="24"/>
          <w:szCs w:val="20"/>
          <w:lang w:eastAsia="zh-CN"/>
        </w:rPr>
        <w:t>——流土稳定性安全系数；安全等级为一、二、三级的支护结构，K: 分别不应小于1.6、1.5、1.4； l</w:t>
      </w:r>
      <w:r>
        <w:rPr>
          <w:rFonts w:ascii="Times New Roman" w:hAnsi="Times New Roman" w:cs="Times New Roman"/>
          <w:kern w:val="2"/>
          <w:sz w:val="24"/>
          <w:szCs w:val="20"/>
          <w:vertAlign w:val="subscript"/>
          <w:lang w:eastAsia="zh-CN"/>
        </w:rPr>
        <w:t>d</w:t>
      </w:r>
      <w:r>
        <w:rPr>
          <w:rFonts w:ascii="Times New Roman" w:hAnsi="Times New Roman" w:cs="Times New Roman"/>
          <w:kern w:val="2"/>
          <w:sz w:val="24"/>
          <w:szCs w:val="20"/>
          <w:lang w:eastAsia="zh-CN"/>
        </w:rPr>
        <w:t>——截水帷幕在坑底以下的插入深度（m）；</w:t>
      </w:r>
    </w:p>
    <w:p w14:paraId="291717FE">
      <w:pPr>
        <w:pStyle w:val="4"/>
        <w:ind w:left="180" w:firstLine="1418" w:firstLineChars="591"/>
        <w:rPr>
          <w:rFonts w:ascii="Times New Roman" w:hAnsi="Times New Roman" w:cs="Times New Roman"/>
          <w:kern w:val="2"/>
          <w:sz w:val="24"/>
          <w:szCs w:val="20"/>
          <w:lang w:eastAsia="zh-CN"/>
        </w:rPr>
      </w:pPr>
      <w:r>
        <w:rPr>
          <w:rFonts w:ascii="Times New Roman" w:hAnsi="Times New Roman" w:cs="Times New Roman"/>
          <w:kern w:val="2"/>
          <w:sz w:val="24"/>
          <w:szCs w:val="20"/>
          <w:lang w:eastAsia="zh-CN"/>
        </w:rPr>
        <w:t>D₁——潜水面或承压水含水层顶面至基坑底面的土层厚度（m）；</w:t>
      </w:r>
    </w:p>
    <w:p w14:paraId="3A11B175">
      <w:pPr>
        <w:pStyle w:val="4"/>
        <w:ind w:left="180" w:firstLine="1418" w:firstLineChars="591"/>
        <w:rPr>
          <w:rFonts w:ascii="Times New Roman" w:hAnsi="Times New Roman" w:cs="Times New Roman"/>
          <w:kern w:val="2"/>
          <w:sz w:val="24"/>
          <w:szCs w:val="20"/>
          <w:lang w:eastAsia="zh-CN"/>
        </w:rPr>
      </w:pPr>
      <w:r>
        <w:rPr>
          <w:rFonts w:ascii="Times New Roman" w:hAnsi="Times New Roman" w:cs="Times New Roman"/>
          <w:kern w:val="2"/>
          <w:sz w:val="24"/>
          <w:szCs w:val="20"/>
          <w:lang w:eastAsia="zh-CN"/>
        </w:rPr>
        <w:t>γ  —— 土的浮重度（kN/m³）；</w:t>
      </w:r>
    </w:p>
    <w:p w14:paraId="5AECA48D">
      <w:pPr>
        <w:pStyle w:val="4"/>
        <w:ind w:left="180" w:firstLine="1418" w:firstLineChars="591"/>
        <w:rPr>
          <w:rFonts w:ascii="Times New Roman" w:hAnsi="Times New Roman" w:cs="Times New Roman"/>
          <w:kern w:val="2"/>
          <w:sz w:val="24"/>
          <w:szCs w:val="20"/>
          <w:lang w:eastAsia="zh-CN"/>
        </w:rPr>
      </w:pPr>
      <w:r>
        <w:rPr>
          <w:rFonts w:ascii="Cambria Math" w:hAnsi="Cambria Math" w:cs="Cambria Math"/>
          <w:kern w:val="2"/>
          <w:sz w:val="24"/>
          <w:szCs w:val="20"/>
          <w:lang w:eastAsia="zh-CN"/>
        </w:rPr>
        <w:t>△</w:t>
      </w:r>
      <w:r>
        <w:rPr>
          <w:rFonts w:ascii="Times New Roman" w:hAnsi="Times New Roman" w:cs="Times New Roman"/>
          <w:kern w:val="2"/>
          <w:sz w:val="24"/>
          <w:szCs w:val="20"/>
          <w:lang w:eastAsia="zh-CN"/>
        </w:rPr>
        <w:t>h——基坑内外的水头差（m）；</w:t>
      </w:r>
    </w:p>
    <w:p w14:paraId="5A2C792C">
      <w:pPr>
        <w:pStyle w:val="4"/>
        <w:ind w:left="180" w:firstLine="1418" w:firstLineChars="591"/>
        <w:rPr>
          <w:rFonts w:ascii="Times New Roman" w:hAnsi="Times New Roman" w:cs="Times New Roman"/>
          <w:kern w:val="2"/>
          <w:sz w:val="24"/>
          <w:szCs w:val="20"/>
          <w:lang w:eastAsia="zh-CN"/>
        </w:rPr>
      </w:pPr>
      <w:r>
        <w:rPr>
          <w:rFonts w:ascii="Times New Roman" w:hAnsi="Times New Roman" w:cs="Times New Roman"/>
          <w:kern w:val="2"/>
          <w:sz w:val="24"/>
          <w:szCs w:val="20"/>
          <w:lang w:eastAsia="zh-CN"/>
        </w:rPr>
        <w:t>γ</w:t>
      </w:r>
      <w:r>
        <w:rPr>
          <w:rFonts w:ascii="Times New Roman" w:hAnsi="Times New Roman" w:cs="Times New Roman"/>
          <w:kern w:val="2"/>
          <w:sz w:val="24"/>
          <w:szCs w:val="20"/>
          <w:vertAlign w:val="subscript"/>
          <w:lang w:eastAsia="zh-CN"/>
        </w:rPr>
        <w:t>w</w:t>
      </w:r>
      <w:r>
        <w:rPr>
          <w:rFonts w:ascii="Times New Roman" w:hAnsi="Times New Roman" w:cs="Times New Roman"/>
          <w:kern w:val="2"/>
          <w:sz w:val="24"/>
          <w:szCs w:val="20"/>
          <w:lang w:eastAsia="zh-CN"/>
        </w:rPr>
        <w:t>——水的重度（kN/m³）。</w:t>
      </w:r>
    </w:p>
    <w:p w14:paraId="6209A6A5">
      <w:pPr>
        <w:pStyle w:val="6"/>
        <w:ind w:firstLine="0"/>
        <w:jc w:val="center"/>
        <w:rPr>
          <w:rFonts w:ascii="Times New Roman" w:hAnsi="Times New Roman" w:eastAsia="新宋体"/>
          <w:sz w:val="32"/>
          <w:szCs w:val="32"/>
        </w:rPr>
      </w:pPr>
      <w:r>
        <w:rPr>
          <w:rFonts w:ascii="Times New Roman" w:hAnsi="Times New Roman"/>
          <w:sz w:val="24"/>
          <w:szCs w:val="24"/>
        </w:rPr>
        <w:drawing>
          <wp:inline distT="0" distB="0" distL="114300" distR="114300">
            <wp:extent cx="5091430" cy="2575560"/>
            <wp:effectExtent l="0" t="0" r="1270" b="2540"/>
            <wp:docPr id="9" name="图片 1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1" descr="IMG_256"/>
                    <pic:cNvPicPr>
                      <a:picLocks noChangeAspect="1"/>
                    </pic:cNvPicPr>
                  </pic:nvPicPr>
                  <pic:blipFill>
                    <a:blip r:embed="rId356"/>
                    <a:stretch>
                      <a:fillRect/>
                    </a:stretch>
                  </pic:blipFill>
                  <pic:spPr>
                    <a:xfrm>
                      <a:off x="0" y="0"/>
                      <a:ext cx="5091430" cy="2575560"/>
                    </a:xfrm>
                    <a:prstGeom prst="rect">
                      <a:avLst/>
                    </a:prstGeom>
                    <a:noFill/>
                    <a:ln w="9525">
                      <a:noFill/>
                    </a:ln>
                  </pic:spPr>
                </pic:pic>
              </a:graphicData>
            </a:graphic>
          </wp:inline>
        </w:drawing>
      </w:r>
    </w:p>
    <w:p w14:paraId="25F897EB">
      <w:pPr>
        <w:pStyle w:val="4"/>
        <w:ind w:firstLine="0"/>
        <w:jc w:val="center"/>
        <w:rPr>
          <w:rFonts w:ascii="Times New Roman" w:hAnsi="Times New Roman" w:cs="Times New Roman"/>
          <w:spacing w:val="-11"/>
          <w:sz w:val="18"/>
          <w:szCs w:val="18"/>
          <w:lang w:eastAsia="zh-CN"/>
        </w:rPr>
      </w:pPr>
      <w:r>
        <w:rPr>
          <w:rFonts w:ascii="Times New Roman" w:hAnsi="Times New Roman" w:cs="Times New Roman"/>
          <w:spacing w:val="-11"/>
          <w:sz w:val="18"/>
          <w:szCs w:val="18"/>
          <w:lang w:eastAsia="zh-CN"/>
        </w:rPr>
        <w:t>1—截水帷幕；2—基坑底面；3—含水层；4—潜水水位；</w:t>
      </w:r>
    </w:p>
    <w:p w14:paraId="3B310166">
      <w:pPr>
        <w:pStyle w:val="4"/>
        <w:ind w:firstLine="0"/>
        <w:jc w:val="center"/>
        <w:rPr>
          <w:rFonts w:ascii="Times New Roman" w:hAnsi="Times New Roman" w:cs="Times New Roman"/>
          <w:spacing w:val="-11"/>
          <w:sz w:val="18"/>
          <w:szCs w:val="18"/>
          <w:lang w:eastAsia="zh-CN"/>
        </w:rPr>
      </w:pPr>
      <w:r>
        <w:rPr>
          <w:rFonts w:ascii="Times New Roman" w:hAnsi="Times New Roman" w:cs="Times New Roman"/>
          <w:spacing w:val="-11"/>
          <w:sz w:val="18"/>
          <w:szCs w:val="18"/>
          <w:lang w:eastAsia="zh-CN"/>
        </w:rPr>
        <w:t>5—承压水测管水位；6—承压水含水层顶面</w:t>
      </w:r>
    </w:p>
    <w:p w14:paraId="32209837">
      <w:pPr>
        <w:ind w:firstLine="0"/>
        <w:jc w:val="center"/>
        <w:rPr>
          <w:b/>
          <w:bCs/>
          <w:color w:val="auto"/>
          <w:sz w:val="21"/>
          <w:szCs w:val="21"/>
        </w:rPr>
      </w:pPr>
      <w:r>
        <w:rPr>
          <w:b/>
          <w:bCs/>
          <w:color w:val="auto"/>
          <w:sz w:val="21"/>
          <w:szCs w:val="21"/>
        </w:rPr>
        <w:t>图B.0.2　采用悬挂式帷幕截水时的流土稳定性验算</w:t>
      </w:r>
    </w:p>
    <w:p w14:paraId="59C2F614">
      <w:pPr>
        <w:ind w:firstLine="0"/>
        <w:rPr>
          <w:b/>
          <w:bCs/>
          <w:szCs w:val="21"/>
        </w:rPr>
      </w:pPr>
      <w:r>
        <w:rPr>
          <w:b/>
          <w:bCs/>
          <w:kern w:val="2"/>
          <w:szCs w:val="20"/>
        </w:rPr>
        <w:t>B.0.3　</w:t>
      </w:r>
      <w:r>
        <w:rPr>
          <w:kern w:val="2"/>
          <w:szCs w:val="20"/>
        </w:rPr>
        <w:t>坑底以下为级配不连续的砂土、碎石土含水层时，应进行土的管涌可能性判别。</w:t>
      </w:r>
    </w:p>
    <w:p w14:paraId="4D53F6C1">
      <w:pPr>
        <w:pStyle w:val="20"/>
        <w:ind w:firstLine="422"/>
        <w:rPr>
          <w:rFonts w:ascii="Times New Roman"/>
          <w:b/>
          <w:bCs/>
          <w:szCs w:val="21"/>
        </w:rPr>
      </w:pPr>
    </w:p>
    <w:p w14:paraId="0B35A6F4">
      <w:pPr>
        <w:rPr>
          <w:rFonts w:eastAsiaTheme="majorEastAsia"/>
          <w:b/>
          <w:bCs/>
          <w:sz w:val="30"/>
          <w:szCs w:val="30"/>
          <w:lang w:val="zh-CN"/>
        </w:rPr>
        <w:sectPr>
          <w:pgSz w:w="11906" w:h="16838"/>
          <w:pgMar w:top="1984" w:right="1701" w:bottom="1701" w:left="1701" w:header="1701" w:footer="1417" w:gutter="0"/>
          <w:cols w:space="0" w:num="1"/>
          <w:docGrid w:type="lines" w:linePitch="328" w:charSpace="0"/>
        </w:sectPr>
      </w:pPr>
    </w:p>
    <w:p w14:paraId="516404E4">
      <w:pPr>
        <w:pStyle w:val="19"/>
        <w:widowControl w:val="0"/>
        <w:spacing w:before="170" w:after="170" w:line="360" w:lineRule="auto"/>
        <w:jc w:val="center"/>
        <w:outlineLvl w:val="0"/>
        <w:rPr>
          <w:rFonts w:ascii="Times New Roman" w:eastAsia="宋体"/>
          <w:b/>
          <w:sz w:val="30"/>
          <w:szCs w:val="30"/>
        </w:rPr>
      </w:pPr>
      <w:bookmarkStart w:id="698" w:name="_Toc27463"/>
      <w:bookmarkStart w:id="699" w:name="_Toc27994"/>
      <w:bookmarkStart w:id="700" w:name="_Toc10737"/>
      <w:bookmarkStart w:id="701" w:name="_Toc28806"/>
      <w:bookmarkStart w:id="702" w:name="_Toc193392100"/>
      <w:bookmarkStart w:id="703" w:name="_Toc18346"/>
      <w:bookmarkStart w:id="704" w:name="_Toc23288"/>
      <w:bookmarkStart w:id="705" w:name="_Toc6148"/>
      <w:bookmarkStart w:id="706" w:name="_Toc14135"/>
      <w:bookmarkStart w:id="707" w:name="_Toc27849"/>
      <w:r>
        <w:rPr>
          <w:rFonts w:ascii="Times New Roman" w:eastAsia="宋体"/>
          <w:b/>
          <w:sz w:val="30"/>
          <w:szCs w:val="30"/>
        </w:rPr>
        <w:t>附录C　H型钢检查记录表</w:t>
      </w:r>
      <w:bookmarkEnd w:id="698"/>
      <w:bookmarkEnd w:id="699"/>
      <w:bookmarkEnd w:id="700"/>
      <w:bookmarkEnd w:id="701"/>
      <w:bookmarkEnd w:id="702"/>
      <w:bookmarkEnd w:id="703"/>
      <w:bookmarkEnd w:id="704"/>
      <w:bookmarkEnd w:id="705"/>
    </w:p>
    <w:p w14:paraId="118FE2CA">
      <w:pPr>
        <w:pStyle w:val="6"/>
        <w:jc w:val="center"/>
        <w:rPr>
          <w:rFonts w:ascii="Times New Roman" w:hAnsi="Times New Roman"/>
          <w:b/>
          <w:sz w:val="24"/>
        </w:rPr>
      </w:pPr>
      <w:bookmarkStart w:id="708" w:name="_Toc32060"/>
      <w:bookmarkStart w:id="709" w:name="_Toc13562"/>
      <w:bookmarkStart w:id="710" w:name="_Toc15500"/>
      <w:bookmarkStart w:id="711" w:name="_Toc16844"/>
      <w:bookmarkStart w:id="712" w:name="_Toc32582"/>
      <w:bookmarkStart w:id="713" w:name="_Toc22272"/>
      <w:bookmarkStart w:id="714" w:name="_Toc4866"/>
      <w:bookmarkStart w:id="715" w:name="_Toc5340"/>
      <w:r>
        <w:rPr>
          <w:rFonts w:ascii="Times New Roman" w:hAnsi="Times New Roman"/>
          <w:b/>
          <w:sz w:val="24"/>
        </w:rPr>
        <w:t>表C　H型钢检查记录表</w:t>
      </w:r>
      <w:bookmarkEnd w:id="708"/>
      <w:bookmarkEnd w:id="709"/>
      <w:bookmarkEnd w:id="710"/>
      <w:bookmarkEnd w:id="711"/>
      <w:bookmarkEnd w:id="712"/>
      <w:bookmarkEnd w:id="713"/>
      <w:bookmarkEnd w:id="714"/>
      <w:bookmarkEnd w:id="715"/>
    </w:p>
    <w:p w14:paraId="461A7AFC">
      <w:pPr>
        <w:spacing w:before="55" w:line="230" w:lineRule="auto"/>
        <w:ind w:left="184"/>
        <w:rPr>
          <w:sz w:val="21"/>
          <w:szCs w:val="21"/>
        </w:rPr>
      </w:pPr>
      <w:r>
        <w:rPr>
          <w:sz w:val="21"/>
          <w:szCs w:val="21"/>
        </w:rPr>
        <w:t xml:space="preserve">施工单位：                                 监理单位：                     </w:t>
      </w:r>
      <w:r>
        <w:rPr>
          <w:spacing w:val="-1"/>
          <w:sz w:val="21"/>
          <w:szCs w:val="21"/>
        </w:rPr>
        <w:t xml:space="preserve">       编号：</w:t>
      </w:r>
    </w:p>
    <w:p w14:paraId="074E163F">
      <w:pPr>
        <w:spacing w:line="41" w:lineRule="exact"/>
      </w:pPr>
    </w:p>
    <w:tbl>
      <w:tblPr>
        <w:tblStyle w:val="29"/>
        <w:tblW w:w="1304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04"/>
        <w:gridCol w:w="649"/>
        <w:gridCol w:w="640"/>
        <w:gridCol w:w="870"/>
        <w:gridCol w:w="811"/>
        <w:gridCol w:w="700"/>
        <w:gridCol w:w="678"/>
        <w:gridCol w:w="849"/>
        <w:gridCol w:w="928"/>
        <w:gridCol w:w="978"/>
        <w:gridCol w:w="1033"/>
        <w:gridCol w:w="1334"/>
        <w:gridCol w:w="1455"/>
        <w:gridCol w:w="1311"/>
      </w:tblGrid>
      <w:tr w14:paraId="683D48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4" w:hRule="atLeast"/>
          <w:jc w:val="center"/>
        </w:trPr>
        <w:tc>
          <w:tcPr>
            <w:tcW w:w="804" w:type="dxa"/>
            <w:vMerge w:val="restart"/>
            <w:tcBorders>
              <w:tl2br w:val="nil"/>
              <w:tr2bl w:val="nil"/>
            </w:tcBorders>
            <w:vAlign w:val="center"/>
          </w:tcPr>
          <w:p w14:paraId="3C9729A6">
            <w:pPr>
              <w:autoSpaceDE w:val="0"/>
              <w:autoSpaceDN w:val="0"/>
              <w:spacing w:before="58" w:line="219" w:lineRule="auto"/>
              <w:ind w:firstLine="0"/>
              <w:jc w:val="center"/>
              <w:rPr>
                <w:sz w:val="21"/>
                <w:szCs w:val="21"/>
                <w:lang w:eastAsia="en-US"/>
              </w:rPr>
            </w:pPr>
            <w:r>
              <w:rPr>
                <w:spacing w:val="-3"/>
                <w:sz w:val="21"/>
                <w:szCs w:val="21"/>
                <w:lang w:eastAsia="en-US"/>
              </w:rPr>
              <w:t>编号</w:t>
            </w:r>
          </w:p>
        </w:tc>
        <w:tc>
          <w:tcPr>
            <w:tcW w:w="2970" w:type="dxa"/>
            <w:gridSpan w:val="4"/>
            <w:tcBorders>
              <w:tl2br w:val="nil"/>
              <w:tr2bl w:val="nil"/>
            </w:tcBorders>
            <w:vAlign w:val="center"/>
          </w:tcPr>
          <w:p w14:paraId="1C752467">
            <w:pPr>
              <w:autoSpaceDE w:val="0"/>
              <w:autoSpaceDN w:val="0"/>
              <w:spacing w:before="83" w:line="221" w:lineRule="auto"/>
              <w:ind w:firstLine="0"/>
              <w:jc w:val="center"/>
              <w:rPr>
                <w:sz w:val="21"/>
                <w:szCs w:val="21"/>
                <w:lang w:eastAsia="en-US"/>
              </w:rPr>
            </w:pPr>
            <w:r>
              <w:rPr>
                <w:spacing w:val="-2"/>
                <w:sz w:val="21"/>
                <w:szCs w:val="21"/>
                <w:lang w:eastAsia="en-US"/>
              </w:rPr>
              <w:t>整体</w:t>
            </w:r>
          </w:p>
        </w:tc>
        <w:tc>
          <w:tcPr>
            <w:tcW w:w="9266" w:type="dxa"/>
            <w:gridSpan w:val="9"/>
            <w:tcBorders>
              <w:tl2br w:val="nil"/>
              <w:tr2bl w:val="nil"/>
            </w:tcBorders>
          </w:tcPr>
          <w:p w14:paraId="6524C405">
            <w:pPr>
              <w:autoSpaceDE w:val="0"/>
              <w:autoSpaceDN w:val="0"/>
              <w:spacing w:before="81" w:line="219" w:lineRule="auto"/>
              <w:ind w:firstLine="0"/>
              <w:jc w:val="center"/>
              <w:rPr>
                <w:sz w:val="21"/>
                <w:szCs w:val="21"/>
                <w:lang w:eastAsia="en-US"/>
              </w:rPr>
            </w:pPr>
            <w:r>
              <w:rPr>
                <w:spacing w:val="4"/>
                <w:sz w:val="21"/>
                <w:szCs w:val="21"/>
                <w:lang w:eastAsia="en-US"/>
              </w:rPr>
              <w:t>截面尺寸偏差（</w:t>
            </w:r>
            <w:r>
              <w:rPr>
                <w:sz w:val="21"/>
                <w:szCs w:val="21"/>
                <w:lang w:eastAsia="en-US"/>
              </w:rPr>
              <w:t>mm</w:t>
            </w:r>
            <w:r>
              <w:rPr>
                <w:spacing w:val="4"/>
                <w:sz w:val="21"/>
                <w:szCs w:val="21"/>
                <w:lang w:eastAsia="en-US"/>
              </w:rPr>
              <w:t>）</w:t>
            </w:r>
          </w:p>
        </w:tc>
      </w:tr>
      <w:tr w14:paraId="566E75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804" w:type="dxa"/>
            <w:vMerge w:val="continue"/>
            <w:tcBorders>
              <w:tl2br w:val="nil"/>
              <w:tr2bl w:val="nil"/>
            </w:tcBorders>
            <w:vAlign w:val="center"/>
          </w:tcPr>
          <w:p w14:paraId="4936F596">
            <w:pPr>
              <w:pStyle w:val="30"/>
              <w:autoSpaceDE w:val="0"/>
              <w:autoSpaceDN w:val="0"/>
              <w:jc w:val="center"/>
              <w:rPr>
                <w:rFonts w:ascii="Times New Roman" w:hAnsi="Times New Roman" w:cs="Times New Roman"/>
                <w:sz w:val="21"/>
                <w:szCs w:val="21"/>
              </w:rPr>
            </w:pPr>
          </w:p>
        </w:tc>
        <w:tc>
          <w:tcPr>
            <w:tcW w:w="649" w:type="dxa"/>
            <w:vMerge w:val="restart"/>
            <w:tcBorders>
              <w:tl2br w:val="nil"/>
              <w:tr2bl w:val="nil"/>
            </w:tcBorders>
            <w:vAlign w:val="center"/>
          </w:tcPr>
          <w:p w14:paraId="3C38E3DD">
            <w:pPr>
              <w:autoSpaceDE w:val="0"/>
              <w:autoSpaceDN w:val="0"/>
              <w:spacing w:before="289" w:line="221" w:lineRule="auto"/>
              <w:ind w:firstLine="0"/>
              <w:jc w:val="center"/>
              <w:rPr>
                <w:sz w:val="21"/>
                <w:szCs w:val="21"/>
                <w:lang w:eastAsia="en-US"/>
              </w:rPr>
            </w:pPr>
            <w:r>
              <w:rPr>
                <w:sz w:val="21"/>
                <w:szCs w:val="21"/>
                <w:lang w:eastAsia="en-US"/>
              </w:rPr>
              <w:t>钢号</w:t>
            </w:r>
          </w:p>
        </w:tc>
        <w:tc>
          <w:tcPr>
            <w:tcW w:w="640" w:type="dxa"/>
            <w:vMerge w:val="restart"/>
            <w:tcBorders>
              <w:tl2br w:val="nil"/>
              <w:tr2bl w:val="nil"/>
            </w:tcBorders>
            <w:vAlign w:val="center"/>
          </w:tcPr>
          <w:p w14:paraId="1A52229E">
            <w:pPr>
              <w:autoSpaceDE w:val="0"/>
              <w:autoSpaceDN w:val="0"/>
              <w:spacing w:before="189" w:line="204" w:lineRule="auto"/>
              <w:ind w:firstLine="0"/>
              <w:jc w:val="center"/>
              <w:rPr>
                <w:sz w:val="21"/>
                <w:szCs w:val="21"/>
                <w:lang w:eastAsia="en-US"/>
              </w:rPr>
            </w:pPr>
            <w:r>
              <w:rPr>
                <w:spacing w:val="-2"/>
                <w:sz w:val="21"/>
                <w:szCs w:val="21"/>
                <w:lang w:eastAsia="en-US"/>
              </w:rPr>
              <w:t>垂直度</w:t>
            </w:r>
          </w:p>
          <w:p w14:paraId="71A824E6">
            <w:pPr>
              <w:autoSpaceDE w:val="0"/>
              <w:autoSpaceDN w:val="0"/>
              <w:spacing w:line="219" w:lineRule="auto"/>
              <w:ind w:firstLine="0"/>
              <w:jc w:val="center"/>
              <w:rPr>
                <w:sz w:val="21"/>
                <w:szCs w:val="21"/>
                <w:lang w:eastAsia="en-US"/>
              </w:rPr>
            </w:pPr>
            <w:r>
              <w:rPr>
                <w:spacing w:val="-2"/>
                <w:sz w:val="21"/>
                <w:szCs w:val="21"/>
                <w:lang w:eastAsia="en-US"/>
              </w:rPr>
              <w:t>偏差</w:t>
            </w:r>
          </w:p>
        </w:tc>
        <w:tc>
          <w:tcPr>
            <w:tcW w:w="870" w:type="dxa"/>
            <w:vMerge w:val="restart"/>
            <w:tcBorders>
              <w:tl2br w:val="nil"/>
              <w:tr2bl w:val="nil"/>
            </w:tcBorders>
            <w:vAlign w:val="center"/>
          </w:tcPr>
          <w:p w14:paraId="330FBC4F">
            <w:pPr>
              <w:autoSpaceDE w:val="0"/>
              <w:autoSpaceDN w:val="0"/>
              <w:spacing w:before="189" w:line="212" w:lineRule="auto"/>
              <w:ind w:right="54" w:firstLine="0"/>
              <w:jc w:val="center"/>
              <w:rPr>
                <w:sz w:val="21"/>
                <w:szCs w:val="21"/>
                <w:lang w:eastAsia="en-US"/>
              </w:rPr>
            </w:pPr>
            <w:r>
              <w:rPr>
                <w:spacing w:val="-3"/>
                <w:sz w:val="21"/>
                <w:szCs w:val="21"/>
                <w:lang w:eastAsia="en-US"/>
              </w:rPr>
              <w:t>表面锈蚀程度</w:t>
            </w:r>
          </w:p>
        </w:tc>
        <w:tc>
          <w:tcPr>
            <w:tcW w:w="811" w:type="dxa"/>
            <w:vMerge w:val="restart"/>
            <w:tcBorders>
              <w:tl2br w:val="nil"/>
              <w:tr2bl w:val="nil"/>
            </w:tcBorders>
            <w:vAlign w:val="center"/>
          </w:tcPr>
          <w:p w14:paraId="16C2402E">
            <w:pPr>
              <w:autoSpaceDE w:val="0"/>
              <w:autoSpaceDN w:val="0"/>
              <w:spacing w:before="99" w:line="218" w:lineRule="auto"/>
              <w:ind w:right="154" w:firstLine="0"/>
              <w:jc w:val="center"/>
              <w:rPr>
                <w:spacing w:val="-4"/>
                <w:sz w:val="21"/>
                <w:szCs w:val="21"/>
                <w:lang w:eastAsia="en-US"/>
              </w:rPr>
            </w:pPr>
            <w:r>
              <w:rPr>
                <w:spacing w:val="-4"/>
                <w:sz w:val="21"/>
                <w:szCs w:val="21"/>
                <w:lang w:eastAsia="en-US"/>
              </w:rPr>
              <w:t>长度偏差</w:t>
            </w:r>
          </w:p>
          <w:p w14:paraId="7004A26A">
            <w:pPr>
              <w:autoSpaceDE w:val="0"/>
              <w:autoSpaceDN w:val="0"/>
              <w:spacing w:before="99" w:line="218" w:lineRule="auto"/>
              <w:ind w:right="154" w:firstLine="0"/>
              <w:jc w:val="center"/>
              <w:rPr>
                <w:sz w:val="21"/>
                <w:szCs w:val="21"/>
                <w:lang w:eastAsia="zh-CN"/>
              </w:rPr>
            </w:pPr>
            <w:r>
              <w:rPr>
                <w:sz w:val="21"/>
                <w:szCs w:val="21"/>
                <w:lang w:eastAsia="zh-CN"/>
              </w:rPr>
              <w:t>(</w:t>
            </w:r>
            <w:r>
              <w:rPr>
                <w:spacing w:val="-8"/>
                <w:sz w:val="21"/>
                <w:szCs w:val="21"/>
                <w:lang w:eastAsia="en-US"/>
              </w:rPr>
              <w:t>mm</w:t>
            </w:r>
            <w:r>
              <w:rPr>
                <w:spacing w:val="-8"/>
                <w:sz w:val="21"/>
                <w:szCs w:val="21"/>
                <w:lang w:eastAsia="zh-CN"/>
              </w:rPr>
              <w:t>)</w:t>
            </w:r>
          </w:p>
        </w:tc>
        <w:tc>
          <w:tcPr>
            <w:tcW w:w="3155" w:type="dxa"/>
            <w:gridSpan w:val="4"/>
            <w:tcBorders>
              <w:tl2br w:val="nil"/>
              <w:tr2bl w:val="nil"/>
            </w:tcBorders>
          </w:tcPr>
          <w:p w14:paraId="43D478D7">
            <w:pPr>
              <w:autoSpaceDE w:val="0"/>
              <w:autoSpaceDN w:val="0"/>
              <w:spacing w:before="69" w:line="221" w:lineRule="auto"/>
              <w:ind w:firstLine="0"/>
              <w:jc w:val="center"/>
              <w:rPr>
                <w:sz w:val="21"/>
                <w:szCs w:val="21"/>
                <w:lang w:eastAsia="en-US"/>
              </w:rPr>
            </w:pPr>
            <w:r>
              <w:rPr>
                <w:spacing w:val="2"/>
                <w:sz w:val="21"/>
                <w:szCs w:val="21"/>
                <w:lang w:eastAsia="en-US"/>
              </w:rPr>
              <w:t>热轧H型钢</w:t>
            </w:r>
          </w:p>
        </w:tc>
        <w:tc>
          <w:tcPr>
            <w:tcW w:w="6111" w:type="dxa"/>
            <w:gridSpan w:val="5"/>
            <w:tcBorders>
              <w:tl2br w:val="nil"/>
              <w:tr2bl w:val="nil"/>
            </w:tcBorders>
          </w:tcPr>
          <w:p w14:paraId="1522DED7">
            <w:pPr>
              <w:autoSpaceDE w:val="0"/>
              <w:autoSpaceDN w:val="0"/>
              <w:spacing w:before="68" w:line="219" w:lineRule="auto"/>
              <w:ind w:firstLine="0"/>
              <w:jc w:val="center"/>
              <w:rPr>
                <w:sz w:val="21"/>
                <w:szCs w:val="21"/>
                <w:lang w:eastAsia="en-US"/>
              </w:rPr>
            </w:pPr>
            <w:r>
              <w:rPr>
                <w:spacing w:val="-2"/>
                <w:sz w:val="21"/>
                <w:szCs w:val="21"/>
                <w:lang w:eastAsia="en-US"/>
              </w:rPr>
              <w:t>焊接H型钢</w:t>
            </w:r>
          </w:p>
        </w:tc>
      </w:tr>
      <w:tr w14:paraId="6727AC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804" w:type="dxa"/>
            <w:vMerge w:val="continue"/>
            <w:tcBorders>
              <w:tl2br w:val="nil"/>
              <w:tr2bl w:val="nil"/>
            </w:tcBorders>
          </w:tcPr>
          <w:p w14:paraId="08A23B05">
            <w:pPr>
              <w:pStyle w:val="30"/>
              <w:autoSpaceDE w:val="0"/>
              <w:autoSpaceDN w:val="0"/>
              <w:rPr>
                <w:rFonts w:ascii="Times New Roman" w:hAnsi="Times New Roman" w:cs="Times New Roman"/>
                <w:sz w:val="21"/>
                <w:szCs w:val="21"/>
              </w:rPr>
            </w:pPr>
          </w:p>
        </w:tc>
        <w:tc>
          <w:tcPr>
            <w:tcW w:w="649" w:type="dxa"/>
            <w:vMerge w:val="continue"/>
            <w:tcBorders>
              <w:tl2br w:val="nil"/>
              <w:tr2bl w:val="nil"/>
            </w:tcBorders>
          </w:tcPr>
          <w:p w14:paraId="08D4D682">
            <w:pPr>
              <w:pStyle w:val="30"/>
              <w:autoSpaceDE w:val="0"/>
              <w:autoSpaceDN w:val="0"/>
              <w:rPr>
                <w:rFonts w:ascii="Times New Roman" w:hAnsi="Times New Roman" w:cs="Times New Roman"/>
                <w:sz w:val="21"/>
                <w:szCs w:val="21"/>
              </w:rPr>
            </w:pPr>
          </w:p>
        </w:tc>
        <w:tc>
          <w:tcPr>
            <w:tcW w:w="640" w:type="dxa"/>
            <w:vMerge w:val="continue"/>
            <w:tcBorders>
              <w:tl2br w:val="nil"/>
              <w:tr2bl w:val="nil"/>
            </w:tcBorders>
          </w:tcPr>
          <w:p w14:paraId="3054E1BE">
            <w:pPr>
              <w:pStyle w:val="30"/>
              <w:autoSpaceDE w:val="0"/>
              <w:autoSpaceDN w:val="0"/>
              <w:rPr>
                <w:rFonts w:ascii="Times New Roman" w:hAnsi="Times New Roman" w:cs="Times New Roman"/>
                <w:sz w:val="21"/>
                <w:szCs w:val="21"/>
              </w:rPr>
            </w:pPr>
          </w:p>
        </w:tc>
        <w:tc>
          <w:tcPr>
            <w:tcW w:w="870" w:type="dxa"/>
            <w:vMerge w:val="continue"/>
            <w:tcBorders>
              <w:tl2br w:val="nil"/>
              <w:tr2bl w:val="nil"/>
            </w:tcBorders>
          </w:tcPr>
          <w:p w14:paraId="477E2323">
            <w:pPr>
              <w:pStyle w:val="30"/>
              <w:autoSpaceDE w:val="0"/>
              <w:autoSpaceDN w:val="0"/>
              <w:rPr>
                <w:rFonts w:ascii="Times New Roman" w:hAnsi="Times New Roman" w:cs="Times New Roman"/>
                <w:sz w:val="21"/>
                <w:szCs w:val="21"/>
              </w:rPr>
            </w:pPr>
          </w:p>
        </w:tc>
        <w:tc>
          <w:tcPr>
            <w:tcW w:w="811" w:type="dxa"/>
            <w:vMerge w:val="continue"/>
            <w:tcBorders>
              <w:tl2br w:val="nil"/>
              <w:tr2bl w:val="nil"/>
            </w:tcBorders>
          </w:tcPr>
          <w:p w14:paraId="4E954982">
            <w:pPr>
              <w:pStyle w:val="30"/>
              <w:autoSpaceDE w:val="0"/>
              <w:autoSpaceDN w:val="0"/>
              <w:rPr>
                <w:rFonts w:ascii="Times New Roman" w:hAnsi="Times New Roman" w:cs="Times New Roman"/>
                <w:sz w:val="21"/>
                <w:szCs w:val="21"/>
              </w:rPr>
            </w:pPr>
          </w:p>
        </w:tc>
        <w:tc>
          <w:tcPr>
            <w:tcW w:w="700" w:type="dxa"/>
            <w:tcBorders>
              <w:tl2br w:val="nil"/>
              <w:tr2bl w:val="nil"/>
            </w:tcBorders>
            <w:vAlign w:val="center"/>
          </w:tcPr>
          <w:p w14:paraId="20A6395F">
            <w:pPr>
              <w:autoSpaceDE w:val="0"/>
              <w:autoSpaceDN w:val="0"/>
              <w:spacing w:before="9" w:line="202" w:lineRule="auto"/>
              <w:ind w:left="143" w:right="125" w:hanging="10"/>
              <w:jc w:val="center"/>
              <w:rPr>
                <w:sz w:val="21"/>
                <w:szCs w:val="21"/>
                <w:lang w:eastAsia="en-US"/>
              </w:rPr>
            </w:pPr>
            <w:r>
              <w:rPr>
                <w:spacing w:val="-4"/>
                <w:sz w:val="21"/>
                <w:szCs w:val="21"/>
                <w:lang w:eastAsia="en-US"/>
              </w:rPr>
              <w:t>截面</w:t>
            </w:r>
            <w:r>
              <w:rPr>
                <w:spacing w:val="5"/>
                <w:sz w:val="21"/>
                <w:szCs w:val="21"/>
                <w:lang w:eastAsia="en-US"/>
              </w:rPr>
              <w:t>高度</w:t>
            </w:r>
          </w:p>
        </w:tc>
        <w:tc>
          <w:tcPr>
            <w:tcW w:w="678" w:type="dxa"/>
            <w:tcBorders>
              <w:tl2br w:val="nil"/>
              <w:tr2bl w:val="nil"/>
            </w:tcBorders>
            <w:vAlign w:val="center"/>
          </w:tcPr>
          <w:p w14:paraId="1A0EB65E">
            <w:pPr>
              <w:autoSpaceDE w:val="0"/>
              <w:autoSpaceDN w:val="0"/>
              <w:spacing w:before="10" w:line="207" w:lineRule="auto"/>
              <w:ind w:right="134" w:firstLine="0"/>
              <w:jc w:val="center"/>
              <w:rPr>
                <w:sz w:val="21"/>
                <w:szCs w:val="21"/>
                <w:lang w:eastAsia="en-US"/>
              </w:rPr>
            </w:pPr>
            <w:r>
              <w:rPr>
                <w:spacing w:val="-4"/>
                <w:sz w:val="21"/>
                <w:szCs w:val="21"/>
                <w:lang w:eastAsia="en-US"/>
              </w:rPr>
              <w:t>截面</w:t>
            </w:r>
            <w:r>
              <w:rPr>
                <w:spacing w:val="5"/>
                <w:sz w:val="21"/>
                <w:szCs w:val="21"/>
                <w:lang w:eastAsia="en-US"/>
              </w:rPr>
              <w:t>宽度</w:t>
            </w:r>
          </w:p>
        </w:tc>
        <w:tc>
          <w:tcPr>
            <w:tcW w:w="849" w:type="dxa"/>
            <w:tcBorders>
              <w:tl2br w:val="nil"/>
              <w:tr2bl w:val="nil"/>
            </w:tcBorders>
            <w:vAlign w:val="center"/>
          </w:tcPr>
          <w:p w14:paraId="7C009632">
            <w:pPr>
              <w:autoSpaceDE w:val="0"/>
              <w:autoSpaceDN w:val="0"/>
              <w:spacing w:before="9" w:line="202" w:lineRule="auto"/>
              <w:ind w:left="143" w:right="125" w:hanging="10"/>
              <w:jc w:val="center"/>
              <w:rPr>
                <w:color w:val="auto"/>
                <w:spacing w:val="-4"/>
                <w:sz w:val="21"/>
                <w:szCs w:val="21"/>
                <w:lang w:eastAsia="en-US"/>
              </w:rPr>
            </w:pPr>
            <w:r>
              <w:rPr>
                <w:color w:val="auto"/>
                <w:spacing w:val="-4"/>
                <w:sz w:val="21"/>
                <w:szCs w:val="21"/>
                <w:lang w:eastAsia="en-US"/>
              </w:rPr>
              <w:t>腹板 厚度</w:t>
            </w:r>
          </w:p>
        </w:tc>
        <w:tc>
          <w:tcPr>
            <w:tcW w:w="928" w:type="dxa"/>
            <w:tcBorders>
              <w:tl2br w:val="nil"/>
              <w:tr2bl w:val="nil"/>
            </w:tcBorders>
            <w:vAlign w:val="center"/>
          </w:tcPr>
          <w:p w14:paraId="28DC3326">
            <w:pPr>
              <w:autoSpaceDE w:val="0"/>
              <w:autoSpaceDN w:val="0"/>
              <w:spacing w:before="9" w:line="202" w:lineRule="auto"/>
              <w:ind w:left="143" w:right="125" w:hanging="10"/>
              <w:jc w:val="center"/>
              <w:rPr>
                <w:color w:val="auto"/>
                <w:spacing w:val="-4"/>
                <w:sz w:val="21"/>
                <w:szCs w:val="21"/>
                <w:lang w:eastAsia="en-US"/>
              </w:rPr>
            </w:pPr>
            <w:r>
              <w:rPr>
                <w:color w:val="auto"/>
                <w:spacing w:val="-4"/>
                <w:sz w:val="21"/>
                <w:szCs w:val="21"/>
                <w:lang w:eastAsia="en-US"/>
              </w:rPr>
              <w:t>翼缘板 厚度</w:t>
            </w:r>
          </w:p>
        </w:tc>
        <w:tc>
          <w:tcPr>
            <w:tcW w:w="978" w:type="dxa"/>
            <w:tcBorders>
              <w:tl2br w:val="nil"/>
              <w:tr2bl w:val="nil"/>
            </w:tcBorders>
            <w:vAlign w:val="center"/>
          </w:tcPr>
          <w:p w14:paraId="22C21CAF">
            <w:pPr>
              <w:autoSpaceDE w:val="0"/>
              <w:autoSpaceDN w:val="0"/>
              <w:spacing w:before="9" w:line="202" w:lineRule="auto"/>
              <w:ind w:left="143" w:right="125" w:hanging="10"/>
              <w:jc w:val="center"/>
              <w:rPr>
                <w:color w:val="auto"/>
                <w:spacing w:val="-4"/>
                <w:sz w:val="21"/>
                <w:szCs w:val="21"/>
                <w:lang w:eastAsia="en-US"/>
              </w:rPr>
            </w:pPr>
            <w:r>
              <w:rPr>
                <w:color w:val="auto"/>
                <w:spacing w:val="-4"/>
                <w:sz w:val="21"/>
                <w:szCs w:val="21"/>
                <w:lang w:eastAsia="en-US"/>
              </w:rPr>
              <w:t>截面高度</w:t>
            </w:r>
          </w:p>
        </w:tc>
        <w:tc>
          <w:tcPr>
            <w:tcW w:w="1033" w:type="dxa"/>
            <w:tcBorders>
              <w:tl2br w:val="nil"/>
              <w:tr2bl w:val="nil"/>
            </w:tcBorders>
            <w:vAlign w:val="center"/>
          </w:tcPr>
          <w:p w14:paraId="5A029E70">
            <w:pPr>
              <w:autoSpaceDE w:val="0"/>
              <w:autoSpaceDN w:val="0"/>
              <w:spacing w:before="9" w:line="202" w:lineRule="auto"/>
              <w:ind w:left="143" w:right="125" w:hanging="10"/>
              <w:jc w:val="center"/>
              <w:rPr>
                <w:color w:val="auto"/>
                <w:spacing w:val="-4"/>
                <w:sz w:val="21"/>
                <w:szCs w:val="21"/>
                <w:lang w:eastAsia="en-US"/>
              </w:rPr>
            </w:pPr>
            <w:r>
              <w:rPr>
                <w:color w:val="auto"/>
                <w:spacing w:val="-4"/>
                <w:sz w:val="21"/>
                <w:szCs w:val="21"/>
                <w:lang w:eastAsia="en-US"/>
              </w:rPr>
              <w:t>截面宽度</w:t>
            </w:r>
          </w:p>
        </w:tc>
        <w:tc>
          <w:tcPr>
            <w:tcW w:w="1334" w:type="dxa"/>
            <w:tcBorders>
              <w:tl2br w:val="nil"/>
              <w:tr2bl w:val="nil"/>
            </w:tcBorders>
            <w:vAlign w:val="center"/>
          </w:tcPr>
          <w:p w14:paraId="3D0DBDAC">
            <w:pPr>
              <w:autoSpaceDE w:val="0"/>
              <w:autoSpaceDN w:val="0"/>
              <w:spacing w:before="9" w:line="202" w:lineRule="auto"/>
              <w:ind w:left="143" w:right="125" w:hanging="10"/>
              <w:jc w:val="center"/>
              <w:rPr>
                <w:color w:val="auto"/>
                <w:spacing w:val="-4"/>
                <w:sz w:val="21"/>
                <w:szCs w:val="21"/>
                <w:lang w:eastAsia="en-US"/>
              </w:rPr>
            </w:pPr>
            <w:r>
              <w:rPr>
                <w:color w:val="auto"/>
                <w:spacing w:val="-4"/>
                <w:sz w:val="21"/>
                <w:szCs w:val="21"/>
                <w:lang w:eastAsia="en-US"/>
              </w:rPr>
              <w:t>腹板中心偏移</w:t>
            </w:r>
          </w:p>
        </w:tc>
        <w:tc>
          <w:tcPr>
            <w:tcW w:w="1455" w:type="dxa"/>
            <w:tcBorders>
              <w:tl2br w:val="nil"/>
              <w:tr2bl w:val="nil"/>
            </w:tcBorders>
            <w:vAlign w:val="center"/>
          </w:tcPr>
          <w:p w14:paraId="2EF081C3">
            <w:pPr>
              <w:autoSpaceDE w:val="0"/>
              <w:autoSpaceDN w:val="0"/>
              <w:spacing w:before="9" w:line="202" w:lineRule="auto"/>
              <w:ind w:left="143" w:right="125" w:hanging="10"/>
              <w:jc w:val="center"/>
              <w:rPr>
                <w:color w:val="auto"/>
                <w:spacing w:val="-4"/>
                <w:sz w:val="21"/>
                <w:szCs w:val="21"/>
                <w:lang w:eastAsia="en-US"/>
              </w:rPr>
            </w:pPr>
            <w:r>
              <w:rPr>
                <w:color w:val="auto"/>
                <w:spacing w:val="-4"/>
                <w:sz w:val="21"/>
                <w:szCs w:val="21"/>
                <w:lang w:eastAsia="en-US"/>
              </w:rPr>
              <w:t>翼缘板垂直度</w:t>
            </w:r>
          </w:p>
        </w:tc>
        <w:tc>
          <w:tcPr>
            <w:tcW w:w="1311" w:type="dxa"/>
            <w:tcBorders>
              <w:tl2br w:val="nil"/>
              <w:tr2bl w:val="nil"/>
            </w:tcBorders>
            <w:vAlign w:val="center"/>
          </w:tcPr>
          <w:p w14:paraId="10C76FDC">
            <w:pPr>
              <w:autoSpaceDE w:val="0"/>
              <w:autoSpaceDN w:val="0"/>
              <w:spacing w:before="8" w:line="208" w:lineRule="auto"/>
              <w:ind w:left="188" w:right="81" w:hanging="119"/>
              <w:jc w:val="center"/>
              <w:rPr>
                <w:sz w:val="21"/>
                <w:szCs w:val="21"/>
                <w:lang w:eastAsia="en-US"/>
              </w:rPr>
            </w:pPr>
            <w:r>
              <w:rPr>
                <w:spacing w:val="-2"/>
                <w:sz w:val="21"/>
                <w:szCs w:val="21"/>
                <w:lang w:eastAsia="en-US"/>
              </w:rPr>
              <w:t>腹板局部平面度</w:t>
            </w:r>
          </w:p>
        </w:tc>
      </w:tr>
      <w:tr w14:paraId="3ADF12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4" w:type="dxa"/>
            <w:tcBorders>
              <w:tl2br w:val="nil"/>
              <w:tr2bl w:val="nil"/>
            </w:tcBorders>
          </w:tcPr>
          <w:p w14:paraId="3F266B8B">
            <w:pPr>
              <w:autoSpaceDE w:val="0"/>
              <w:autoSpaceDN w:val="0"/>
              <w:spacing w:before="76" w:line="143" w:lineRule="exact"/>
              <w:ind w:left="345"/>
              <w:rPr>
                <w:sz w:val="21"/>
                <w:szCs w:val="21"/>
                <w:lang w:eastAsia="en-US"/>
              </w:rPr>
            </w:pPr>
          </w:p>
        </w:tc>
        <w:tc>
          <w:tcPr>
            <w:tcW w:w="649" w:type="dxa"/>
            <w:tcBorders>
              <w:tl2br w:val="nil"/>
              <w:tr2bl w:val="nil"/>
            </w:tcBorders>
          </w:tcPr>
          <w:p w14:paraId="41CF3A82">
            <w:pPr>
              <w:pStyle w:val="30"/>
              <w:autoSpaceDE w:val="0"/>
              <w:autoSpaceDN w:val="0"/>
              <w:spacing w:line="219" w:lineRule="exact"/>
              <w:rPr>
                <w:rFonts w:ascii="Times New Roman" w:hAnsi="Times New Roman" w:cs="Times New Roman"/>
                <w:sz w:val="21"/>
                <w:szCs w:val="21"/>
              </w:rPr>
            </w:pPr>
          </w:p>
        </w:tc>
        <w:tc>
          <w:tcPr>
            <w:tcW w:w="640" w:type="dxa"/>
            <w:tcBorders>
              <w:tl2br w:val="nil"/>
              <w:tr2bl w:val="nil"/>
            </w:tcBorders>
          </w:tcPr>
          <w:p w14:paraId="2E0DA545">
            <w:pPr>
              <w:pStyle w:val="30"/>
              <w:autoSpaceDE w:val="0"/>
              <w:autoSpaceDN w:val="0"/>
              <w:spacing w:line="219" w:lineRule="exact"/>
              <w:rPr>
                <w:rFonts w:ascii="Times New Roman" w:hAnsi="Times New Roman" w:cs="Times New Roman"/>
                <w:sz w:val="21"/>
                <w:szCs w:val="21"/>
              </w:rPr>
            </w:pPr>
          </w:p>
        </w:tc>
        <w:tc>
          <w:tcPr>
            <w:tcW w:w="870" w:type="dxa"/>
            <w:tcBorders>
              <w:tl2br w:val="nil"/>
              <w:tr2bl w:val="nil"/>
            </w:tcBorders>
          </w:tcPr>
          <w:p w14:paraId="6A2ECEBE">
            <w:pPr>
              <w:pStyle w:val="30"/>
              <w:autoSpaceDE w:val="0"/>
              <w:autoSpaceDN w:val="0"/>
              <w:spacing w:line="219" w:lineRule="exact"/>
              <w:rPr>
                <w:rFonts w:ascii="Times New Roman" w:hAnsi="Times New Roman" w:cs="Times New Roman"/>
                <w:sz w:val="21"/>
                <w:szCs w:val="21"/>
              </w:rPr>
            </w:pPr>
          </w:p>
        </w:tc>
        <w:tc>
          <w:tcPr>
            <w:tcW w:w="811" w:type="dxa"/>
            <w:tcBorders>
              <w:tl2br w:val="nil"/>
              <w:tr2bl w:val="nil"/>
            </w:tcBorders>
          </w:tcPr>
          <w:p w14:paraId="26CE13CE">
            <w:pPr>
              <w:pStyle w:val="30"/>
              <w:autoSpaceDE w:val="0"/>
              <w:autoSpaceDN w:val="0"/>
              <w:spacing w:line="219" w:lineRule="exact"/>
              <w:rPr>
                <w:rFonts w:ascii="Times New Roman" w:hAnsi="Times New Roman" w:cs="Times New Roman"/>
                <w:sz w:val="21"/>
                <w:szCs w:val="21"/>
              </w:rPr>
            </w:pPr>
          </w:p>
        </w:tc>
        <w:tc>
          <w:tcPr>
            <w:tcW w:w="700" w:type="dxa"/>
            <w:tcBorders>
              <w:tl2br w:val="nil"/>
              <w:tr2bl w:val="nil"/>
            </w:tcBorders>
          </w:tcPr>
          <w:p w14:paraId="7BF50524">
            <w:pPr>
              <w:pStyle w:val="30"/>
              <w:autoSpaceDE w:val="0"/>
              <w:autoSpaceDN w:val="0"/>
              <w:spacing w:line="219" w:lineRule="exact"/>
              <w:rPr>
                <w:rFonts w:ascii="Times New Roman" w:hAnsi="Times New Roman" w:cs="Times New Roman"/>
                <w:sz w:val="21"/>
                <w:szCs w:val="21"/>
              </w:rPr>
            </w:pPr>
          </w:p>
        </w:tc>
        <w:tc>
          <w:tcPr>
            <w:tcW w:w="678" w:type="dxa"/>
            <w:tcBorders>
              <w:tl2br w:val="nil"/>
              <w:tr2bl w:val="nil"/>
            </w:tcBorders>
          </w:tcPr>
          <w:p w14:paraId="2B73A421">
            <w:pPr>
              <w:pStyle w:val="30"/>
              <w:autoSpaceDE w:val="0"/>
              <w:autoSpaceDN w:val="0"/>
              <w:spacing w:line="219" w:lineRule="exact"/>
              <w:rPr>
                <w:rFonts w:ascii="Times New Roman" w:hAnsi="Times New Roman" w:cs="Times New Roman"/>
                <w:sz w:val="21"/>
                <w:szCs w:val="21"/>
              </w:rPr>
            </w:pPr>
          </w:p>
        </w:tc>
        <w:tc>
          <w:tcPr>
            <w:tcW w:w="849" w:type="dxa"/>
            <w:tcBorders>
              <w:tl2br w:val="nil"/>
              <w:tr2bl w:val="nil"/>
            </w:tcBorders>
          </w:tcPr>
          <w:p w14:paraId="2CA99ADC">
            <w:pPr>
              <w:pStyle w:val="30"/>
              <w:autoSpaceDE w:val="0"/>
              <w:autoSpaceDN w:val="0"/>
              <w:spacing w:line="219" w:lineRule="exact"/>
              <w:rPr>
                <w:rFonts w:ascii="Times New Roman" w:hAnsi="Times New Roman" w:cs="Times New Roman"/>
                <w:sz w:val="21"/>
                <w:szCs w:val="21"/>
              </w:rPr>
            </w:pPr>
          </w:p>
        </w:tc>
        <w:tc>
          <w:tcPr>
            <w:tcW w:w="928" w:type="dxa"/>
            <w:tcBorders>
              <w:tl2br w:val="nil"/>
              <w:tr2bl w:val="nil"/>
            </w:tcBorders>
          </w:tcPr>
          <w:p w14:paraId="6815D1D4">
            <w:pPr>
              <w:pStyle w:val="30"/>
              <w:autoSpaceDE w:val="0"/>
              <w:autoSpaceDN w:val="0"/>
              <w:spacing w:line="219" w:lineRule="exact"/>
              <w:rPr>
                <w:rFonts w:ascii="Times New Roman" w:hAnsi="Times New Roman" w:cs="Times New Roman"/>
                <w:sz w:val="21"/>
                <w:szCs w:val="21"/>
              </w:rPr>
            </w:pPr>
          </w:p>
        </w:tc>
        <w:tc>
          <w:tcPr>
            <w:tcW w:w="978" w:type="dxa"/>
            <w:tcBorders>
              <w:tl2br w:val="nil"/>
              <w:tr2bl w:val="nil"/>
            </w:tcBorders>
          </w:tcPr>
          <w:p w14:paraId="54F34016">
            <w:pPr>
              <w:pStyle w:val="30"/>
              <w:autoSpaceDE w:val="0"/>
              <w:autoSpaceDN w:val="0"/>
              <w:spacing w:line="219" w:lineRule="exact"/>
              <w:rPr>
                <w:rFonts w:ascii="Times New Roman" w:hAnsi="Times New Roman" w:cs="Times New Roman"/>
                <w:sz w:val="21"/>
                <w:szCs w:val="21"/>
              </w:rPr>
            </w:pPr>
          </w:p>
        </w:tc>
        <w:tc>
          <w:tcPr>
            <w:tcW w:w="1033" w:type="dxa"/>
            <w:tcBorders>
              <w:tl2br w:val="nil"/>
              <w:tr2bl w:val="nil"/>
            </w:tcBorders>
          </w:tcPr>
          <w:p w14:paraId="5AA5B391">
            <w:pPr>
              <w:pStyle w:val="30"/>
              <w:autoSpaceDE w:val="0"/>
              <w:autoSpaceDN w:val="0"/>
              <w:spacing w:line="219" w:lineRule="exact"/>
              <w:rPr>
                <w:rFonts w:ascii="Times New Roman" w:hAnsi="Times New Roman" w:cs="Times New Roman"/>
                <w:sz w:val="21"/>
                <w:szCs w:val="21"/>
              </w:rPr>
            </w:pPr>
          </w:p>
        </w:tc>
        <w:tc>
          <w:tcPr>
            <w:tcW w:w="1334" w:type="dxa"/>
            <w:tcBorders>
              <w:tl2br w:val="nil"/>
              <w:tr2bl w:val="nil"/>
            </w:tcBorders>
          </w:tcPr>
          <w:p w14:paraId="123D7376">
            <w:pPr>
              <w:pStyle w:val="30"/>
              <w:autoSpaceDE w:val="0"/>
              <w:autoSpaceDN w:val="0"/>
              <w:spacing w:line="219" w:lineRule="exact"/>
              <w:rPr>
                <w:rFonts w:ascii="Times New Roman" w:hAnsi="Times New Roman" w:cs="Times New Roman"/>
                <w:sz w:val="21"/>
                <w:szCs w:val="21"/>
              </w:rPr>
            </w:pPr>
          </w:p>
        </w:tc>
        <w:tc>
          <w:tcPr>
            <w:tcW w:w="1455" w:type="dxa"/>
            <w:tcBorders>
              <w:tl2br w:val="nil"/>
              <w:tr2bl w:val="nil"/>
            </w:tcBorders>
          </w:tcPr>
          <w:p w14:paraId="4D1A9AC0">
            <w:pPr>
              <w:pStyle w:val="30"/>
              <w:autoSpaceDE w:val="0"/>
              <w:autoSpaceDN w:val="0"/>
              <w:spacing w:line="219" w:lineRule="exact"/>
              <w:rPr>
                <w:rFonts w:ascii="Times New Roman" w:hAnsi="Times New Roman" w:cs="Times New Roman"/>
                <w:sz w:val="21"/>
                <w:szCs w:val="21"/>
              </w:rPr>
            </w:pPr>
          </w:p>
        </w:tc>
        <w:tc>
          <w:tcPr>
            <w:tcW w:w="1311" w:type="dxa"/>
            <w:tcBorders>
              <w:tl2br w:val="nil"/>
              <w:tr2bl w:val="nil"/>
            </w:tcBorders>
          </w:tcPr>
          <w:p w14:paraId="334AF5E6">
            <w:pPr>
              <w:pStyle w:val="30"/>
              <w:autoSpaceDE w:val="0"/>
              <w:autoSpaceDN w:val="0"/>
              <w:spacing w:line="219" w:lineRule="exact"/>
              <w:rPr>
                <w:rFonts w:ascii="Times New Roman" w:hAnsi="Times New Roman" w:cs="Times New Roman"/>
                <w:sz w:val="21"/>
                <w:szCs w:val="21"/>
              </w:rPr>
            </w:pPr>
          </w:p>
        </w:tc>
      </w:tr>
      <w:tr w14:paraId="46A47F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4" w:type="dxa"/>
            <w:tcBorders>
              <w:tl2br w:val="nil"/>
              <w:tr2bl w:val="nil"/>
            </w:tcBorders>
          </w:tcPr>
          <w:p w14:paraId="7F410081">
            <w:pPr>
              <w:autoSpaceDE w:val="0"/>
              <w:autoSpaceDN w:val="0"/>
              <w:spacing w:before="67" w:line="143" w:lineRule="exact"/>
              <w:ind w:left="345"/>
              <w:rPr>
                <w:sz w:val="21"/>
                <w:szCs w:val="21"/>
                <w:lang w:eastAsia="en-US"/>
              </w:rPr>
            </w:pPr>
          </w:p>
        </w:tc>
        <w:tc>
          <w:tcPr>
            <w:tcW w:w="649" w:type="dxa"/>
            <w:tcBorders>
              <w:tl2br w:val="nil"/>
              <w:tr2bl w:val="nil"/>
            </w:tcBorders>
          </w:tcPr>
          <w:p w14:paraId="0FFBF257">
            <w:pPr>
              <w:pStyle w:val="30"/>
              <w:autoSpaceDE w:val="0"/>
              <w:autoSpaceDN w:val="0"/>
              <w:spacing w:line="210" w:lineRule="exact"/>
              <w:rPr>
                <w:rFonts w:ascii="Times New Roman" w:hAnsi="Times New Roman" w:cs="Times New Roman"/>
                <w:sz w:val="21"/>
                <w:szCs w:val="21"/>
              </w:rPr>
            </w:pPr>
          </w:p>
        </w:tc>
        <w:tc>
          <w:tcPr>
            <w:tcW w:w="640" w:type="dxa"/>
            <w:tcBorders>
              <w:tl2br w:val="nil"/>
              <w:tr2bl w:val="nil"/>
            </w:tcBorders>
          </w:tcPr>
          <w:p w14:paraId="771A80F2">
            <w:pPr>
              <w:pStyle w:val="30"/>
              <w:autoSpaceDE w:val="0"/>
              <w:autoSpaceDN w:val="0"/>
              <w:spacing w:line="210" w:lineRule="exact"/>
              <w:rPr>
                <w:rFonts w:ascii="Times New Roman" w:hAnsi="Times New Roman" w:cs="Times New Roman"/>
                <w:sz w:val="21"/>
                <w:szCs w:val="21"/>
              </w:rPr>
            </w:pPr>
          </w:p>
        </w:tc>
        <w:tc>
          <w:tcPr>
            <w:tcW w:w="870" w:type="dxa"/>
            <w:tcBorders>
              <w:tl2br w:val="nil"/>
              <w:tr2bl w:val="nil"/>
            </w:tcBorders>
          </w:tcPr>
          <w:p w14:paraId="4FFD1E03">
            <w:pPr>
              <w:pStyle w:val="30"/>
              <w:autoSpaceDE w:val="0"/>
              <w:autoSpaceDN w:val="0"/>
              <w:spacing w:line="210" w:lineRule="exact"/>
              <w:rPr>
                <w:rFonts w:ascii="Times New Roman" w:hAnsi="Times New Roman" w:cs="Times New Roman"/>
                <w:sz w:val="21"/>
                <w:szCs w:val="21"/>
              </w:rPr>
            </w:pPr>
          </w:p>
        </w:tc>
        <w:tc>
          <w:tcPr>
            <w:tcW w:w="811" w:type="dxa"/>
            <w:tcBorders>
              <w:tl2br w:val="nil"/>
              <w:tr2bl w:val="nil"/>
            </w:tcBorders>
          </w:tcPr>
          <w:p w14:paraId="48D1086E">
            <w:pPr>
              <w:pStyle w:val="30"/>
              <w:autoSpaceDE w:val="0"/>
              <w:autoSpaceDN w:val="0"/>
              <w:spacing w:line="210" w:lineRule="exact"/>
              <w:rPr>
                <w:rFonts w:ascii="Times New Roman" w:hAnsi="Times New Roman" w:cs="Times New Roman"/>
                <w:sz w:val="21"/>
                <w:szCs w:val="21"/>
              </w:rPr>
            </w:pPr>
          </w:p>
        </w:tc>
        <w:tc>
          <w:tcPr>
            <w:tcW w:w="700" w:type="dxa"/>
            <w:tcBorders>
              <w:tl2br w:val="nil"/>
              <w:tr2bl w:val="nil"/>
            </w:tcBorders>
          </w:tcPr>
          <w:p w14:paraId="4F6F2DBE">
            <w:pPr>
              <w:pStyle w:val="30"/>
              <w:autoSpaceDE w:val="0"/>
              <w:autoSpaceDN w:val="0"/>
              <w:spacing w:line="210" w:lineRule="exact"/>
              <w:rPr>
                <w:rFonts w:ascii="Times New Roman" w:hAnsi="Times New Roman" w:cs="Times New Roman"/>
                <w:sz w:val="21"/>
                <w:szCs w:val="21"/>
              </w:rPr>
            </w:pPr>
          </w:p>
        </w:tc>
        <w:tc>
          <w:tcPr>
            <w:tcW w:w="678" w:type="dxa"/>
            <w:tcBorders>
              <w:tl2br w:val="nil"/>
              <w:tr2bl w:val="nil"/>
            </w:tcBorders>
          </w:tcPr>
          <w:p w14:paraId="1799B0E2">
            <w:pPr>
              <w:pStyle w:val="30"/>
              <w:autoSpaceDE w:val="0"/>
              <w:autoSpaceDN w:val="0"/>
              <w:spacing w:line="210" w:lineRule="exact"/>
              <w:rPr>
                <w:rFonts w:ascii="Times New Roman" w:hAnsi="Times New Roman" w:cs="Times New Roman"/>
                <w:sz w:val="21"/>
                <w:szCs w:val="21"/>
              </w:rPr>
            </w:pPr>
          </w:p>
        </w:tc>
        <w:tc>
          <w:tcPr>
            <w:tcW w:w="849" w:type="dxa"/>
            <w:tcBorders>
              <w:tl2br w:val="nil"/>
              <w:tr2bl w:val="nil"/>
            </w:tcBorders>
          </w:tcPr>
          <w:p w14:paraId="7EE07EA7">
            <w:pPr>
              <w:pStyle w:val="30"/>
              <w:autoSpaceDE w:val="0"/>
              <w:autoSpaceDN w:val="0"/>
              <w:spacing w:line="210" w:lineRule="exact"/>
              <w:rPr>
                <w:rFonts w:ascii="Times New Roman" w:hAnsi="Times New Roman" w:cs="Times New Roman"/>
                <w:sz w:val="21"/>
                <w:szCs w:val="21"/>
              </w:rPr>
            </w:pPr>
          </w:p>
        </w:tc>
        <w:tc>
          <w:tcPr>
            <w:tcW w:w="928" w:type="dxa"/>
            <w:tcBorders>
              <w:tl2br w:val="nil"/>
              <w:tr2bl w:val="nil"/>
            </w:tcBorders>
          </w:tcPr>
          <w:p w14:paraId="0B29FCC5">
            <w:pPr>
              <w:pStyle w:val="30"/>
              <w:autoSpaceDE w:val="0"/>
              <w:autoSpaceDN w:val="0"/>
              <w:spacing w:line="210" w:lineRule="exact"/>
              <w:rPr>
                <w:rFonts w:ascii="Times New Roman" w:hAnsi="Times New Roman" w:cs="Times New Roman"/>
                <w:sz w:val="21"/>
                <w:szCs w:val="21"/>
              </w:rPr>
            </w:pPr>
          </w:p>
        </w:tc>
        <w:tc>
          <w:tcPr>
            <w:tcW w:w="978" w:type="dxa"/>
            <w:tcBorders>
              <w:tl2br w:val="nil"/>
              <w:tr2bl w:val="nil"/>
            </w:tcBorders>
          </w:tcPr>
          <w:p w14:paraId="01873C3D">
            <w:pPr>
              <w:pStyle w:val="30"/>
              <w:autoSpaceDE w:val="0"/>
              <w:autoSpaceDN w:val="0"/>
              <w:spacing w:line="210" w:lineRule="exact"/>
              <w:rPr>
                <w:rFonts w:ascii="Times New Roman" w:hAnsi="Times New Roman" w:cs="Times New Roman"/>
                <w:sz w:val="21"/>
                <w:szCs w:val="21"/>
              </w:rPr>
            </w:pPr>
          </w:p>
        </w:tc>
        <w:tc>
          <w:tcPr>
            <w:tcW w:w="1033" w:type="dxa"/>
            <w:tcBorders>
              <w:tl2br w:val="nil"/>
              <w:tr2bl w:val="nil"/>
            </w:tcBorders>
          </w:tcPr>
          <w:p w14:paraId="571C6FF4">
            <w:pPr>
              <w:pStyle w:val="30"/>
              <w:autoSpaceDE w:val="0"/>
              <w:autoSpaceDN w:val="0"/>
              <w:spacing w:line="210" w:lineRule="exact"/>
              <w:rPr>
                <w:rFonts w:ascii="Times New Roman" w:hAnsi="Times New Roman" w:cs="Times New Roman"/>
                <w:sz w:val="21"/>
                <w:szCs w:val="21"/>
              </w:rPr>
            </w:pPr>
          </w:p>
        </w:tc>
        <w:tc>
          <w:tcPr>
            <w:tcW w:w="1334" w:type="dxa"/>
            <w:tcBorders>
              <w:tl2br w:val="nil"/>
              <w:tr2bl w:val="nil"/>
            </w:tcBorders>
          </w:tcPr>
          <w:p w14:paraId="28A183EC">
            <w:pPr>
              <w:pStyle w:val="30"/>
              <w:autoSpaceDE w:val="0"/>
              <w:autoSpaceDN w:val="0"/>
              <w:spacing w:line="210" w:lineRule="exact"/>
              <w:rPr>
                <w:rFonts w:ascii="Times New Roman" w:hAnsi="Times New Roman" w:cs="Times New Roman"/>
                <w:sz w:val="21"/>
                <w:szCs w:val="21"/>
              </w:rPr>
            </w:pPr>
          </w:p>
        </w:tc>
        <w:tc>
          <w:tcPr>
            <w:tcW w:w="1455" w:type="dxa"/>
            <w:tcBorders>
              <w:tl2br w:val="nil"/>
              <w:tr2bl w:val="nil"/>
            </w:tcBorders>
          </w:tcPr>
          <w:p w14:paraId="72A5135E">
            <w:pPr>
              <w:pStyle w:val="30"/>
              <w:autoSpaceDE w:val="0"/>
              <w:autoSpaceDN w:val="0"/>
              <w:spacing w:line="210" w:lineRule="exact"/>
              <w:rPr>
                <w:rFonts w:ascii="Times New Roman" w:hAnsi="Times New Roman" w:cs="Times New Roman"/>
                <w:sz w:val="21"/>
                <w:szCs w:val="21"/>
              </w:rPr>
            </w:pPr>
          </w:p>
        </w:tc>
        <w:tc>
          <w:tcPr>
            <w:tcW w:w="1311" w:type="dxa"/>
            <w:tcBorders>
              <w:tl2br w:val="nil"/>
              <w:tr2bl w:val="nil"/>
            </w:tcBorders>
          </w:tcPr>
          <w:p w14:paraId="43CB9D15">
            <w:pPr>
              <w:pStyle w:val="30"/>
              <w:autoSpaceDE w:val="0"/>
              <w:autoSpaceDN w:val="0"/>
              <w:spacing w:line="210" w:lineRule="exact"/>
              <w:rPr>
                <w:rFonts w:ascii="Times New Roman" w:hAnsi="Times New Roman" w:cs="Times New Roman"/>
                <w:sz w:val="21"/>
                <w:szCs w:val="21"/>
              </w:rPr>
            </w:pPr>
          </w:p>
        </w:tc>
      </w:tr>
      <w:tr w14:paraId="7EE0B7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4" w:type="dxa"/>
            <w:tcBorders>
              <w:tl2br w:val="nil"/>
              <w:tr2bl w:val="nil"/>
            </w:tcBorders>
          </w:tcPr>
          <w:p w14:paraId="66C0B00E">
            <w:pPr>
              <w:autoSpaceDE w:val="0"/>
              <w:autoSpaceDN w:val="0"/>
              <w:spacing w:before="77" w:line="142" w:lineRule="exact"/>
              <w:ind w:left="345"/>
              <w:rPr>
                <w:sz w:val="21"/>
                <w:szCs w:val="21"/>
                <w:lang w:eastAsia="en-US"/>
              </w:rPr>
            </w:pPr>
          </w:p>
        </w:tc>
        <w:tc>
          <w:tcPr>
            <w:tcW w:w="649" w:type="dxa"/>
            <w:tcBorders>
              <w:tl2br w:val="nil"/>
              <w:tr2bl w:val="nil"/>
            </w:tcBorders>
          </w:tcPr>
          <w:p w14:paraId="46161D84">
            <w:pPr>
              <w:pStyle w:val="30"/>
              <w:autoSpaceDE w:val="0"/>
              <w:autoSpaceDN w:val="0"/>
              <w:spacing w:line="219" w:lineRule="exact"/>
              <w:rPr>
                <w:rFonts w:ascii="Times New Roman" w:hAnsi="Times New Roman" w:cs="Times New Roman"/>
                <w:sz w:val="21"/>
                <w:szCs w:val="21"/>
              </w:rPr>
            </w:pPr>
          </w:p>
        </w:tc>
        <w:tc>
          <w:tcPr>
            <w:tcW w:w="640" w:type="dxa"/>
            <w:tcBorders>
              <w:tl2br w:val="nil"/>
              <w:tr2bl w:val="nil"/>
            </w:tcBorders>
          </w:tcPr>
          <w:p w14:paraId="047BE017">
            <w:pPr>
              <w:pStyle w:val="30"/>
              <w:autoSpaceDE w:val="0"/>
              <w:autoSpaceDN w:val="0"/>
              <w:spacing w:line="219" w:lineRule="exact"/>
              <w:rPr>
                <w:rFonts w:ascii="Times New Roman" w:hAnsi="Times New Roman" w:cs="Times New Roman"/>
                <w:sz w:val="21"/>
                <w:szCs w:val="21"/>
              </w:rPr>
            </w:pPr>
          </w:p>
        </w:tc>
        <w:tc>
          <w:tcPr>
            <w:tcW w:w="870" w:type="dxa"/>
            <w:tcBorders>
              <w:tl2br w:val="nil"/>
              <w:tr2bl w:val="nil"/>
            </w:tcBorders>
          </w:tcPr>
          <w:p w14:paraId="77D3F681">
            <w:pPr>
              <w:pStyle w:val="30"/>
              <w:autoSpaceDE w:val="0"/>
              <w:autoSpaceDN w:val="0"/>
              <w:spacing w:line="219" w:lineRule="exact"/>
              <w:rPr>
                <w:rFonts w:ascii="Times New Roman" w:hAnsi="Times New Roman" w:cs="Times New Roman"/>
                <w:sz w:val="21"/>
                <w:szCs w:val="21"/>
              </w:rPr>
            </w:pPr>
          </w:p>
        </w:tc>
        <w:tc>
          <w:tcPr>
            <w:tcW w:w="811" w:type="dxa"/>
            <w:tcBorders>
              <w:tl2br w:val="nil"/>
              <w:tr2bl w:val="nil"/>
            </w:tcBorders>
          </w:tcPr>
          <w:p w14:paraId="473A8A1B">
            <w:pPr>
              <w:pStyle w:val="30"/>
              <w:autoSpaceDE w:val="0"/>
              <w:autoSpaceDN w:val="0"/>
              <w:spacing w:line="219" w:lineRule="exact"/>
              <w:rPr>
                <w:rFonts w:ascii="Times New Roman" w:hAnsi="Times New Roman" w:cs="Times New Roman"/>
                <w:sz w:val="21"/>
                <w:szCs w:val="21"/>
              </w:rPr>
            </w:pPr>
          </w:p>
        </w:tc>
        <w:tc>
          <w:tcPr>
            <w:tcW w:w="700" w:type="dxa"/>
            <w:tcBorders>
              <w:tl2br w:val="nil"/>
              <w:tr2bl w:val="nil"/>
            </w:tcBorders>
          </w:tcPr>
          <w:p w14:paraId="59282F3D">
            <w:pPr>
              <w:pStyle w:val="30"/>
              <w:autoSpaceDE w:val="0"/>
              <w:autoSpaceDN w:val="0"/>
              <w:spacing w:line="219" w:lineRule="exact"/>
              <w:rPr>
                <w:rFonts w:ascii="Times New Roman" w:hAnsi="Times New Roman" w:cs="Times New Roman"/>
                <w:sz w:val="21"/>
                <w:szCs w:val="21"/>
              </w:rPr>
            </w:pPr>
          </w:p>
        </w:tc>
        <w:tc>
          <w:tcPr>
            <w:tcW w:w="678" w:type="dxa"/>
            <w:tcBorders>
              <w:tl2br w:val="nil"/>
              <w:tr2bl w:val="nil"/>
            </w:tcBorders>
          </w:tcPr>
          <w:p w14:paraId="1DD5140D">
            <w:pPr>
              <w:pStyle w:val="30"/>
              <w:autoSpaceDE w:val="0"/>
              <w:autoSpaceDN w:val="0"/>
              <w:spacing w:line="219" w:lineRule="exact"/>
              <w:rPr>
                <w:rFonts w:ascii="Times New Roman" w:hAnsi="Times New Roman" w:cs="Times New Roman"/>
                <w:sz w:val="21"/>
                <w:szCs w:val="21"/>
              </w:rPr>
            </w:pPr>
          </w:p>
        </w:tc>
        <w:tc>
          <w:tcPr>
            <w:tcW w:w="849" w:type="dxa"/>
            <w:tcBorders>
              <w:tl2br w:val="nil"/>
              <w:tr2bl w:val="nil"/>
            </w:tcBorders>
          </w:tcPr>
          <w:p w14:paraId="48BFE3A8">
            <w:pPr>
              <w:pStyle w:val="30"/>
              <w:autoSpaceDE w:val="0"/>
              <w:autoSpaceDN w:val="0"/>
              <w:spacing w:line="219" w:lineRule="exact"/>
              <w:rPr>
                <w:rFonts w:ascii="Times New Roman" w:hAnsi="Times New Roman" w:cs="Times New Roman"/>
                <w:sz w:val="21"/>
                <w:szCs w:val="21"/>
              </w:rPr>
            </w:pPr>
          </w:p>
        </w:tc>
        <w:tc>
          <w:tcPr>
            <w:tcW w:w="928" w:type="dxa"/>
            <w:tcBorders>
              <w:tl2br w:val="nil"/>
              <w:tr2bl w:val="nil"/>
            </w:tcBorders>
          </w:tcPr>
          <w:p w14:paraId="49093284">
            <w:pPr>
              <w:pStyle w:val="30"/>
              <w:autoSpaceDE w:val="0"/>
              <w:autoSpaceDN w:val="0"/>
              <w:spacing w:line="219" w:lineRule="exact"/>
              <w:rPr>
                <w:rFonts w:ascii="Times New Roman" w:hAnsi="Times New Roman" w:cs="Times New Roman"/>
                <w:sz w:val="21"/>
                <w:szCs w:val="21"/>
              </w:rPr>
            </w:pPr>
          </w:p>
        </w:tc>
        <w:tc>
          <w:tcPr>
            <w:tcW w:w="978" w:type="dxa"/>
            <w:tcBorders>
              <w:tl2br w:val="nil"/>
              <w:tr2bl w:val="nil"/>
            </w:tcBorders>
          </w:tcPr>
          <w:p w14:paraId="74BE88BE">
            <w:pPr>
              <w:pStyle w:val="30"/>
              <w:autoSpaceDE w:val="0"/>
              <w:autoSpaceDN w:val="0"/>
              <w:spacing w:line="219" w:lineRule="exact"/>
              <w:rPr>
                <w:rFonts w:ascii="Times New Roman" w:hAnsi="Times New Roman" w:cs="Times New Roman"/>
                <w:sz w:val="21"/>
                <w:szCs w:val="21"/>
              </w:rPr>
            </w:pPr>
          </w:p>
        </w:tc>
        <w:tc>
          <w:tcPr>
            <w:tcW w:w="1033" w:type="dxa"/>
            <w:tcBorders>
              <w:tl2br w:val="nil"/>
              <w:tr2bl w:val="nil"/>
            </w:tcBorders>
          </w:tcPr>
          <w:p w14:paraId="748E1056">
            <w:pPr>
              <w:pStyle w:val="30"/>
              <w:autoSpaceDE w:val="0"/>
              <w:autoSpaceDN w:val="0"/>
              <w:spacing w:line="219" w:lineRule="exact"/>
              <w:rPr>
                <w:rFonts w:ascii="Times New Roman" w:hAnsi="Times New Roman" w:cs="Times New Roman"/>
                <w:sz w:val="21"/>
                <w:szCs w:val="21"/>
              </w:rPr>
            </w:pPr>
          </w:p>
        </w:tc>
        <w:tc>
          <w:tcPr>
            <w:tcW w:w="1334" w:type="dxa"/>
            <w:tcBorders>
              <w:tl2br w:val="nil"/>
              <w:tr2bl w:val="nil"/>
            </w:tcBorders>
          </w:tcPr>
          <w:p w14:paraId="43A33218">
            <w:pPr>
              <w:pStyle w:val="30"/>
              <w:autoSpaceDE w:val="0"/>
              <w:autoSpaceDN w:val="0"/>
              <w:spacing w:line="219" w:lineRule="exact"/>
              <w:rPr>
                <w:rFonts w:ascii="Times New Roman" w:hAnsi="Times New Roman" w:cs="Times New Roman"/>
                <w:sz w:val="21"/>
                <w:szCs w:val="21"/>
              </w:rPr>
            </w:pPr>
          </w:p>
        </w:tc>
        <w:tc>
          <w:tcPr>
            <w:tcW w:w="1455" w:type="dxa"/>
            <w:tcBorders>
              <w:tl2br w:val="nil"/>
              <w:tr2bl w:val="nil"/>
            </w:tcBorders>
          </w:tcPr>
          <w:p w14:paraId="1CBD8A03">
            <w:pPr>
              <w:pStyle w:val="30"/>
              <w:autoSpaceDE w:val="0"/>
              <w:autoSpaceDN w:val="0"/>
              <w:spacing w:line="219" w:lineRule="exact"/>
              <w:rPr>
                <w:rFonts w:ascii="Times New Roman" w:hAnsi="Times New Roman" w:cs="Times New Roman"/>
                <w:sz w:val="21"/>
                <w:szCs w:val="21"/>
              </w:rPr>
            </w:pPr>
          </w:p>
        </w:tc>
        <w:tc>
          <w:tcPr>
            <w:tcW w:w="1311" w:type="dxa"/>
            <w:tcBorders>
              <w:tl2br w:val="nil"/>
              <w:tr2bl w:val="nil"/>
            </w:tcBorders>
          </w:tcPr>
          <w:p w14:paraId="3F171592">
            <w:pPr>
              <w:pStyle w:val="30"/>
              <w:autoSpaceDE w:val="0"/>
              <w:autoSpaceDN w:val="0"/>
              <w:spacing w:line="219" w:lineRule="exact"/>
              <w:rPr>
                <w:rFonts w:ascii="Times New Roman" w:hAnsi="Times New Roman" w:cs="Times New Roman"/>
                <w:sz w:val="21"/>
                <w:szCs w:val="21"/>
              </w:rPr>
            </w:pPr>
          </w:p>
        </w:tc>
      </w:tr>
      <w:tr w14:paraId="047A8C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4" w:type="dxa"/>
            <w:tcBorders>
              <w:tl2br w:val="nil"/>
              <w:tr2bl w:val="nil"/>
            </w:tcBorders>
          </w:tcPr>
          <w:p w14:paraId="5ADBBEEB">
            <w:pPr>
              <w:autoSpaceDE w:val="0"/>
              <w:autoSpaceDN w:val="0"/>
              <w:spacing w:before="68" w:line="141" w:lineRule="exact"/>
              <w:ind w:left="345"/>
              <w:rPr>
                <w:sz w:val="21"/>
                <w:szCs w:val="21"/>
                <w:lang w:eastAsia="en-US"/>
              </w:rPr>
            </w:pPr>
          </w:p>
        </w:tc>
        <w:tc>
          <w:tcPr>
            <w:tcW w:w="649" w:type="dxa"/>
            <w:tcBorders>
              <w:tl2br w:val="nil"/>
              <w:tr2bl w:val="nil"/>
            </w:tcBorders>
          </w:tcPr>
          <w:p w14:paraId="61F643CF">
            <w:pPr>
              <w:pStyle w:val="30"/>
              <w:autoSpaceDE w:val="0"/>
              <w:autoSpaceDN w:val="0"/>
              <w:spacing w:line="210" w:lineRule="exact"/>
              <w:rPr>
                <w:rFonts w:ascii="Times New Roman" w:hAnsi="Times New Roman" w:cs="Times New Roman"/>
                <w:sz w:val="21"/>
                <w:szCs w:val="21"/>
              </w:rPr>
            </w:pPr>
          </w:p>
        </w:tc>
        <w:tc>
          <w:tcPr>
            <w:tcW w:w="640" w:type="dxa"/>
            <w:tcBorders>
              <w:tl2br w:val="nil"/>
              <w:tr2bl w:val="nil"/>
            </w:tcBorders>
          </w:tcPr>
          <w:p w14:paraId="267DEA52">
            <w:pPr>
              <w:pStyle w:val="30"/>
              <w:autoSpaceDE w:val="0"/>
              <w:autoSpaceDN w:val="0"/>
              <w:spacing w:line="210" w:lineRule="exact"/>
              <w:rPr>
                <w:rFonts w:ascii="Times New Roman" w:hAnsi="Times New Roman" w:cs="Times New Roman"/>
                <w:sz w:val="21"/>
                <w:szCs w:val="21"/>
              </w:rPr>
            </w:pPr>
          </w:p>
        </w:tc>
        <w:tc>
          <w:tcPr>
            <w:tcW w:w="870" w:type="dxa"/>
            <w:tcBorders>
              <w:tl2br w:val="nil"/>
              <w:tr2bl w:val="nil"/>
            </w:tcBorders>
          </w:tcPr>
          <w:p w14:paraId="2517C52C">
            <w:pPr>
              <w:pStyle w:val="30"/>
              <w:autoSpaceDE w:val="0"/>
              <w:autoSpaceDN w:val="0"/>
              <w:spacing w:line="210" w:lineRule="exact"/>
              <w:rPr>
                <w:rFonts w:ascii="Times New Roman" w:hAnsi="Times New Roman" w:cs="Times New Roman"/>
                <w:sz w:val="21"/>
                <w:szCs w:val="21"/>
              </w:rPr>
            </w:pPr>
          </w:p>
        </w:tc>
        <w:tc>
          <w:tcPr>
            <w:tcW w:w="811" w:type="dxa"/>
            <w:tcBorders>
              <w:tl2br w:val="nil"/>
              <w:tr2bl w:val="nil"/>
            </w:tcBorders>
          </w:tcPr>
          <w:p w14:paraId="5AA6BA8F">
            <w:pPr>
              <w:pStyle w:val="30"/>
              <w:autoSpaceDE w:val="0"/>
              <w:autoSpaceDN w:val="0"/>
              <w:spacing w:line="210" w:lineRule="exact"/>
              <w:rPr>
                <w:rFonts w:ascii="Times New Roman" w:hAnsi="Times New Roman" w:cs="Times New Roman"/>
                <w:sz w:val="21"/>
                <w:szCs w:val="21"/>
              </w:rPr>
            </w:pPr>
          </w:p>
        </w:tc>
        <w:tc>
          <w:tcPr>
            <w:tcW w:w="700" w:type="dxa"/>
            <w:tcBorders>
              <w:tl2br w:val="nil"/>
              <w:tr2bl w:val="nil"/>
            </w:tcBorders>
          </w:tcPr>
          <w:p w14:paraId="770482B5">
            <w:pPr>
              <w:pStyle w:val="30"/>
              <w:autoSpaceDE w:val="0"/>
              <w:autoSpaceDN w:val="0"/>
              <w:spacing w:line="210" w:lineRule="exact"/>
              <w:rPr>
                <w:rFonts w:ascii="Times New Roman" w:hAnsi="Times New Roman" w:cs="Times New Roman"/>
                <w:sz w:val="21"/>
                <w:szCs w:val="21"/>
              </w:rPr>
            </w:pPr>
          </w:p>
        </w:tc>
        <w:tc>
          <w:tcPr>
            <w:tcW w:w="678" w:type="dxa"/>
            <w:tcBorders>
              <w:tl2br w:val="nil"/>
              <w:tr2bl w:val="nil"/>
            </w:tcBorders>
          </w:tcPr>
          <w:p w14:paraId="2ECB03C5">
            <w:pPr>
              <w:pStyle w:val="30"/>
              <w:autoSpaceDE w:val="0"/>
              <w:autoSpaceDN w:val="0"/>
              <w:spacing w:line="210" w:lineRule="exact"/>
              <w:rPr>
                <w:rFonts w:ascii="Times New Roman" w:hAnsi="Times New Roman" w:cs="Times New Roman"/>
                <w:sz w:val="21"/>
                <w:szCs w:val="21"/>
              </w:rPr>
            </w:pPr>
          </w:p>
        </w:tc>
        <w:tc>
          <w:tcPr>
            <w:tcW w:w="849" w:type="dxa"/>
            <w:tcBorders>
              <w:tl2br w:val="nil"/>
              <w:tr2bl w:val="nil"/>
            </w:tcBorders>
          </w:tcPr>
          <w:p w14:paraId="3131BF11">
            <w:pPr>
              <w:pStyle w:val="30"/>
              <w:autoSpaceDE w:val="0"/>
              <w:autoSpaceDN w:val="0"/>
              <w:spacing w:line="210" w:lineRule="exact"/>
              <w:rPr>
                <w:rFonts w:ascii="Times New Roman" w:hAnsi="Times New Roman" w:cs="Times New Roman"/>
                <w:sz w:val="21"/>
                <w:szCs w:val="21"/>
              </w:rPr>
            </w:pPr>
          </w:p>
        </w:tc>
        <w:tc>
          <w:tcPr>
            <w:tcW w:w="928" w:type="dxa"/>
            <w:tcBorders>
              <w:tl2br w:val="nil"/>
              <w:tr2bl w:val="nil"/>
            </w:tcBorders>
          </w:tcPr>
          <w:p w14:paraId="43848DA4">
            <w:pPr>
              <w:pStyle w:val="30"/>
              <w:autoSpaceDE w:val="0"/>
              <w:autoSpaceDN w:val="0"/>
              <w:spacing w:line="210" w:lineRule="exact"/>
              <w:rPr>
                <w:rFonts w:ascii="Times New Roman" w:hAnsi="Times New Roman" w:cs="Times New Roman"/>
                <w:sz w:val="21"/>
                <w:szCs w:val="21"/>
              </w:rPr>
            </w:pPr>
          </w:p>
        </w:tc>
        <w:tc>
          <w:tcPr>
            <w:tcW w:w="978" w:type="dxa"/>
            <w:tcBorders>
              <w:tl2br w:val="nil"/>
              <w:tr2bl w:val="nil"/>
            </w:tcBorders>
          </w:tcPr>
          <w:p w14:paraId="69F25DFB">
            <w:pPr>
              <w:pStyle w:val="30"/>
              <w:autoSpaceDE w:val="0"/>
              <w:autoSpaceDN w:val="0"/>
              <w:spacing w:line="210" w:lineRule="exact"/>
              <w:rPr>
                <w:rFonts w:ascii="Times New Roman" w:hAnsi="Times New Roman" w:cs="Times New Roman"/>
                <w:sz w:val="21"/>
                <w:szCs w:val="21"/>
              </w:rPr>
            </w:pPr>
          </w:p>
        </w:tc>
        <w:tc>
          <w:tcPr>
            <w:tcW w:w="1033" w:type="dxa"/>
            <w:tcBorders>
              <w:tl2br w:val="nil"/>
              <w:tr2bl w:val="nil"/>
            </w:tcBorders>
          </w:tcPr>
          <w:p w14:paraId="2A6901B8">
            <w:pPr>
              <w:pStyle w:val="30"/>
              <w:autoSpaceDE w:val="0"/>
              <w:autoSpaceDN w:val="0"/>
              <w:spacing w:line="210" w:lineRule="exact"/>
              <w:rPr>
                <w:rFonts w:ascii="Times New Roman" w:hAnsi="Times New Roman" w:cs="Times New Roman"/>
                <w:sz w:val="21"/>
                <w:szCs w:val="21"/>
              </w:rPr>
            </w:pPr>
          </w:p>
        </w:tc>
        <w:tc>
          <w:tcPr>
            <w:tcW w:w="1334" w:type="dxa"/>
            <w:tcBorders>
              <w:tl2br w:val="nil"/>
              <w:tr2bl w:val="nil"/>
            </w:tcBorders>
          </w:tcPr>
          <w:p w14:paraId="168053CB">
            <w:pPr>
              <w:pStyle w:val="30"/>
              <w:autoSpaceDE w:val="0"/>
              <w:autoSpaceDN w:val="0"/>
              <w:spacing w:line="210" w:lineRule="exact"/>
              <w:rPr>
                <w:rFonts w:ascii="Times New Roman" w:hAnsi="Times New Roman" w:cs="Times New Roman"/>
                <w:sz w:val="21"/>
                <w:szCs w:val="21"/>
              </w:rPr>
            </w:pPr>
          </w:p>
        </w:tc>
        <w:tc>
          <w:tcPr>
            <w:tcW w:w="1455" w:type="dxa"/>
            <w:tcBorders>
              <w:tl2br w:val="nil"/>
              <w:tr2bl w:val="nil"/>
            </w:tcBorders>
          </w:tcPr>
          <w:p w14:paraId="04016B77">
            <w:pPr>
              <w:pStyle w:val="30"/>
              <w:autoSpaceDE w:val="0"/>
              <w:autoSpaceDN w:val="0"/>
              <w:spacing w:line="210" w:lineRule="exact"/>
              <w:rPr>
                <w:rFonts w:ascii="Times New Roman" w:hAnsi="Times New Roman" w:cs="Times New Roman"/>
                <w:sz w:val="21"/>
                <w:szCs w:val="21"/>
              </w:rPr>
            </w:pPr>
          </w:p>
        </w:tc>
        <w:tc>
          <w:tcPr>
            <w:tcW w:w="1311" w:type="dxa"/>
            <w:tcBorders>
              <w:tl2br w:val="nil"/>
              <w:tr2bl w:val="nil"/>
            </w:tcBorders>
          </w:tcPr>
          <w:p w14:paraId="1D7F122B">
            <w:pPr>
              <w:pStyle w:val="30"/>
              <w:autoSpaceDE w:val="0"/>
              <w:autoSpaceDN w:val="0"/>
              <w:spacing w:line="210" w:lineRule="exact"/>
              <w:rPr>
                <w:rFonts w:ascii="Times New Roman" w:hAnsi="Times New Roman" w:cs="Times New Roman"/>
                <w:sz w:val="21"/>
                <w:szCs w:val="21"/>
              </w:rPr>
            </w:pPr>
          </w:p>
        </w:tc>
      </w:tr>
      <w:tr w14:paraId="57B3AD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4" w:type="dxa"/>
            <w:tcBorders>
              <w:tl2br w:val="nil"/>
              <w:tr2bl w:val="nil"/>
            </w:tcBorders>
          </w:tcPr>
          <w:p w14:paraId="4C70812C">
            <w:pPr>
              <w:autoSpaceDE w:val="0"/>
              <w:autoSpaceDN w:val="0"/>
              <w:spacing w:before="79" w:line="140" w:lineRule="exact"/>
              <w:ind w:left="345"/>
              <w:rPr>
                <w:sz w:val="21"/>
                <w:szCs w:val="21"/>
                <w:lang w:eastAsia="en-US"/>
              </w:rPr>
            </w:pPr>
          </w:p>
        </w:tc>
        <w:tc>
          <w:tcPr>
            <w:tcW w:w="649" w:type="dxa"/>
            <w:tcBorders>
              <w:tl2br w:val="nil"/>
              <w:tr2bl w:val="nil"/>
            </w:tcBorders>
          </w:tcPr>
          <w:p w14:paraId="7EE89594">
            <w:pPr>
              <w:pStyle w:val="30"/>
              <w:autoSpaceDE w:val="0"/>
              <w:autoSpaceDN w:val="0"/>
              <w:spacing w:line="219" w:lineRule="exact"/>
              <w:rPr>
                <w:rFonts w:ascii="Times New Roman" w:hAnsi="Times New Roman" w:cs="Times New Roman"/>
                <w:sz w:val="21"/>
                <w:szCs w:val="21"/>
              </w:rPr>
            </w:pPr>
          </w:p>
        </w:tc>
        <w:tc>
          <w:tcPr>
            <w:tcW w:w="640" w:type="dxa"/>
            <w:tcBorders>
              <w:tl2br w:val="nil"/>
              <w:tr2bl w:val="nil"/>
            </w:tcBorders>
          </w:tcPr>
          <w:p w14:paraId="3DF371EA">
            <w:pPr>
              <w:pStyle w:val="30"/>
              <w:autoSpaceDE w:val="0"/>
              <w:autoSpaceDN w:val="0"/>
              <w:spacing w:line="219" w:lineRule="exact"/>
              <w:rPr>
                <w:rFonts w:ascii="Times New Roman" w:hAnsi="Times New Roman" w:cs="Times New Roman"/>
                <w:sz w:val="21"/>
                <w:szCs w:val="21"/>
              </w:rPr>
            </w:pPr>
          </w:p>
        </w:tc>
        <w:tc>
          <w:tcPr>
            <w:tcW w:w="870" w:type="dxa"/>
            <w:tcBorders>
              <w:tl2br w:val="nil"/>
              <w:tr2bl w:val="nil"/>
            </w:tcBorders>
          </w:tcPr>
          <w:p w14:paraId="1B6E3B30">
            <w:pPr>
              <w:pStyle w:val="30"/>
              <w:autoSpaceDE w:val="0"/>
              <w:autoSpaceDN w:val="0"/>
              <w:spacing w:line="219" w:lineRule="exact"/>
              <w:rPr>
                <w:rFonts w:ascii="Times New Roman" w:hAnsi="Times New Roman" w:cs="Times New Roman"/>
                <w:sz w:val="21"/>
                <w:szCs w:val="21"/>
              </w:rPr>
            </w:pPr>
          </w:p>
        </w:tc>
        <w:tc>
          <w:tcPr>
            <w:tcW w:w="811" w:type="dxa"/>
            <w:tcBorders>
              <w:tl2br w:val="nil"/>
              <w:tr2bl w:val="nil"/>
            </w:tcBorders>
          </w:tcPr>
          <w:p w14:paraId="1CE1E1B1">
            <w:pPr>
              <w:pStyle w:val="30"/>
              <w:autoSpaceDE w:val="0"/>
              <w:autoSpaceDN w:val="0"/>
              <w:spacing w:line="219" w:lineRule="exact"/>
              <w:rPr>
                <w:rFonts w:ascii="Times New Roman" w:hAnsi="Times New Roman" w:cs="Times New Roman"/>
                <w:sz w:val="21"/>
                <w:szCs w:val="21"/>
              </w:rPr>
            </w:pPr>
          </w:p>
        </w:tc>
        <w:tc>
          <w:tcPr>
            <w:tcW w:w="700" w:type="dxa"/>
            <w:tcBorders>
              <w:tl2br w:val="nil"/>
              <w:tr2bl w:val="nil"/>
            </w:tcBorders>
          </w:tcPr>
          <w:p w14:paraId="304B49DF">
            <w:pPr>
              <w:pStyle w:val="30"/>
              <w:autoSpaceDE w:val="0"/>
              <w:autoSpaceDN w:val="0"/>
              <w:spacing w:line="219" w:lineRule="exact"/>
              <w:rPr>
                <w:rFonts w:ascii="Times New Roman" w:hAnsi="Times New Roman" w:cs="Times New Roman"/>
                <w:sz w:val="21"/>
                <w:szCs w:val="21"/>
              </w:rPr>
            </w:pPr>
          </w:p>
        </w:tc>
        <w:tc>
          <w:tcPr>
            <w:tcW w:w="678" w:type="dxa"/>
            <w:tcBorders>
              <w:tl2br w:val="nil"/>
              <w:tr2bl w:val="nil"/>
            </w:tcBorders>
          </w:tcPr>
          <w:p w14:paraId="0B956FD2">
            <w:pPr>
              <w:pStyle w:val="30"/>
              <w:autoSpaceDE w:val="0"/>
              <w:autoSpaceDN w:val="0"/>
              <w:spacing w:line="219" w:lineRule="exact"/>
              <w:rPr>
                <w:rFonts w:ascii="Times New Roman" w:hAnsi="Times New Roman" w:cs="Times New Roman"/>
                <w:sz w:val="21"/>
                <w:szCs w:val="21"/>
              </w:rPr>
            </w:pPr>
          </w:p>
        </w:tc>
        <w:tc>
          <w:tcPr>
            <w:tcW w:w="849" w:type="dxa"/>
            <w:tcBorders>
              <w:tl2br w:val="nil"/>
              <w:tr2bl w:val="nil"/>
            </w:tcBorders>
          </w:tcPr>
          <w:p w14:paraId="77654202">
            <w:pPr>
              <w:pStyle w:val="30"/>
              <w:autoSpaceDE w:val="0"/>
              <w:autoSpaceDN w:val="0"/>
              <w:spacing w:line="219" w:lineRule="exact"/>
              <w:rPr>
                <w:rFonts w:ascii="Times New Roman" w:hAnsi="Times New Roman" w:cs="Times New Roman"/>
                <w:sz w:val="21"/>
                <w:szCs w:val="21"/>
              </w:rPr>
            </w:pPr>
          </w:p>
        </w:tc>
        <w:tc>
          <w:tcPr>
            <w:tcW w:w="928" w:type="dxa"/>
            <w:tcBorders>
              <w:tl2br w:val="nil"/>
              <w:tr2bl w:val="nil"/>
            </w:tcBorders>
          </w:tcPr>
          <w:p w14:paraId="46EB1998">
            <w:pPr>
              <w:pStyle w:val="30"/>
              <w:autoSpaceDE w:val="0"/>
              <w:autoSpaceDN w:val="0"/>
              <w:spacing w:line="219" w:lineRule="exact"/>
              <w:rPr>
                <w:rFonts w:ascii="Times New Roman" w:hAnsi="Times New Roman" w:cs="Times New Roman"/>
                <w:sz w:val="21"/>
                <w:szCs w:val="21"/>
              </w:rPr>
            </w:pPr>
          </w:p>
        </w:tc>
        <w:tc>
          <w:tcPr>
            <w:tcW w:w="978" w:type="dxa"/>
            <w:tcBorders>
              <w:tl2br w:val="nil"/>
              <w:tr2bl w:val="nil"/>
            </w:tcBorders>
          </w:tcPr>
          <w:p w14:paraId="3BE2B7CF">
            <w:pPr>
              <w:pStyle w:val="30"/>
              <w:autoSpaceDE w:val="0"/>
              <w:autoSpaceDN w:val="0"/>
              <w:spacing w:line="219" w:lineRule="exact"/>
              <w:rPr>
                <w:rFonts w:ascii="Times New Roman" w:hAnsi="Times New Roman" w:cs="Times New Roman"/>
                <w:sz w:val="21"/>
                <w:szCs w:val="21"/>
              </w:rPr>
            </w:pPr>
          </w:p>
        </w:tc>
        <w:tc>
          <w:tcPr>
            <w:tcW w:w="1033" w:type="dxa"/>
            <w:tcBorders>
              <w:tl2br w:val="nil"/>
              <w:tr2bl w:val="nil"/>
            </w:tcBorders>
          </w:tcPr>
          <w:p w14:paraId="7AE6C7BC">
            <w:pPr>
              <w:pStyle w:val="30"/>
              <w:autoSpaceDE w:val="0"/>
              <w:autoSpaceDN w:val="0"/>
              <w:spacing w:line="219" w:lineRule="exact"/>
              <w:rPr>
                <w:rFonts w:ascii="Times New Roman" w:hAnsi="Times New Roman" w:cs="Times New Roman"/>
                <w:sz w:val="21"/>
                <w:szCs w:val="21"/>
              </w:rPr>
            </w:pPr>
          </w:p>
        </w:tc>
        <w:tc>
          <w:tcPr>
            <w:tcW w:w="1334" w:type="dxa"/>
            <w:tcBorders>
              <w:tl2br w:val="nil"/>
              <w:tr2bl w:val="nil"/>
            </w:tcBorders>
          </w:tcPr>
          <w:p w14:paraId="3089E957">
            <w:pPr>
              <w:pStyle w:val="30"/>
              <w:autoSpaceDE w:val="0"/>
              <w:autoSpaceDN w:val="0"/>
              <w:spacing w:line="219" w:lineRule="exact"/>
              <w:rPr>
                <w:rFonts w:ascii="Times New Roman" w:hAnsi="Times New Roman" w:cs="Times New Roman"/>
                <w:sz w:val="21"/>
                <w:szCs w:val="21"/>
              </w:rPr>
            </w:pPr>
          </w:p>
        </w:tc>
        <w:tc>
          <w:tcPr>
            <w:tcW w:w="1455" w:type="dxa"/>
            <w:tcBorders>
              <w:tl2br w:val="nil"/>
              <w:tr2bl w:val="nil"/>
            </w:tcBorders>
          </w:tcPr>
          <w:p w14:paraId="33FA5CD9">
            <w:pPr>
              <w:pStyle w:val="30"/>
              <w:autoSpaceDE w:val="0"/>
              <w:autoSpaceDN w:val="0"/>
              <w:spacing w:line="219" w:lineRule="exact"/>
              <w:rPr>
                <w:rFonts w:ascii="Times New Roman" w:hAnsi="Times New Roman" w:cs="Times New Roman"/>
                <w:sz w:val="21"/>
                <w:szCs w:val="21"/>
              </w:rPr>
            </w:pPr>
          </w:p>
        </w:tc>
        <w:tc>
          <w:tcPr>
            <w:tcW w:w="1311" w:type="dxa"/>
            <w:tcBorders>
              <w:tl2br w:val="nil"/>
              <w:tr2bl w:val="nil"/>
            </w:tcBorders>
          </w:tcPr>
          <w:p w14:paraId="79BE5BEB">
            <w:pPr>
              <w:pStyle w:val="30"/>
              <w:autoSpaceDE w:val="0"/>
              <w:autoSpaceDN w:val="0"/>
              <w:spacing w:line="219" w:lineRule="exact"/>
              <w:rPr>
                <w:rFonts w:ascii="Times New Roman" w:hAnsi="Times New Roman" w:cs="Times New Roman"/>
                <w:sz w:val="21"/>
                <w:szCs w:val="21"/>
              </w:rPr>
            </w:pPr>
          </w:p>
        </w:tc>
      </w:tr>
      <w:tr w14:paraId="60FE5B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4" w:type="dxa"/>
            <w:tcBorders>
              <w:tl2br w:val="nil"/>
              <w:tr2bl w:val="nil"/>
            </w:tcBorders>
          </w:tcPr>
          <w:p w14:paraId="7148CE37">
            <w:pPr>
              <w:autoSpaceDE w:val="0"/>
              <w:autoSpaceDN w:val="0"/>
              <w:spacing w:before="81" w:line="138" w:lineRule="exact"/>
              <w:ind w:left="345"/>
              <w:rPr>
                <w:sz w:val="21"/>
                <w:szCs w:val="21"/>
                <w:lang w:eastAsia="en-US"/>
              </w:rPr>
            </w:pPr>
          </w:p>
        </w:tc>
        <w:tc>
          <w:tcPr>
            <w:tcW w:w="649" w:type="dxa"/>
            <w:tcBorders>
              <w:tl2br w:val="nil"/>
              <w:tr2bl w:val="nil"/>
            </w:tcBorders>
          </w:tcPr>
          <w:p w14:paraId="0C848EF6">
            <w:pPr>
              <w:pStyle w:val="30"/>
              <w:autoSpaceDE w:val="0"/>
              <w:autoSpaceDN w:val="0"/>
              <w:spacing w:line="219" w:lineRule="exact"/>
              <w:rPr>
                <w:rFonts w:ascii="Times New Roman" w:hAnsi="Times New Roman" w:cs="Times New Roman"/>
                <w:sz w:val="21"/>
                <w:szCs w:val="21"/>
              </w:rPr>
            </w:pPr>
          </w:p>
        </w:tc>
        <w:tc>
          <w:tcPr>
            <w:tcW w:w="640" w:type="dxa"/>
            <w:tcBorders>
              <w:tl2br w:val="nil"/>
              <w:tr2bl w:val="nil"/>
            </w:tcBorders>
          </w:tcPr>
          <w:p w14:paraId="1069FE98">
            <w:pPr>
              <w:pStyle w:val="30"/>
              <w:autoSpaceDE w:val="0"/>
              <w:autoSpaceDN w:val="0"/>
              <w:spacing w:line="219" w:lineRule="exact"/>
              <w:rPr>
                <w:rFonts w:ascii="Times New Roman" w:hAnsi="Times New Roman" w:cs="Times New Roman"/>
                <w:sz w:val="21"/>
                <w:szCs w:val="21"/>
              </w:rPr>
            </w:pPr>
          </w:p>
        </w:tc>
        <w:tc>
          <w:tcPr>
            <w:tcW w:w="870" w:type="dxa"/>
            <w:tcBorders>
              <w:tl2br w:val="nil"/>
              <w:tr2bl w:val="nil"/>
            </w:tcBorders>
          </w:tcPr>
          <w:p w14:paraId="60B07FF8">
            <w:pPr>
              <w:pStyle w:val="30"/>
              <w:autoSpaceDE w:val="0"/>
              <w:autoSpaceDN w:val="0"/>
              <w:spacing w:line="219" w:lineRule="exact"/>
              <w:rPr>
                <w:rFonts w:ascii="Times New Roman" w:hAnsi="Times New Roman" w:cs="Times New Roman"/>
                <w:sz w:val="21"/>
                <w:szCs w:val="21"/>
              </w:rPr>
            </w:pPr>
          </w:p>
        </w:tc>
        <w:tc>
          <w:tcPr>
            <w:tcW w:w="811" w:type="dxa"/>
            <w:tcBorders>
              <w:tl2br w:val="nil"/>
              <w:tr2bl w:val="nil"/>
            </w:tcBorders>
          </w:tcPr>
          <w:p w14:paraId="17DDC88E">
            <w:pPr>
              <w:pStyle w:val="30"/>
              <w:autoSpaceDE w:val="0"/>
              <w:autoSpaceDN w:val="0"/>
              <w:spacing w:line="219" w:lineRule="exact"/>
              <w:rPr>
                <w:rFonts w:ascii="Times New Roman" w:hAnsi="Times New Roman" w:cs="Times New Roman"/>
                <w:sz w:val="21"/>
                <w:szCs w:val="21"/>
              </w:rPr>
            </w:pPr>
          </w:p>
        </w:tc>
        <w:tc>
          <w:tcPr>
            <w:tcW w:w="700" w:type="dxa"/>
            <w:tcBorders>
              <w:tl2br w:val="nil"/>
              <w:tr2bl w:val="nil"/>
            </w:tcBorders>
          </w:tcPr>
          <w:p w14:paraId="36C76898">
            <w:pPr>
              <w:pStyle w:val="30"/>
              <w:autoSpaceDE w:val="0"/>
              <w:autoSpaceDN w:val="0"/>
              <w:spacing w:line="219" w:lineRule="exact"/>
              <w:rPr>
                <w:rFonts w:ascii="Times New Roman" w:hAnsi="Times New Roman" w:cs="Times New Roman"/>
                <w:sz w:val="21"/>
                <w:szCs w:val="21"/>
              </w:rPr>
            </w:pPr>
          </w:p>
        </w:tc>
        <w:tc>
          <w:tcPr>
            <w:tcW w:w="678" w:type="dxa"/>
            <w:tcBorders>
              <w:tl2br w:val="nil"/>
              <w:tr2bl w:val="nil"/>
            </w:tcBorders>
          </w:tcPr>
          <w:p w14:paraId="1FA9FDA8">
            <w:pPr>
              <w:pStyle w:val="30"/>
              <w:autoSpaceDE w:val="0"/>
              <w:autoSpaceDN w:val="0"/>
              <w:spacing w:line="219" w:lineRule="exact"/>
              <w:rPr>
                <w:rFonts w:ascii="Times New Roman" w:hAnsi="Times New Roman" w:cs="Times New Roman"/>
                <w:sz w:val="21"/>
                <w:szCs w:val="21"/>
              </w:rPr>
            </w:pPr>
          </w:p>
        </w:tc>
        <w:tc>
          <w:tcPr>
            <w:tcW w:w="849" w:type="dxa"/>
            <w:tcBorders>
              <w:tl2br w:val="nil"/>
              <w:tr2bl w:val="nil"/>
            </w:tcBorders>
          </w:tcPr>
          <w:p w14:paraId="5C12F59A">
            <w:pPr>
              <w:pStyle w:val="30"/>
              <w:autoSpaceDE w:val="0"/>
              <w:autoSpaceDN w:val="0"/>
              <w:spacing w:line="219" w:lineRule="exact"/>
              <w:rPr>
                <w:rFonts w:ascii="Times New Roman" w:hAnsi="Times New Roman" w:cs="Times New Roman"/>
                <w:sz w:val="21"/>
                <w:szCs w:val="21"/>
              </w:rPr>
            </w:pPr>
          </w:p>
        </w:tc>
        <w:tc>
          <w:tcPr>
            <w:tcW w:w="928" w:type="dxa"/>
            <w:tcBorders>
              <w:tl2br w:val="nil"/>
              <w:tr2bl w:val="nil"/>
            </w:tcBorders>
          </w:tcPr>
          <w:p w14:paraId="5BCF158F">
            <w:pPr>
              <w:pStyle w:val="30"/>
              <w:autoSpaceDE w:val="0"/>
              <w:autoSpaceDN w:val="0"/>
              <w:spacing w:line="219" w:lineRule="exact"/>
              <w:rPr>
                <w:rFonts w:ascii="Times New Roman" w:hAnsi="Times New Roman" w:cs="Times New Roman"/>
                <w:sz w:val="21"/>
                <w:szCs w:val="21"/>
              </w:rPr>
            </w:pPr>
          </w:p>
        </w:tc>
        <w:tc>
          <w:tcPr>
            <w:tcW w:w="978" w:type="dxa"/>
            <w:tcBorders>
              <w:tl2br w:val="nil"/>
              <w:tr2bl w:val="nil"/>
            </w:tcBorders>
          </w:tcPr>
          <w:p w14:paraId="529B3A80">
            <w:pPr>
              <w:pStyle w:val="30"/>
              <w:autoSpaceDE w:val="0"/>
              <w:autoSpaceDN w:val="0"/>
              <w:spacing w:line="219" w:lineRule="exact"/>
              <w:rPr>
                <w:rFonts w:ascii="Times New Roman" w:hAnsi="Times New Roman" w:cs="Times New Roman"/>
                <w:sz w:val="21"/>
                <w:szCs w:val="21"/>
              </w:rPr>
            </w:pPr>
          </w:p>
        </w:tc>
        <w:tc>
          <w:tcPr>
            <w:tcW w:w="1033" w:type="dxa"/>
            <w:tcBorders>
              <w:tl2br w:val="nil"/>
              <w:tr2bl w:val="nil"/>
            </w:tcBorders>
          </w:tcPr>
          <w:p w14:paraId="747C08D7">
            <w:pPr>
              <w:pStyle w:val="30"/>
              <w:autoSpaceDE w:val="0"/>
              <w:autoSpaceDN w:val="0"/>
              <w:spacing w:line="219" w:lineRule="exact"/>
              <w:rPr>
                <w:rFonts w:ascii="Times New Roman" w:hAnsi="Times New Roman" w:cs="Times New Roman"/>
                <w:sz w:val="21"/>
                <w:szCs w:val="21"/>
              </w:rPr>
            </w:pPr>
          </w:p>
        </w:tc>
        <w:tc>
          <w:tcPr>
            <w:tcW w:w="1334" w:type="dxa"/>
            <w:tcBorders>
              <w:tl2br w:val="nil"/>
              <w:tr2bl w:val="nil"/>
            </w:tcBorders>
          </w:tcPr>
          <w:p w14:paraId="0E7D327F">
            <w:pPr>
              <w:pStyle w:val="30"/>
              <w:autoSpaceDE w:val="0"/>
              <w:autoSpaceDN w:val="0"/>
              <w:spacing w:line="219" w:lineRule="exact"/>
              <w:rPr>
                <w:rFonts w:ascii="Times New Roman" w:hAnsi="Times New Roman" w:cs="Times New Roman"/>
                <w:sz w:val="21"/>
                <w:szCs w:val="21"/>
              </w:rPr>
            </w:pPr>
          </w:p>
        </w:tc>
        <w:tc>
          <w:tcPr>
            <w:tcW w:w="1455" w:type="dxa"/>
            <w:tcBorders>
              <w:tl2br w:val="nil"/>
              <w:tr2bl w:val="nil"/>
            </w:tcBorders>
          </w:tcPr>
          <w:p w14:paraId="6F82EF4E">
            <w:pPr>
              <w:pStyle w:val="30"/>
              <w:autoSpaceDE w:val="0"/>
              <w:autoSpaceDN w:val="0"/>
              <w:spacing w:line="219" w:lineRule="exact"/>
              <w:rPr>
                <w:rFonts w:ascii="Times New Roman" w:hAnsi="Times New Roman" w:cs="Times New Roman"/>
                <w:sz w:val="21"/>
                <w:szCs w:val="21"/>
              </w:rPr>
            </w:pPr>
          </w:p>
        </w:tc>
        <w:tc>
          <w:tcPr>
            <w:tcW w:w="1311" w:type="dxa"/>
            <w:tcBorders>
              <w:tl2br w:val="nil"/>
              <w:tr2bl w:val="nil"/>
            </w:tcBorders>
          </w:tcPr>
          <w:p w14:paraId="0C254768">
            <w:pPr>
              <w:pStyle w:val="30"/>
              <w:autoSpaceDE w:val="0"/>
              <w:autoSpaceDN w:val="0"/>
              <w:spacing w:line="219" w:lineRule="exact"/>
              <w:rPr>
                <w:rFonts w:ascii="Times New Roman" w:hAnsi="Times New Roman" w:cs="Times New Roman"/>
                <w:sz w:val="21"/>
                <w:szCs w:val="21"/>
              </w:rPr>
            </w:pPr>
          </w:p>
        </w:tc>
      </w:tr>
      <w:tr w14:paraId="5F47FF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4" w:type="dxa"/>
            <w:tcBorders>
              <w:tl2br w:val="nil"/>
              <w:tr2bl w:val="nil"/>
            </w:tcBorders>
          </w:tcPr>
          <w:p w14:paraId="66660D6E">
            <w:pPr>
              <w:autoSpaceDE w:val="0"/>
              <w:autoSpaceDN w:val="0"/>
              <w:spacing w:before="71" w:line="138" w:lineRule="exact"/>
              <w:ind w:left="345"/>
              <w:rPr>
                <w:sz w:val="21"/>
                <w:szCs w:val="21"/>
                <w:lang w:eastAsia="en-US"/>
              </w:rPr>
            </w:pPr>
          </w:p>
        </w:tc>
        <w:tc>
          <w:tcPr>
            <w:tcW w:w="649" w:type="dxa"/>
            <w:tcBorders>
              <w:tl2br w:val="nil"/>
              <w:tr2bl w:val="nil"/>
            </w:tcBorders>
          </w:tcPr>
          <w:p w14:paraId="02F64C64">
            <w:pPr>
              <w:pStyle w:val="30"/>
              <w:autoSpaceDE w:val="0"/>
              <w:autoSpaceDN w:val="0"/>
              <w:spacing w:line="210" w:lineRule="exact"/>
              <w:rPr>
                <w:rFonts w:ascii="Times New Roman" w:hAnsi="Times New Roman" w:cs="Times New Roman"/>
                <w:sz w:val="21"/>
                <w:szCs w:val="21"/>
              </w:rPr>
            </w:pPr>
          </w:p>
        </w:tc>
        <w:tc>
          <w:tcPr>
            <w:tcW w:w="640" w:type="dxa"/>
            <w:tcBorders>
              <w:tl2br w:val="nil"/>
              <w:tr2bl w:val="nil"/>
            </w:tcBorders>
          </w:tcPr>
          <w:p w14:paraId="0F47EBF2">
            <w:pPr>
              <w:pStyle w:val="30"/>
              <w:autoSpaceDE w:val="0"/>
              <w:autoSpaceDN w:val="0"/>
              <w:spacing w:line="210" w:lineRule="exact"/>
              <w:rPr>
                <w:rFonts w:ascii="Times New Roman" w:hAnsi="Times New Roman" w:cs="Times New Roman"/>
                <w:sz w:val="21"/>
                <w:szCs w:val="21"/>
              </w:rPr>
            </w:pPr>
          </w:p>
        </w:tc>
        <w:tc>
          <w:tcPr>
            <w:tcW w:w="870" w:type="dxa"/>
            <w:tcBorders>
              <w:tl2br w:val="nil"/>
              <w:tr2bl w:val="nil"/>
            </w:tcBorders>
          </w:tcPr>
          <w:p w14:paraId="661AE169">
            <w:pPr>
              <w:pStyle w:val="30"/>
              <w:autoSpaceDE w:val="0"/>
              <w:autoSpaceDN w:val="0"/>
              <w:spacing w:line="210" w:lineRule="exact"/>
              <w:rPr>
                <w:rFonts w:ascii="Times New Roman" w:hAnsi="Times New Roman" w:cs="Times New Roman"/>
                <w:sz w:val="21"/>
                <w:szCs w:val="21"/>
              </w:rPr>
            </w:pPr>
          </w:p>
        </w:tc>
        <w:tc>
          <w:tcPr>
            <w:tcW w:w="811" w:type="dxa"/>
            <w:tcBorders>
              <w:tl2br w:val="nil"/>
              <w:tr2bl w:val="nil"/>
            </w:tcBorders>
          </w:tcPr>
          <w:p w14:paraId="1AF668FA">
            <w:pPr>
              <w:pStyle w:val="30"/>
              <w:autoSpaceDE w:val="0"/>
              <w:autoSpaceDN w:val="0"/>
              <w:spacing w:line="210" w:lineRule="exact"/>
              <w:rPr>
                <w:rFonts w:ascii="Times New Roman" w:hAnsi="Times New Roman" w:cs="Times New Roman"/>
                <w:sz w:val="21"/>
                <w:szCs w:val="21"/>
              </w:rPr>
            </w:pPr>
          </w:p>
        </w:tc>
        <w:tc>
          <w:tcPr>
            <w:tcW w:w="700" w:type="dxa"/>
            <w:tcBorders>
              <w:tl2br w:val="nil"/>
              <w:tr2bl w:val="nil"/>
            </w:tcBorders>
          </w:tcPr>
          <w:p w14:paraId="37663D82">
            <w:pPr>
              <w:pStyle w:val="30"/>
              <w:autoSpaceDE w:val="0"/>
              <w:autoSpaceDN w:val="0"/>
              <w:spacing w:line="210" w:lineRule="exact"/>
              <w:rPr>
                <w:rFonts w:ascii="Times New Roman" w:hAnsi="Times New Roman" w:cs="Times New Roman"/>
                <w:sz w:val="21"/>
                <w:szCs w:val="21"/>
              </w:rPr>
            </w:pPr>
          </w:p>
        </w:tc>
        <w:tc>
          <w:tcPr>
            <w:tcW w:w="678" w:type="dxa"/>
            <w:tcBorders>
              <w:tl2br w:val="nil"/>
              <w:tr2bl w:val="nil"/>
            </w:tcBorders>
          </w:tcPr>
          <w:p w14:paraId="6C073616">
            <w:pPr>
              <w:pStyle w:val="30"/>
              <w:autoSpaceDE w:val="0"/>
              <w:autoSpaceDN w:val="0"/>
              <w:spacing w:line="210" w:lineRule="exact"/>
              <w:rPr>
                <w:rFonts w:ascii="Times New Roman" w:hAnsi="Times New Roman" w:cs="Times New Roman"/>
                <w:sz w:val="21"/>
                <w:szCs w:val="21"/>
              </w:rPr>
            </w:pPr>
          </w:p>
        </w:tc>
        <w:tc>
          <w:tcPr>
            <w:tcW w:w="849" w:type="dxa"/>
            <w:tcBorders>
              <w:tl2br w:val="nil"/>
              <w:tr2bl w:val="nil"/>
            </w:tcBorders>
          </w:tcPr>
          <w:p w14:paraId="0659681E">
            <w:pPr>
              <w:pStyle w:val="30"/>
              <w:autoSpaceDE w:val="0"/>
              <w:autoSpaceDN w:val="0"/>
              <w:spacing w:line="210" w:lineRule="exact"/>
              <w:rPr>
                <w:rFonts w:ascii="Times New Roman" w:hAnsi="Times New Roman" w:cs="Times New Roman"/>
                <w:sz w:val="21"/>
                <w:szCs w:val="21"/>
              </w:rPr>
            </w:pPr>
          </w:p>
        </w:tc>
        <w:tc>
          <w:tcPr>
            <w:tcW w:w="928" w:type="dxa"/>
            <w:tcBorders>
              <w:tl2br w:val="nil"/>
              <w:tr2bl w:val="nil"/>
            </w:tcBorders>
          </w:tcPr>
          <w:p w14:paraId="7F94D331">
            <w:pPr>
              <w:pStyle w:val="30"/>
              <w:autoSpaceDE w:val="0"/>
              <w:autoSpaceDN w:val="0"/>
              <w:spacing w:line="210" w:lineRule="exact"/>
              <w:rPr>
                <w:rFonts w:ascii="Times New Roman" w:hAnsi="Times New Roman" w:cs="Times New Roman"/>
                <w:sz w:val="21"/>
                <w:szCs w:val="21"/>
              </w:rPr>
            </w:pPr>
          </w:p>
        </w:tc>
        <w:tc>
          <w:tcPr>
            <w:tcW w:w="978" w:type="dxa"/>
            <w:tcBorders>
              <w:tl2br w:val="nil"/>
              <w:tr2bl w:val="nil"/>
            </w:tcBorders>
          </w:tcPr>
          <w:p w14:paraId="7F2C8F0A">
            <w:pPr>
              <w:pStyle w:val="30"/>
              <w:autoSpaceDE w:val="0"/>
              <w:autoSpaceDN w:val="0"/>
              <w:spacing w:line="210" w:lineRule="exact"/>
              <w:rPr>
                <w:rFonts w:ascii="Times New Roman" w:hAnsi="Times New Roman" w:cs="Times New Roman"/>
                <w:sz w:val="21"/>
                <w:szCs w:val="21"/>
              </w:rPr>
            </w:pPr>
          </w:p>
        </w:tc>
        <w:tc>
          <w:tcPr>
            <w:tcW w:w="1033" w:type="dxa"/>
            <w:tcBorders>
              <w:tl2br w:val="nil"/>
              <w:tr2bl w:val="nil"/>
            </w:tcBorders>
          </w:tcPr>
          <w:p w14:paraId="1BA9E22A">
            <w:pPr>
              <w:pStyle w:val="30"/>
              <w:autoSpaceDE w:val="0"/>
              <w:autoSpaceDN w:val="0"/>
              <w:spacing w:line="210" w:lineRule="exact"/>
              <w:rPr>
                <w:rFonts w:ascii="Times New Roman" w:hAnsi="Times New Roman" w:cs="Times New Roman"/>
                <w:sz w:val="21"/>
                <w:szCs w:val="21"/>
              </w:rPr>
            </w:pPr>
          </w:p>
        </w:tc>
        <w:tc>
          <w:tcPr>
            <w:tcW w:w="1334" w:type="dxa"/>
            <w:tcBorders>
              <w:tl2br w:val="nil"/>
              <w:tr2bl w:val="nil"/>
            </w:tcBorders>
          </w:tcPr>
          <w:p w14:paraId="371FD9CB">
            <w:pPr>
              <w:pStyle w:val="30"/>
              <w:autoSpaceDE w:val="0"/>
              <w:autoSpaceDN w:val="0"/>
              <w:spacing w:line="210" w:lineRule="exact"/>
              <w:rPr>
                <w:rFonts w:ascii="Times New Roman" w:hAnsi="Times New Roman" w:cs="Times New Roman"/>
                <w:sz w:val="21"/>
                <w:szCs w:val="21"/>
              </w:rPr>
            </w:pPr>
          </w:p>
        </w:tc>
        <w:tc>
          <w:tcPr>
            <w:tcW w:w="1455" w:type="dxa"/>
            <w:tcBorders>
              <w:tl2br w:val="nil"/>
              <w:tr2bl w:val="nil"/>
            </w:tcBorders>
          </w:tcPr>
          <w:p w14:paraId="575AB9C7">
            <w:pPr>
              <w:pStyle w:val="30"/>
              <w:autoSpaceDE w:val="0"/>
              <w:autoSpaceDN w:val="0"/>
              <w:spacing w:line="210" w:lineRule="exact"/>
              <w:rPr>
                <w:rFonts w:ascii="Times New Roman" w:hAnsi="Times New Roman" w:cs="Times New Roman"/>
                <w:sz w:val="21"/>
                <w:szCs w:val="21"/>
              </w:rPr>
            </w:pPr>
          </w:p>
        </w:tc>
        <w:tc>
          <w:tcPr>
            <w:tcW w:w="1311" w:type="dxa"/>
            <w:tcBorders>
              <w:tl2br w:val="nil"/>
              <w:tr2bl w:val="nil"/>
            </w:tcBorders>
          </w:tcPr>
          <w:p w14:paraId="47C7602D">
            <w:pPr>
              <w:pStyle w:val="30"/>
              <w:autoSpaceDE w:val="0"/>
              <w:autoSpaceDN w:val="0"/>
              <w:spacing w:line="210" w:lineRule="exact"/>
              <w:rPr>
                <w:rFonts w:ascii="Times New Roman" w:hAnsi="Times New Roman" w:cs="Times New Roman"/>
                <w:sz w:val="21"/>
                <w:szCs w:val="21"/>
              </w:rPr>
            </w:pPr>
          </w:p>
        </w:tc>
      </w:tr>
      <w:tr w14:paraId="7059E7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4" w:type="dxa"/>
            <w:tcBorders>
              <w:tl2br w:val="nil"/>
              <w:tr2bl w:val="nil"/>
            </w:tcBorders>
          </w:tcPr>
          <w:p w14:paraId="78C80D17">
            <w:pPr>
              <w:autoSpaceDE w:val="0"/>
              <w:autoSpaceDN w:val="0"/>
              <w:spacing w:before="81" w:line="138" w:lineRule="exact"/>
              <w:ind w:left="345"/>
              <w:rPr>
                <w:sz w:val="21"/>
                <w:szCs w:val="21"/>
                <w:lang w:eastAsia="en-US"/>
              </w:rPr>
            </w:pPr>
          </w:p>
        </w:tc>
        <w:tc>
          <w:tcPr>
            <w:tcW w:w="649" w:type="dxa"/>
            <w:tcBorders>
              <w:tl2br w:val="nil"/>
              <w:tr2bl w:val="nil"/>
            </w:tcBorders>
          </w:tcPr>
          <w:p w14:paraId="6732DB8F">
            <w:pPr>
              <w:pStyle w:val="30"/>
              <w:autoSpaceDE w:val="0"/>
              <w:autoSpaceDN w:val="0"/>
              <w:spacing w:line="219" w:lineRule="exact"/>
              <w:rPr>
                <w:rFonts w:ascii="Times New Roman" w:hAnsi="Times New Roman" w:cs="Times New Roman"/>
                <w:sz w:val="21"/>
                <w:szCs w:val="21"/>
              </w:rPr>
            </w:pPr>
          </w:p>
        </w:tc>
        <w:tc>
          <w:tcPr>
            <w:tcW w:w="640" w:type="dxa"/>
            <w:tcBorders>
              <w:tl2br w:val="nil"/>
              <w:tr2bl w:val="nil"/>
            </w:tcBorders>
          </w:tcPr>
          <w:p w14:paraId="446AA0EE">
            <w:pPr>
              <w:pStyle w:val="30"/>
              <w:autoSpaceDE w:val="0"/>
              <w:autoSpaceDN w:val="0"/>
              <w:spacing w:line="219" w:lineRule="exact"/>
              <w:rPr>
                <w:rFonts w:ascii="Times New Roman" w:hAnsi="Times New Roman" w:cs="Times New Roman"/>
                <w:sz w:val="21"/>
                <w:szCs w:val="21"/>
              </w:rPr>
            </w:pPr>
          </w:p>
        </w:tc>
        <w:tc>
          <w:tcPr>
            <w:tcW w:w="870" w:type="dxa"/>
            <w:tcBorders>
              <w:tl2br w:val="nil"/>
              <w:tr2bl w:val="nil"/>
            </w:tcBorders>
          </w:tcPr>
          <w:p w14:paraId="099E8831">
            <w:pPr>
              <w:pStyle w:val="30"/>
              <w:autoSpaceDE w:val="0"/>
              <w:autoSpaceDN w:val="0"/>
              <w:spacing w:line="219" w:lineRule="exact"/>
              <w:rPr>
                <w:rFonts w:ascii="Times New Roman" w:hAnsi="Times New Roman" w:cs="Times New Roman"/>
                <w:sz w:val="21"/>
                <w:szCs w:val="21"/>
              </w:rPr>
            </w:pPr>
          </w:p>
        </w:tc>
        <w:tc>
          <w:tcPr>
            <w:tcW w:w="811" w:type="dxa"/>
            <w:tcBorders>
              <w:tl2br w:val="nil"/>
              <w:tr2bl w:val="nil"/>
            </w:tcBorders>
          </w:tcPr>
          <w:p w14:paraId="34C3ADAF">
            <w:pPr>
              <w:pStyle w:val="30"/>
              <w:autoSpaceDE w:val="0"/>
              <w:autoSpaceDN w:val="0"/>
              <w:spacing w:line="219" w:lineRule="exact"/>
              <w:rPr>
                <w:rFonts w:ascii="Times New Roman" w:hAnsi="Times New Roman" w:cs="Times New Roman"/>
                <w:sz w:val="21"/>
                <w:szCs w:val="21"/>
              </w:rPr>
            </w:pPr>
          </w:p>
        </w:tc>
        <w:tc>
          <w:tcPr>
            <w:tcW w:w="700" w:type="dxa"/>
            <w:tcBorders>
              <w:tl2br w:val="nil"/>
              <w:tr2bl w:val="nil"/>
            </w:tcBorders>
          </w:tcPr>
          <w:p w14:paraId="6A3D3B19">
            <w:pPr>
              <w:pStyle w:val="30"/>
              <w:autoSpaceDE w:val="0"/>
              <w:autoSpaceDN w:val="0"/>
              <w:spacing w:line="219" w:lineRule="exact"/>
              <w:rPr>
                <w:rFonts w:ascii="Times New Roman" w:hAnsi="Times New Roman" w:cs="Times New Roman"/>
                <w:sz w:val="21"/>
                <w:szCs w:val="21"/>
              </w:rPr>
            </w:pPr>
          </w:p>
        </w:tc>
        <w:tc>
          <w:tcPr>
            <w:tcW w:w="678" w:type="dxa"/>
            <w:tcBorders>
              <w:tl2br w:val="nil"/>
              <w:tr2bl w:val="nil"/>
            </w:tcBorders>
          </w:tcPr>
          <w:p w14:paraId="33DF1632">
            <w:pPr>
              <w:pStyle w:val="30"/>
              <w:autoSpaceDE w:val="0"/>
              <w:autoSpaceDN w:val="0"/>
              <w:spacing w:line="219" w:lineRule="exact"/>
              <w:rPr>
                <w:rFonts w:ascii="Times New Roman" w:hAnsi="Times New Roman" w:cs="Times New Roman"/>
                <w:sz w:val="21"/>
                <w:szCs w:val="21"/>
              </w:rPr>
            </w:pPr>
          </w:p>
        </w:tc>
        <w:tc>
          <w:tcPr>
            <w:tcW w:w="849" w:type="dxa"/>
            <w:tcBorders>
              <w:tl2br w:val="nil"/>
              <w:tr2bl w:val="nil"/>
            </w:tcBorders>
          </w:tcPr>
          <w:p w14:paraId="68F0A302">
            <w:pPr>
              <w:pStyle w:val="30"/>
              <w:autoSpaceDE w:val="0"/>
              <w:autoSpaceDN w:val="0"/>
              <w:spacing w:line="219" w:lineRule="exact"/>
              <w:rPr>
                <w:rFonts w:ascii="Times New Roman" w:hAnsi="Times New Roman" w:cs="Times New Roman"/>
                <w:sz w:val="21"/>
                <w:szCs w:val="21"/>
              </w:rPr>
            </w:pPr>
          </w:p>
        </w:tc>
        <w:tc>
          <w:tcPr>
            <w:tcW w:w="928" w:type="dxa"/>
            <w:tcBorders>
              <w:tl2br w:val="nil"/>
              <w:tr2bl w:val="nil"/>
            </w:tcBorders>
          </w:tcPr>
          <w:p w14:paraId="16DE2FA9">
            <w:pPr>
              <w:pStyle w:val="30"/>
              <w:autoSpaceDE w:val="0"/>
              <w:autoSpaceDN w:val="0"/>
              <w:spacing w:line="219" w:lineRule="exact"/>
              <w:rPr>
                <w:rFonts w:ascii="Times New Roman" w:hAnsi="Times New Roman" w:cs="Times New Roman"/>
                <w:sz w:val="21"/>
                <w:szCs w:val="21"/>
              </w:rPr>
            </w:pPr>
          </w:p>
        </w:tc>
        <w:tc>
          <w:tcPr>
            <w:tcW w:w="978" w:type="dxa"/>
            <w:tcBorders>
              <w:tl2br w:val="nil"/>
              <w:tr2bl w:val="nil"/>
            </w:tcBorders>
          </w:tcPr>
          <w:p w14:paraId="702EA225">
            <w:pPr>
              <w:pStyle w:val="30"/>
              <w:autoSpaceDE w:val="0"/>
              <w:autoSpaceDN w:val="0"/>
              <w:spacing w:line="219" w:lineRule="exact"/>
              <w:rPr>
                <w:rFonts w:ascii="Times New Roman" w:hAnsi="Times New Roman" w:cs="Times New Roman"/>
                <w:sz w:val="21"/>
                <w:szCs w:val="21"/>
              </w:rPr>
            </w:pPr>
          </w:p>
        </w:tc>
        <w:tc>
          <w:tcPr>
            <w:tcW w:w="1033" w:type="dxa"/>
            <w:tcBorders>
              <w:tl2br w:val="nil"/>
              <w:tr2bl w:val="nil"/>
            </w:tcBorders>
          </w:tcPr>
          <w:p w14:paraId="09B6DDC9">
            <w:pPr>
              <w:pStyle w:val="30"/>
              <w:autoSpaceDE w:val="0"/>
              <w:autoSpaceDN w:val="0"/>
              <w:spacing w:line="219" w:lineRule="exact"/>
              <w:rPr>
                <w:rFonts w:ascii="Times New Roman" w:hAnsi="Times New Roman" w:cs="Times New Roman"/>
                <w:sz w:val="21"/>
                <w:szCs w:val="21"/>
              </w:rPr>
            </w:pPr>
          </w:p>
        </w:tc>
        <w:tc>
          <w:tcPr>
            <w:tcW w:w="1334" w:type="dxa"/>
            <w:tcBorders>
              <w:tl2br w:val="nil"/>
              <w:tr2bl w:val="nil"/>
            </w:tcBorders>
          </w:tcPr>
          <w:p w14:paraId="095DDA57">
            <w:pPr>
              <w:pStyle w:val="30"/>
              <w:autoSpaceDE w:val="0"/>
              <w:autoSpaceDN w:val="0"/>
              <w:spacing w:line="219" w:lineRule="exact"/>
              <w:rPr>
                <w:rFonts w:ascii="Times New Roman" w:hAnsi="Times New Roman" w:cs="Times New Roman"/>
                <w:sz w:val="21"/>
                <w:szCs w:val="21"/>
              </w:rPr>
            </w:pPr>
          </w:p>
        </w:tc>
        <w:tc>
          <w:tcPr>
            <w:tcW w:w="1455" w:type="dxa"/>
            <w:tcBorders>
              <w:tl2br w:val="nil"/>
              <w:tr2bl w:val="nil"/>
            </w:tcBorders>
          </w:tcPr>
          <w:p w14:paraId="1901E57C">
            <w:pPr>
              <w:pStyle w:val="30"/>
              <w:autoSpaceDE w:val="0"/>
              <w:autoSpaceDN w:val="0"/>
              <w:spacing w:line="219" w:lineRule="exact"/>
              <w:rPr>
                <w:rFonts w:ascii="Times New Roman" w:hAnsi="Times New Roman" w:cs="Times New Roman"/>
                <w:sz w:val="21"/>
                <w:szCs w:val="21"/>
              </w:rPr>
            </w:pPr>
          </w:p>
        </w:tc>
        <w:tc>
          <w:tcPr>
            <w:tcW w:w="1311" w:type="dxa"/>
            <w:tcBorders>
              <w:tl2br w:val="nil"/>
              <w:tr2bl w:val="nil"/>
            </w:tcBorders>
          </w:tcPr>
          <w:p w14:paraId="4F37A55B">
            <w:pPr>
              <w:pStyle w:val="30"/>
              <w:autoSpaceDE w:val="0"/>
              <w:autoSpaceDN w:val="0"/>
              <w:spacing w:line="219" w:lineRule="exact"/>
              <w:rPr>
                <w:rFonts w:ascii="Times New Roman" w:hAnsi="Times New Roman" w:cs="Times New Roman"/>
                <w:sz w:val="21"/>
                <w:szCs w:val="21"/>
              </w:rPr>
            </w:pPr>
          </w:p>
        </w:tc>
      </w:tr>
      <w:tr w14:paraId="15A4B8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4" w:type="dxa"/>
            <w:tcBorders>
              <w:tl2br w:val="nil"/>
              <w:tr2bl w:val="nil"/>
            </w:tcBorders>
          </w:tcPr>
          <w:p w14:paraId="617E1CBC">
            <w:pPr>
              <w:autoSpaceDE w:val="0"/>
              <w:autoSpaceDN w:val="0"/>
              <w:spacing w:before="81" w:line="138" w:lineRule="exact"/>
              <w:ind w:left="305"/>
              <w:rPr>
                <w:sz w:val="21"/>
                <w:szCs w:val="21"/>
                <w:lang w:eastAsia="en-US"/>
              </w:rPr>
            </w:pPr>
          </w:p>
        </w:tc>
        <w:tc>
          <w:tcPr>
            <w:tcW w:w="649" w:type="dxa"/>
            <w:tcBorders>
              <w:tl2br w:val="nil"/>
              <w:tr2bl w:val="nil"/>
            </w:tcBorders>
          </w:tcPr>
          <w:p w14:paraId="08F46B0F">
            <w:pPr>
              <w:pStyle w:val="30"/>
              <w:autoSpaceDE w:val="0"/>
              <w:autoSpaceDN w:val="0"/>
              <w:spacing w:line="220" w:lineRule="exact"/>
              <w:rPr>
                <w:rFonts w:ascii="Times New Roman" w:hAnsi="Times New Roman" w:cs="Times New Roman"/>
                <w:sz w:val="21"/>
                <w:szCs w:val="21"/>
              </w:rPr>
            </w:pPr>
          </w:p>
        </w:tc>
        <w:tc>
          <w:tcPr>
            <w:tcW w:w="640" w:type="dxa"/>
            <w:tcBorders>
              <w:tl2br w:val="nil"/>
              <w:tr2bl w:val="nil"/>
            </w:tcBorders>
          </w:tcPr>
          <w:p w14:paraId="18FCCB36">
            <w:pPr>
              <w:pStyle w:val="30"/>
              <w:autoSpaceDE w:val="0"/>
              <w:autoSpaceDN w:val="0"/>
              <w:spacing w:line="220" w:lineRule="exact"/>
              <w:rPr>
                <w:rFonts w:ascii="Times New Roman" w:hAnsi="Times New Roman" w:cs="Times New Roman"/>
                <w:sz w:val="21"/>
                <w:szCs w:val="21"/>
              </w:rPr>
            </w:pPr>
          </w:p>
        </w:tc>
        <w:tc>
          <w:tcPr>
            <w:tcW w:w="870" w:type="dxa"/>
            <w:tcBorders>
              <w:tl2br w:val="nil"/>
              <w:tr2bl w:val="nil"/>
            </w:tcBorders>
          </w:tcPr>
          <w:p w14:paraId="3C556DF8">
            <w:pPr>
              <w:pStyle w:val="30"/>
              <w:autoSpaceDE w:val="0"/>
              <w:autoSpaceDN w:val="0"/>
              <w:spacing w:line="220" w:lineRule="exact"/>
              <w:rPr>
                <w:rFonts w:ascii="Times New Roman" w:hAnsi="Times New Roman" w:cs="Times New Roman"/>
                <w:sz w:val="21"/>
                <w:szCs w:val="21"/>
              </w:rPr>
            </w:pPr>
          </w:p>
        </w:tc>
        <w:tc>
          <w:tcPr>
            <w:tcW w:w="811" w:type="dxa"/>
            <w:tcBorders>
              <w:tl2br w:val="nil"/>
              <w:tr2bl w:val="nil"/>
            </w:tcBorders>
          </w:tcPr>
          <w:p w14:paraId="776836C4">
            <w:pPr>
              <w:pStyle w:val="30"/>
              <w:autoSpaceDE w:val="0"/>
              <w:autoSpaceDN w:val="0"/>
              <w:spacing w:line="220" w:lineRule="exact"/>
              <w:rPr>
                <w:rFonts w:ascii="Times New Roman" w:hAnsi="Times New Roman" w:cs="Times New Roman"/>
                <w:sz w:val="21"/>
                <w:szCs w:val="21"/>
              </w:rPr>
            </w:pPr>
          </w:p>
        </w:tc>
        <w:tc>
          <w:tcPr>
            <w:tcW w:w="700" w:type="dxa"/>
            <w:tcBorders>
              <w:tl2br w:val="nil"/>
              <w:tr2bl w:val="nil"/>
            </w:tcBorders>
          </w:tcPr>
          <w:p w14:paraId="70324970">
            <w:pPr>
              <w:pStyle w:val="30"/>
              <w:autoSpaceDE w:val="0"/>
              <w:autoSpaceDN w:val="0"/>
              <w:spacing w:line="220" w:lineRule="exact"/>
              <w:rPr>
                <w:rFonts w:ascii="Times New Roman" w:hAnsi="Times New Roman" w:cs="Times New Roman"/>
                <w:sz w:val="21"/>
                <w:szCs w:val="21"/>
              </w:rPr>
            </w:pPr>
          </w:p>
        </w:tc>
        <w:tc>
          <w:tcPr>
            <w:tcW w:w="678" w:type="dxa"/>
            <w:tcBorders>
              <w:tl2br w:val="nil"/>
              <w:tr2bl w:val="nil"/>
            </w:tcBorders>
          </w:tcPr>
          <w:p w14:paraId="12E6DE77">
            <w:pPr>
              <w:pStyle w:val="30"/>
              <w:autoSpaceDE w:val="0"/>
              <w:autoSpaceDN w:val="0"/>
              <w:spacing w:line="220" w:lineRule="exact"/>
              <w:rPr>
                <w:rFonts w:ascii="Times New Roman" w:hAnsi="Times New Roman" w:cs="Times New Roman"/>
                <w:sz w:val="21"/>
                <w:szCs w:val="21"/>
              </w:rPr>
            </w:pPr>
          </w:p>
        </w:tc>
        <w:tc>
          <w:tcPr>
            <w:tcW w:w="849" w:type="dxa"/>
            <w:tcBorders>
              <w:tl2br w:val="nil"/>
              <w:tr2bl w:val="nil"/>
            </w:tcBorders>
          </w:tcPr>
          <w:p w14:paraId="3299859A">
            <w:pPr>
              <w:pStyle w:val="30"/>
              <w:autoSpaceDE w:val="0"/>
              <w:autoSpaceDN w:val="0"/>
              <w:spacing w:line="220" w:lineRule="exact"/>
              <w:rPr>
                <w:rFonts w:ascii="Times New Roman" w:hAnsi="Times New Roman" w:cs="Times New Roman"/>
                <w:sz w:val="21"/>
                <w:szCs w:val="21"/>
              </w:rPr>
            </w:pPr>
          </w:p>
        </w:tc>
        <w:tc>
          <w:tcPr>
            <w:tcW w:w="928" w:type="dxa"/>
            <w:tcBorders>
              <w:tl2br w:val="nil"/>
              <w:tr2bl w:val="nil"/>
            </w:tcBorders>
          </w:tcPr>
          <w:p w14:paraId="0DB0656F">
            <w:pPr>
              <w:pStyle w:val="30"/>
              <w:autoSpaceDE w:val="0"/>
              <w:autoSpaceDN w:val="0"/>
              <w:spacing w:line="220" w:lineRule="exact"/>
              <w:rPr>
                <w:rFonts w:ascii="Times New Roman" w:hAnsi="Times New Roman" w:cs="Times New Roman"/>
                <w:sz w:val="21"/>
                <w:szCs w:val="21"/>
              </w:rPr>
            </w:pPr>
          </w:p>
        </w:tc>
        <w:tc>
          <w:tcPr>
            <w:tcW w:w="978" w:type="dxa"/>
            <w:tcBorders>
              <w:tl2br w:val="nil"/>
              <w:tr2bl w:val="nil"/>
            </w:tcBorders>
          </w:tcPr>
          <w:p w14:paraId="5F6B2AB0">
            <w:pPr>
              <w:pStyle w:val="30"/>
              <w:autoSpaceDE w:val="0"/>
              <w:autoSpaceDN w:val="0"/>
              <w:spacing w:line="220" w:lineRule="exact"/>
              <w:rPr>
                <w:rFonts w:ascii="Times New Roman" w:hAnsi="Times New Roman" w:cs="Times New Roman"/>
                <w:sz w:val="21"/>
                <w:szCs w:val="21"/>
              </w:rPr>
            </w:pPr>
          </w:p>
        </w:tc>
        <w:tc>
          <w:tcPr>
            <w:tcW w:w="1033" w:type="dxa"/>
            <w:tcBorders>
              <w:tl2br w:val="nil"/>
              <w:tr2bl w:val="nil"/>
            </w:tcBorders>
          </w:tcPr>
          <w:p w14:paraId="007816A3">
            <w:pPr>
              <w:pStyle w:val="30"/>
              <w:autoSpaceDE w:val="0"/>
              <w:autoSpaceDN w:val="0"/>
              <w:spacing w:line="220" w:lineRule="exact"/>
              <w:rPr>
                <w:rFonts w:ascii="Times New Roman" w:hAnsi="Times New Roman" w:cs="Times New Roman"/>
                <w:sz w:val="21"/>
                <w:szCs w:val="21"/>
              </w:rPr>
            </w:pPr>
          </w:p>
        </w:tc>
        <w:tc>
          <w:tcPr>
            <w:tcW w:w="1334" w:type="dxa"/>
            <w:tcBorders>
              <w:tl2br w:val="nil"/>
              <w:tr2bl w:val="nil"/>
            </w:tcBorders>
          </w:tcPr>
          <w:p w14:paraId="78C2B4F8">
            <w:pPr>
              <w:pStyle w:val="30"/>
              <w:autoSpaceDE w:val="0"/>
              <w:autoSpaceDN w:val="0"/>
              <w:spacing w:line="220" w:lineRule="exact"/>
              <w:rPr>
                <w:rFonts w:ascii="Times New Roman" w:hAnsi="Times New Roman" w:cs="Times New Roman"/>
                <w:sz w:val="21"/>
                <w:szCs w:val="21"/>
              </w:rPr>
            </w:pPr>
          </w:p>
        </w:tc>
        <w:tc>
          <w:tcPr>
            <w:tcW w:w="1455" w:type="dxa"/>
            <w:tcBorders>
              <w:tl2br w:val="nil"/>
              <w:tr2bl w:val="nil"/>
            </w:tcBorders>
          </w:tcPr>
          <w:p w14:paraId="089A097C">
            <w:pPr>
              <w:pStyle w:val="30"/>
              <w:autoSpaceDE w:val="0"/>
              <w:autoSpaceDN w:val="0"/>
              <w:spacing w:line="220" w:lineRule="exact"/>
              <w:rPr>
                <w:rFonts w:ascii="Times New Roman" w:hAnsi="Times New Roman" w:cs="Times New Roman"/>
                <w:sz w:val="21"/>
                <w:szCs w:val="21"/>
              </w:rPr>
            </w:pPr>
          </w:p>
        </w:tc>
        <w:tc>
          <w:tcPr>
            <w:tcW w:w="1311" w:type="dxa"/>
            <w:tcBorders>
              <w:tl2br w:val="nil"/>
              <w:tr2bl w:val="nil"/>
            </w:tcBorders>
          </w:tcPr>
          <w:p w14:paraId="0F99F9FE">
            <w:pPr>
              <w:pStyle w:val="30"/>
              <w:autoSpaceDE w:val="0"/>
              <w:autoSpaceDN w:val="0"/>
              <w:spacing w:line="220" w:lineRule="exact"/>
              <w:rPr>
                <w:rFonts w:ascii="Times New Roman" w:hAnsi="Times New Roman" w:cs="Times New Roman"/>
                <w:sz w:val="21"/>
                <w:szCs w:val="21"/>
              </w:rPr>
            </w:pPr>
          </w:p>
        </w:tc>
      </w:tr>
      <w:tr w14:paraId="57FB57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4" w:type="dxa"/>
            <w:tcBorders>
              <w:tl2br w:val="nil"/>
              <w:tr2bl w:val="nil"/>
            </w:tcBorders>
          </w:tcPr>
          <w:p w14:paraId="61CBF1FE">
            <w:pPr>
              <w:autoSpaceDE w:val="0"/>
              <w:autoSpaceDN w:val="0"/>
              <w:spacing w:before="71" w:line="138" w:lineRule="exact"/>
              <w:ind w:left="305"/>
              <w:rPr>
                <w:sz w:val="21"/>
                <w:szCs w:val="21"/>
                <w:lang w:eastAsia="en-US"/>
              </w:rPr>
            </w:pPr>
          </w:p>
        </w:tc>
        <w:tc>
          <w:tcPr>
            <w:tcW w:w="649" w:type="dxa"/>
            <w:tcBorders>
              <w:tl2br w:val="nil"/>
              <w:tr2bl w:val="nil"/>
            </w:tcBorders>
          </w:tcPr>
          <w:p w14:paraId="0A739A51">
            <w:pPr>
              <w:pStyle w:val="30"/>
              <w:autoSpaceDE w:val="0"/>
              <w:autoSpaceDN w:val="0"/>
              <w:spacing w:line="209" w:lineRule="exact"/>
              <w:rPr>
                <w:rFonts w:ascii="Times New Roman" w:hAnsi="Times New Roman" w:cs="Times New Roman"/>
                <w:sz w:val="21"/>
                <w:szCs w:val="21"/>
              </w:rPr>
            </w:pPr>
          </w:p>
        </w:tc>
        <w:tc>
          <w:tcPr>
            <w:tcW w:w="640" w:type="dxa"/>
            <w:tcBorders>
              <w:tl2br w:val="nil"/>
              <w:tr2bl w:val="nil"/>
            </w:tcBorders>
          </w:tcPr>
          <w:p w14:paraId="2F33D239">
            <w:pPr>
              <w:pStyle w:val="30"/>
              <w:autoSpaceDE w:val="0"/>
              <w:autoSpaceDN w:val="0"/>
              <w:spacing w:line="209" w:lineRule="exact"/>
              <w:rPr>
                <w:rFonts w:ascii="Times New Roman" w:hAnsi="Times New Roman" w:cs="Times New Roman"/>
                <w:sz w:val="21"/>
                <w:szCs w:val="21"/>
              </w:rPr>
            </w:pPr>
          </w:p>
        </w:tc>
        <w:tc>
          <w:tcPr>
            <w:tcW w:w="870" w:type="dxa"/>
            <w:tcBorders>
              <w:tl2br w:val="nil"/>
              <w:tr2bl w:val="nil"/>
            </w:tcBorders>
          </w:tcPr>
          <w:p w14:paraId="1A8BFC23">
            <w:pPr>
              <w:pStyle w:val="30"/>
              <w:autoSpaceDE w:val="0"/>
              <w:autoSpaceDN w:val="0"/>
              <w:spacing w:line="209" w:lineRule="exact"/>
              <w:rPr>
                <w:rFonts w:ascii="Times New Roman" w:hAnsi="Times New Roman" w:cs="Times New Roman"/>
                <w:sz w:val="21"/>
                <w:szCs w:val="21"/>
              </w:rPr>
            </w:pPr>
          </w:p>
        </w:tc>
        <w:tc>
          <w:tcPr>
            <w:tcW w:w="811" w:type="dxa"/>
            <w:tcBorders>
              <w:tl2br w:val="nil"/>
              <w:tr2bl w:val="nil"/>
            </w:tcBorders>
          </w:tcPr>
          <w:p w14:paraId="748F5412">
            <w:pPr>
              <w:pStyle w:val="30"/>
              <w:autoSpaceDE w:val="0"/>
              <w:autoSpaceDN w:val="0"/>
              <w:spacing w:line="209" w:lineRule="exact"/>
              <w:rPr>
                <w:rFonts w:ascii="Times New Roman" w:hAnsi="Times New Roman" w:cs="Times New Roman"/>
                <w:sz w:val="21"/>
                <w:szCs w:val="21"/>
              </w:rPr>
            </w:pPr>
          </w:p>
        </w:tc>
        <w:tc>
          <w:tcPr>
            <w:tcW w:w="700" w:type="dxa"/>
            <w:tcBorders>
              <w:tl2br w:val="nil"/>
              <w:tr2bl w:val="nil"/>
            </w:tcBorders>
          </w:tcPr>
          <w:p w14:paraId="179914D1">
            <w:pPr>
              <w:pStyle w:val="30"/>
              <w:autoSpaceDE w:val="0"/>
              <w:autoSpaceDN w:val="0"/>
              <w:spacing w:line="209" w:lineRule="exact"/>
              <w:rPr>
                <w:rFonts w:ascii="Times New Roman" w:hAnsi="Times New Roman" w:cs="Times New Roman"/>
                <w:sz w:val="21"/>
                <w:szCs w:val="21"/>
              </w:rPr>
            </w:pPr>
          </w:p>
        </w:tc>
        <w:tc>
          <w:tcPr>
            <w:tcW w:w="678" w:type="dxa"/>
            <w:tcBorders>
              <w:tl2br w:val="nil"/>
              <w:tr2bl w:val="nil"/>
            </w:tcBorders>
          </w:tcPr>
          <w:p w14:paraId="451057FF">
            <w:pPr>
              <w:pStyle w:val="30"/>
              <w:autoSpaceDE w:val="0"/>
              <w:autoSpaceDN w:val="0"/>
              <w:spacing w:line="209" w:lineRule="exact"/>
              <w:rPr>
                <w:rFonts w:ascii="Times New Roman" w:hAnsi="Times New Roman" w:cs="Times New Roman"/>
                <w:sz w:val="21"/>
                <w:szCs w:val="21"/>
              </w:rPr>
            </w:pPr>
          </w:p>
        </w:tc>
        <w:tc>
          <w:tcPr>
            <w:tcW w:w="849" w:type="dxa"/>
            <w:tcBorders>
              <w:tl2br w:val="nil"/>
              <w:tr2bl w:val="nil"/>
            </w:tcBorders>
          </w:tcPr>
          <w:p w14:paraId="2ACCB39E">
            <w:pPr>
              <w:pStyle w:val="30"/>
              <w:autoSpaceDE w:val="0"/>
              <w:autoSpaceDN w:val="0"/>
              <w:spacing w:line="209" w:lineRule="exact"/>
              <w:rPr>
                <w:rFonts w:ascii="Times New Roman" w:hAnsi="Times New Roman" w:cs="Times New Roman"/>
                <w:sz w:val="21"/>
                <w:szCs w:val="21"/>
              </w:rPr>
            </w:pPr>
          </w:p>
        </w:tc>
        <w:tc>
          <w:tcPr>
            <w:tcW w:w="928" w:type="dxa"/>
            <w:tcBorders>
              <w:tl2br w:val="nil"/>
              <w:tr2bl w:val="nil"/>
            </w:tcBorders>
          </w:tcPr>
          <w:p w14:paraId="60B1D08C">
            <w:pPr>
              <w:pStyle w:val="30"/>
              <w:autoSpaceDE w:val="0"/>
              <w:autoSpaceDN w:val="0"/>
              <w:spacing w:line="209" w:lineRule="exact"/>
              <w:rPr>
                <w:rFonts w:ascii="Times New Roman" w:hAnsi="Times New Roman" w:cs="Times New Roman"/>
                <w:sz w:val="21"/>
                <w:szCs w:val="21"/>
              </w:rPr>
            </w:pPr>
          </w:p>
        </w:tc>
        <w:tc>
          <w:tcPr>
            <w:tcW w:w="978" w:type="dxa"/>
            <w:tcBorders>
              <w:tl2br w:val="nil"/>
              <w:tr2bl w:val="nil"/>
            </w:tcBorders>
          </w:tcPr>
          <w:p w14:paraId="7A2A4BB4">
            <w:pPr>
              <w:pStyle w:val="30"/>
              <w:autoSpaceDE w:val="0"/>
              <w:autoSpaceDN w:val="0"/>
              <w:spacing w:line="209" w:lineRule="exact"/>
              <w:rPr>
                <w:rFonts w:ascii="Times New Roman" w:hAnsi="Times New Roman" w:cs="Times New Roman"/>
                <w:sz w:val="21"/>
                <w:szCs w:val="21"/>
              </w:rPr>
            </w:pPr>
          </w:p>
        </w:tc>
        <w:tc>
          <w:tcPr>
            <w:tcW w:w="1033" w:type="dxa"/>
            <w:tcBorders>
              <w:tl2br w:val="nil"/>
              <w:tr2bl w:val="nil"/>
            </w:tcBorders>
          </w:tcPr>
          <w:p w14:paraId="2B92D10C">
            <w:pPr>
              <w:pStyle w:val="30"/>
              <w:autoSpaceDE w:val="0"/>
              <w:autoSpaceDN w:val="0"/>
              <w:spacing w:line="209" w:lineRule="exact"/>
              <w:rPr>
                <w:rFonts w:ascii="Times New Roman" w:hAnsi="Times New Roman" w:cs="Times New Roman"/>
                <w:sz w:val="21"/>
                <w:szCs w:val="21"/>
              </w:rPr>
            </w:pPr>
          </w:p>
        </w:tc>
        <w:tc>
          <w:tcPr>
            <w:tcW w:w="1334" w:type="dxa"/>
            <w:tcBorders>
              <w:tl2br w:val="nil"/>
              <w:tr2bl w:val="nil"/>
            </w:tcBorders>
          </w:tcPr>
          <w:p w14:paraId="6CBF52C7">
            <w:pPr>
              <w:pStyle w:val="30"/>
              <w:autoSpaceDE w:val="0"/>
              <w:autoSpaceDN w:val="0"/>
              <w:spacing w:line="209" w:lineRule="exact"/>
              <w:rPr>
                <w:rFonts w:ascii="Times New Roman" w:hAnsi="Times New Roman" w:cs="Times New Roman"/>
                <w:sz w:val="21"/>
                <w:szCs w:val="21"/>
              </w:rPr>
            </w:pPr>
          </w:p>
        </w:tc>
        <w:tc>
          <w:tcPr>
            <w:tcW w:w="1455" w:type="dxa"/>
            <w:tcBorders>
              <w:tl2br w:val="nil"/>
              <w:tr2bl w:val="nil"/>
            </w:tcBorders>
          </w:tcPr>
          <w:p w14:paraId="016E93EF">
            <w:pPr>
              <w:pStyle w:val="30"/>
              <w:autoSpaceDE w:val="0"/>
              <w:autoSpaceDN w:val="0"/>
              <w:spacing w:line="209" w:lineRule="exact"/>
              <w:rPr>
                <w:rFonts w:ascii="Times New Roman" w:hAnsi="Times New Roman" w:cs="Times New Roman"/>
                <w:sz w:val="21"/>
                <w:szCs w:val="21"/>
              </w:rPr>
            </w:pPr>
          </w:p>
        </w:tc>
        <w:tc>
          <w:tcPr>
            <w:tcW w:w="1311" w:type="dxa"/>
            <w:tcBorders>
              <w:tl2br w:val="nil"/>
              <w:tr2bl w:val="nil"/>
            </w:tcBorders>
          </w:tcPr>
          <w:p w14:paraId="67B0A7D3">
            <w:pPr>
              <w:pStyle w:val="30"/>
              <w:autoSpaceDE w:val="0"/>
              <w:autoSpaceDN w:val="0"/>
              <w:spacing w:line="209" w:lineRule="exact"/>
              <w:rPr>
                <w:rFonts w:ascii="Times New Roman" w:hAnsi="Times New Roman" w:cs="Times New Roman"/>
                <w:sz w:val="21"/>
                <w:szCs w:val="21"/>
              </w:rPr>
            </w:pPr>
          </w:p>
        </w:tc>
      </w:tr>
      <w:tr w14:paraId="5B8377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4" w:type="dxa"/>
            <w:tcBorders>
              <w:tl2br w:val="nil"/>
              <w:tr2bl w:val="nil"/>
            </w:tcBorders>
          </w:tcPr>
          <w:p w14:paraId="0A0A453C">
            <w:pPr>
              <w:autoSpaceDE w:val="0"/>
              <w:autoSpaceDN w:val="0"/>
              <w:spacing w:before="73" w:line="141" w:lineRule="exact"/>
              <w:ind w:left="305"/>
              <w:rPr>
                <w:sz w:val="21"/>
                <w:szCs w:val="21"/>
                <w:lang w:eastAsia="en-US"/>
              </w:rPr>
            </w:pPr>
          </w:p>
        </w:tc>
        <w:tc>
          <w:tcPr>
            <w:tcW w:w="649" w:type="dxa"/>
            <w:tcBorders>
              <w:tl2br w:val="nil"/>
              <w:tr2bl w:val="nil"/>
            </w:tcBorders>
          </w:tcPr>
          <w:p w14:paraId="68343B48">
            <w:pPr>
              <w:pStyle w:val="30"/>
              <w:autoSpaceDE w:val="0"/>
              <w:autoSpaceDN w:val="0"/>
              <w:spacing w:line="214" w:lineRule="exact"/>
              <w:rPr>
                <w:rFonts w:ascii="Times New Roman" w:hAnsi="Times New Roman" w:cs="Times New Roman"/>
                <w:sz w:val="21"/>
                <w:szCs w:val="21"/>
              </w:rPr>
            </w:pPr>
          </w:p>
        </w:tc>
        <w:tc>
          <w:tcPr>
            <w:tcW w:w="640" w:type="dxa"/>
            <w:tcBorders>
              <w:tl2br w:val="nil"/>
              <w:tr2bl w:val="nil"/>
            </w:tcBorders>
          </w:tcPr>
          <w:p w14:paraId="2D9290AC">
            <w:pPr>
              <w:pStyle w:val="30"/>
              <w:autoSpaceDE w:val="0"/>
              <w:autoSpaceDN w:val="0"/>
              <w:spacing w:line="214" w:lineRule="exact"/>
              <w:rPr>
                <w:rFonts w:ascii="Times New Roman" w:hAnsi="Times New Roman" w:cs="Times New Roman"/>
                <w:sz w:val="21"/>
                <w:szCs w:val="21"/>
              </w:rPr>
            </w:pPr>
          </w:p>
        </w:tc>
        <w:tc>
          <w:tcPr>
            <w:tcW w:w="870" w:type="dxa"/>
            <w:tcBorders>
              <w:tl2br w:val="nil"/>
              <w:tr2bl w:val="nil"/>
            </w:tcBorders>
          </w:tcPr>
          <w:p w14:paraId="42747AB4">
            <w:pPr>
              <w:pStyle w:val="30"/>
              <w:autoSpaceDE w:val="0"/>
              <w:autoSpaceDN w:val="0"/>
              <w:spacing w:line="214" w:lineRule="exact"/>
              <w:rPr>
                <w:rFonts w:ascii="Times New Roman" w:hAnsi="Times New Roman" w:cs="Times New Roman"/>
                <w:sz w:val="21"/>
                <w:szCs w:val="21"/>
              </w:rPr>
            </w:pPr>
          </w:p>
        </w:tc>
        <w:tc>
          <w:tcPr>
            <w:tcW w:w="811" w:type="dxa"/>
            <w:tcBorders>
              <w:tl2br w:val="nil"/>
              <w:tr2bl w:val="nil"/>
            </w:tcBorders>
          </w:tcPr>
          <w:p w14:paraId="0ED1B1EF">
            <w:pPr>
              <w:pStyle w:val="30"/>
              <w:autoSpaceDE w:val="0"/>
              <w:autoSpaceDN w:val="0"/>
              <w:spacing w:line="214" w:lineRule="exact"/>
              <w:rPr>
                <w:rFonts w:ascii="Times New Roman" w:hAnsi="Times New Roman" w:cs="Times New Roman"/>
                <w:sz w:val="21"/>
                <w:szCs w:val="21"/>
              </w:rPr>
            </w:pPr>
          </w:p>
        </w:tc>
        <w:tc>
          <w:tcPr>
            <w:tcW w:w="700" w:type="dxa"/>
            <w:tcBorders>
              <w:tl2br w:val="nil"/>
              <w:tr2bl w:val="nil"/>
            </w:tcBorders>
          </w:tcPr>
          <w:p w14:paraId="24CDE195">
            <w:pPr>
              <w:pStyle w:val="30"/>
              <w:autoSpaceDE w:val="0"/>
              <w:autoSpaceDN w:val="0"/>
              <w:spacing w:line="214" w:lineRule="exact"/>
              <w:rPr>
                <w:rFonts w:ascii="Times New Roman" w:hAnsi="Times New Roman" w:cs="Times New Roman"/>
                <w:sz w:val="21"/>
                <w:szCs w:val="21"/>
              </w:rPr>
            </w:pPr>
          </w:p>
        </w:tc>
        <w:tc>
          <w:tcPr>
            <w:tcW w:w="678" w:type="dxa"/>
            <w:tcBorders>
              <w:tl2br w:val="nil"/>
              <w:tr2bl w:val="nil"/>
            </w:tcBorders>
          </w:tcPr>
          <w:p w14:paraId="62082951">
            <w:pPr>
              <w:pStyle w:val="30"/>
              <w:autoSpaceDE w:val="0"/>
              <w:autoSpaceDN w:val="0"/>
              <w:spacing w:line="214" w:lineRule="exact"/>
              <w:rPr>
                <w:rFonts w:ascii="Times New Roman" w:hAnsi="Times New Roman" w:cs="Times New Roman"/>
                <w:sz w:val="21"/>
                <w:szCs w:val="21"/>
              </w:rPr>
            </w:pPr>
          </w:p>
        </w:tc>
        <w:tc>
          <w:tcPr>
            <w:tcW w:w="849" w:type="dxa"/>
            <w:tcBorders>
              <w:tl2br w:val="nil"/>
              <w:tr2bl w:val="nil"/>
            </w:tcBorders>
          </w:tcPr>
          <w:p w14:paraId="5976DD86">
            <w:pPr>
              <w:pStyle w:val="30"/>
              <w:autoSpaceDE w:val="0"/>
              <w:autoSpaceDN w:val="0"/>
              <w:spacing w:line="214" w:lineRule="exact"/>
              <w:rPr>
                <w:rFonts w:ascii="Times New Roman" w:hAnsi="Times New Roman" w:cs="Times New Roman"/>
                <w:sz w:val="21"/>
                <w:szCs w:val="21"/>
              </w:rPr>
            </w:pPr>
          </w:p>
        </w:tc>
        <w:tc>
          <w:tcPr>
            <w:tcW w:w="928" w:type="dxa"/>
            <w:tcBorders>
              <w:tl2br w:val="nil"/>
              <w:tr2bl w:val="nil"/>
            </w:tcBorders>
          </w:tcPr>
          <w:p w14:paraId="04F91E13">
            <w:pPr>
              <w:pStyle w:val="30"/>
              <w:autoSpaceDE w:val="0"/>
              <w:autoSpaceDN w:val="0"/>
              <w:spacing w:line="214" w:lineRule="exact"/>
              <w:rPr>
                <w:rFonts w:ascii="Times New Roman" w:hAnsi="Times New Roman" w:cs="Times New Roman"/>
                <w:sz w:val="21"/>
                <w:szCs w:val="21"/>
              </w:rPr>
            </w:pPr>
          </w:p>
        </w:tc>
        <w:tc>
          <w:tcPr>
            <w:tcW w:w="978" w:type="dxa"/>
            <w:tcBorders>
              <w:tl2br w:val="nil"/>
              <w:tr2bl w:val="nil"/>
            </w:tcBorders>
          </w:tcPr>
          <w:p w14:paraId="41A3D659">
            <w:pPr>
              <w:pStyle w:val="30"/>
              <w:autoSpaceDE w:val="0"/>
              <w:autoSpaceDN w:val="0"/>
              <w:spacing w:line="214" w:lineRule="exact"/>
              <w:rPr>
                <w:rFonts w:ascii="Times New Roman" w:hAnsi="Times New Roman" w:cs="Times New Roman"/>
                <w:sz w:val="21"/>
                <w:szCs w:val="21"/>
              </w:rPr>
            </w:pPr>
          </w:p>
        </w:tc>
        <w:tc>
          <w:tcPr>
            <w:tcW w:w="1033" w:type="dxa"/>
            <w:tcBorders>
              <w:tl2br w:val="nil"/>
              <w:tr2bl w:val="nil"/>
            </w:tcBorders>
          </w:tcPr>
          <w:p w14:paraId="4F8A65C1">
            <w:pPr>
              <w:pStyle w:val="30"/>
              <w:autoSpaceDE w:val="0"/>
              <w:autoSpaceDN w:val="0"/>
              <w:spacing w:line="214" w:lineRule="exact"/>
              <w:rPr>
                <w:rFonts w:ascii="Times New Roman" w:hAnsi="Times New Roman" w:cs="Times New Roman"/>
                <w:sz w:val="21"/>
                <w:szCs w:val="21"/>
              </w:rPr>
            </w:pPr>
          </w:p>
        </w:tc>
        <w:tc>
          <w:tcPr>
            <w:tcW w:w="1334" w:type="dxa"/>
            <w:tcBorders>
              <w:tl2br w:val="nil"/>
              <w:tr2bl w:val="nil"/>
            </w:tcBorders>
          </w:tcPr>
          <w:p w14:paraId="07A6B35A">
            <w:pPr>
              <w:pStyle w:val="30"/>
              <w:autoSpaceDE w:val="0"/>
              <w:autoSpaceDN w:val="0"/>
              <w:spacing w:line="214" w:lineRule="exact"/>
              <w:rPr>
                <w:rFonts w:ascii="Times New Roman" w:hAnsi="Times New Roman" w:cs="Times New Roman"/>
                <w:sz w:val="21"/>
                <w:szCs w:val="21"/>
              </w:rPr>
            </w:pPr>
          </w:p>
        </w:tc>
        <w:tc>
          <w:tcPr>
            <w:tcW w:w="1455" w:type="dxa"/>
            <w:tcBorders>
              <w:tl2br w:val="nil"/>
              <w:tr2bl w:val="nil"/>
            </w:tcBorders>
          </w:tcPr>
          <w:p w14:paraId="366364DC">
            <w:pPr>
              <w:pStyle w:val="30"/>
              <w:autoSpaceDE w:val="0"/>
              <w:autoSpaceDN w:val="0"/>
              <w:spacing w:line="214" w:lineRule="exact"/>
              <w:rPr>
                <w:rFonts w:ascii="Times New Roman" w:hAnsi="Times New Roman" w:cs="Times New Roman"/>
                <w:sz w:val="21"/>
                <w:szCs w:val="21"/>
              </w:rPr>
            </w:pPr>
          </w:p>
        </w:tc>
        <w:tc>
          <w:tcPr>
            <w:tcW w:w="1311" w:type="dxa"/>
            <w:tcBorders>
              <w:tl2br w:val="nil"/>
              <w:tr2bl w:val="nil"/>
            </w:tcBorders>
          </w:tcPr>
          <w:p w14:paraId="17DDF127">
            <w:pPr>
              <w:pStyle w:val="30"/>
              <w:autoSpaceDE w:val="0"/>
              <w:autoSpaceDN w:val="0"/>
              <w:spacing w:line="214" w:lineRule="exact"/>
              <w:rPr>
                <w:rFonts w:ascii="Times New Roman" w:hAnsi="Times New Roman" w:cs="Times New Roman"/>
                <w:sz w:val="21"/>
                <w:szCs w:val="21"/>
              </w:rPr>
            </w:pPr>
          </w:p>
        </w:tc>
      </w:tr>
    </w:tbl>
    <w:p w14:paraId="7D0AF6CA">
      <w:pPr>
        <w:autoSpaceDE w:val="0"/>
        <w:autoSpaceDN w:val="0"/>
        <w:spacing w:before="240" w:line="240" w:lineRule="auto"/>
        <w:ind w:left="395"/>
        <w:rPr>
          <w:sz w:val="21"/>
          <w:szCs w:val="21"/>
        </w:rPr>
      </w:pPr>
      <w:r>
        <w:rPr>
          <w:sz w:val="21"/>
          <w:szCs w:val="21"/>
        </w:rPr>
        <w:t>质 检 员 ：                技术负责人：                     监理工程师：                      年   月   日</w:t>
      </w:r>
    </w:p>
    <w:p w14:paraId="2DB0E58B">
      <w:pPr>
        <w:pStyle w:val="20"/>
        <w:spacing w:before="240"/>
        <w:ind w:firstLine="420"/>
        <w:rPr>
          <w:rFonts w:ascii="Times New Roman"/>
        </w:rPr>
        <w:sectPr>
          <w:pgSz w:w="16838" w:h="11906" w:orient="landscape"/>
          <w:pgMar w:top="1701" w:right="1984" w:bottom="1701" w:left="1701" w:header="1701" w:footer="1417" w:gutter="0"/>
          <w:cols w:space="0" w:num="1"/>
          <w:docGrid w:type="lines" w:linePitch="340" w:charSpace="0"/>
        </w:sectPr>
      </w:pPr>
    </w:p>
    <w:p w14:paraId="2C77D3C7">
      <w:pPr>
        <w:pStyle w:val="19"/>
        <w:widowControl w:val="0"/>
        <w:spacing w:before="340" w:beforeLines="100" w:after="340" w:afterLines="100" w:line="360" w:lineRule="auto"/>
        <w:jc w:val="center"/>
        <w:outlineLvl w:val="0"/>
        <w:rPr>
          <w:rFonts w:ascii="Times New Roman" w:eastAsia="宋体"/>
          <w:b/>
          <w:sz w:val="30"/>
          <w:szCs w:val="30"/>
        </w:rPr>
      </w:pPr>
      <w:bookmarkStart w:id="716" w:name="_Toc16022"/>
      <w:bookmarkStart w:id="717" w:name="_Toc8541"/>
      <w:bookmarkStart w:id="718" w:name="_Toc23413"/>
      <w:bookmarkStart w:id="719" w:name="_Toc17835"/>
      <w:bookmarkStart w:id="720" w:name="_Toc193392101"/>
      <w:bookmarkStart w:id="721" w:name="_Toc17906"/>
      <w:bookmarkStart w:id="722" w:name="_Toc9702"/>
      <w:bookmarkStart w:id="723" w:name="_Toc17142"/>
      <w:r>
        <w:rPr>
          <w:rFonts w:ascii="Times New Roman" w:eastAsia="宋体"/>
          <w:b/>
          <w:sz w:val="30"/>
          <w:szCs w:val="30"/>
        </w:rPr>
        <w:t>附录D　基坑及支护结构监测预警值</w:t>
      </w:r>
      <w:bookmarkEnd w:id="706"/>
      <w:bookmarkEnd w:id="707"/>
      <w:bookmarkEnd w:id="716"/>
      <w:bookmarkEnd w:id="717"/>
      <w:bookmarkEnd w:id="718"/>
      <w:bookmarkEnd w:id="719"/>
      <w:bookmarkEnd w:id="720"/>
      <w:bookmarkEnd w:id="721"/>
      <w:bookmarkEnd w:id="722"/>
      <w:bookmarkEnd w:id="723"/>
    </w:p>
    <w:p w14:paraId="3F639F58">
      <w:pPr>
        <w:pStyle w:val="6"/>
        <w:jc w:val="center"/>
        <w:rPr>
          <w:rFonts w:ascii="Times New Roman" w:hAnsi="Times New Roman"/>
          <w:b/>
          <w:sz w:val="24"/>
        </w:rPr>
      </w:pPr>
      <w:r>
        <w:rPr>
          <w:rFonts w:ascii="Times New Roman" w:hAnsi="Times New Roman"/>
          <w:b/>
          <w:sz w:val="24"/>
        </w:rPr>
        <w:t>表D　基坑及支护结构监测预警值</w:t>
      </w:r>
    </w:p>
    <w:tbl>
      <w:tblPr>
        <w:tblStyle w:val="13"/>
        <w:tblW w:w="1478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79" w:type="dxa"/>
          <w:bottom w:w="28" w:type="dxa"/>
          <w:right w:w="79" w:type="dxa"/>
        </w:tblCellMar>
      </w:tblPr>
      <w:tblGrid>
        <w:gridCol w:w="487"/>
        <w:gridCol w:w="897"/>
        <w:gridCol w:w="3119"/>
        <w:gridCol w:w="918"/>
        <w:gridCol w:w="1440"/>
        <w:gridCol w:w="1035"/>
        <w:gridCol w:w="885"/>
        <w:gridCol w:w="1440"/>
        <w:gridCol w:w="1095"/>
        <w:gridCol w:w="960"/>
        <w:gridCol w:w="1440"/>
        <w:gridCol w:w="1070"/>
      </w:tblGrid>
      <w:tr w14:paraId="4CF030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79" w:type="dxa"/>
            <w:bottom w:w="28" w:type="dxa"/>
            <w:right w:w="79" w:type="dxa"/>
          </w:tblCellMar>
        </w:tblPrEx>
        <w:trPr>
          <w:trHeight w:val="397" w:hRule="atLeast"/>
          <w:tblHeader/>
          <w:jc w:val="center"/>
        </w:trPr>
        <w:tc>
          <w:tcPr>
            <w:tcW w:w="487" w:type="dxa"/>
            <w:vMerge w:val="restart"/>
            <w:tcBorders>
              <w:tl2br w:val="nil"/>
              <w:tr2bl w:val="nil"/>
            </w:tcBorders>
            <w:vAlign w:val="center"/>
          </w:tcPr>
          <w:p w14:paraId="6B5D8ED1">
            <w:pPr>
              <w:adjustRightInd w:val="0"/>
              <w:snapToGrid w:val="0"/>
              <w:spacing w:line="240" w:lineRule="auto"/>
              <w:ind w:firstLine="0"/>
              <w:rPr>
                <w:bCs/>
                <w:sz w:val="21"/>
                <w:szCs w:val="21"/>
              </w:rPr>
            </w:pPr>
            <w:r>
              <w:rPr>
                <w:bCs/>
                <w:sz w:val="21"/>
                <w:szCs w:val="21"/>
              </w:rPr>
              <w:t>序号</w:t>
            </w:r>
          </w:p>
        </w:tc>
        <w:tc>
          <w:tcPr>
            <w:tcW w:w="897" w:type="dxa"/>
            <w:vMerge w:val="restart"/>
            <w:tcBorders>
              <w:tl2br w:val="nil"/>
              <w:tr2bl w:val="nil"/>
            </w:tcBorders>
            <w:vAlign w:val="center"/>
          </w:tcPr>
          <w:p w14:paraId="29E4EB23">
            <w:pPr>
              <w:adjustRightInd w:val="0"/>
              <w:snapToGrid w:val="0"/>
              <w:spacing w:line="240" w:lineRule="auto"/>
              <w:ind w:firstLine="0"/>
              <w:jc w:val="center"/>
              <w:rPr>
                <w:bCs/>
                <w:sz w:val="21"/>
                <w:szCs w:val="21"/>
              </w:rPr>
            </w:pPr>
            <w:r>
              <w:rPr>
                <w:bCs/>
                <w:sz w:val="21"/>
                <w:szCs w:val="21"/>
              </w:rPr>
              <w:t>监测</w:t>
            </w:r>
          </w:p>
          <w:p w14:paraId="50C706EB">
            <w:pPr>
              <w:adjustRightInd w:val="0"/>
              <w:snapToGrid w:val="0"/>
              <w:spacing w:line="240" w:lineRule="auto"/>
              <w:ind w:firstLine="0"/>
              <w:jc w:val="center"/>
              <w:rPr>
                <w:bCs/>
                <w:sz w:val="21"/>
                <w:szCs w:val="21"/>
              </w:rPr>
            </w:pPr>
            <w:r>
              <w:rPr>
                <w:bCs/>
                <w:sz w:val="21"/>
                <w:szCs w:val="21"/>
              </w:rPr>
              <w:t>项目</w:t>
            </w:r>
          </w:p>
        </w:tc>
        <w:tc>
          <w:tcPr>
            <w:tcW w:w="3119" w:type="dxa"/>
            <w:vMerge w:val="restart"/>
            <w:tcBorders>
              <w:tl2br w:val="nil"/>
              <w:tr2bl w:val="nil"/>
            </w:tcBorders>
            <w:vAlign w:val="center"/>
          </w:tcPr>
          <w:p w14:paraId="7CB43A58">
            <w:pPr>
              <w:adjustRightInd w:val="0"/>
              <w:snapToGrid w:val="0"/>
              <w:spacing w:line="240" w:lineRule="auto"/>
              <w:ind w:firstLine="0"/>
              <w:jc w:val="center"/>
              <w:rPr>
                <w:bCs/>
                <w:sz w:val="21"/>
                <w:szCs w:val="21"/>
              </w:rPr>
            </w:pPr>
            <w:r>
              <w:rPr>
                <w:bCs/>
                <w:sz w:val="21"/>
                <w:szCs w:val="21"/>
              </w:rPr>
              <w:t>支护结构类型</w:t>
            </w:r>
          </w:p>
        </w:tc>
        <w:tc>
          <w:tcPr>
            <w:tcW w:w="10283" w:type="dxa"/>
            <w:gridSpan w:val="9"/>
            <w:tcBorders>
              <w:tl2br w:val="nil"/>
              <w:tr2bl w:val="nil"/>
            </w:tcBorders>
            <w:vAlign w:val="center"/>
          </w:tcPr>
          <w:p w14:paraId="29BFDF4C">
            <w:pPr>
              <w:adjustRightInd w:val="0"/>
              <w:snapToGrid w:val="0"/>
              <w:spacing w:line="240" w:lineRule="auto"/>
              <w:ind w:firstLine="0"/>
              <w:jc w:val="center"/>
              <w:rPr>
                <w:bCs/>
                <w:sz w:val="21"/>
                <w:szCs w:val="21"/>
              </w:rPr>
            </w:pPr>
            <w:r>
              <w:rPr>
                <w:bCs/>
                <w:sz w:val="21"/>
                <w:szCs w:val="21"/>
              </w:rPr>
              <w:t>基坑类别</w:t>
            </w:r>
          </w:p>
        </w:tc>
      </w:tr>
      <w:tr w14:paraId="622B3A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79" w:type="dxa"/>
            <w:bottom w:w="28" w:type="dxa"/>
            <w:right w:w="79" w:type="dxa"/>
          </w:tblCellMar>
        </w:tblPrEx>
        <w:trPr>
          <w:trHeight w:val="397" w:hRule="atLeast"/>
          <w:tblHeader/>
          <w:jc w:val="center"/>
        </w:trPr>
        <w:tc>
          <w:tcPr>
            <w:tcW w:w="487" w:type="dxa"/>
            <w:vMerge w:val="continue"/>
            <w:tcBorders>
              <w:tl2br w:val="nil"/>
              <w:tr2bl w:val="nil"/>
            </w:tcBorders>
            <w:vAlign w:val="center"/>
          </w:tcPr>
          <w:p w14:paraId="54B4297D">
            <w:pPr>
              <w:adjustRightInd w:val="0"/>
              <w:snapToGrid w:val="0"/>
              <w:spacing w:line="240" w:lineRule="auto"/>
              <w:ind w:firstLine="0"/>
              <w:jc w:val="center"/>
              <w:rPr>
                <w:bCs/>
                <w:sz w:val="21"/>
                <w:szCs w:val="21"/>
              </w:rPr>
            </w:pPr>
          </w:p>
        </w:tc>
        <w:tc>
          <w:tcPr>
            <w:tcW w:w="897" w:type="dxa"/>
            <w:vMerge w:val="continue"/>
            <w:tcBorders>
              <w:tl2br w:val="nil"/>
              <w:tr2bl w:val="nil"/>
            </w:tcBorders>
            <w:vAlign w:val="center"/>
          </w:tcPr>
          <w:p w14:paraId="040B9F3B">
            <w:pPr>
              <w:adjustRightInd w:val="0"/>
              <w:snapToGrid w:val="0"/>
              <w:spacing w:line="240" w:lineRule="auto"/>
              <w:ind w:firstLine="0"/>
              <w:jc w:val="center"/>
              <w:rPr>
                <w:bCs/>
                <w:sz w:val="21"/>
                <w:szCs w:val="21"/>
              </w:rPr>
            </w:pPr>
          </w:p>
        </w:tc>
        <w:tc>
          <w:tcPr>
            <w:tcW w:w="3119" w:type="dxa"/>
            <w:vMerge w:val="continue"/>
            <w:tcBorders>
              <w:tl2br w:val="nil"/>
              <w:tr2bl w:val="nil"/>
            </w:tcBorders>
            <w:vAlign w:val="center"/>
          </w:tcPr>
          <w:p w14:paraId="34752AF5">
            <w:pPr>
              <w:adjustRightInd w:val="0"/>
              <w:snapToGrid w:val="0"/>
              <w:spacing w:line="240" w:lineRule="auto"/>
              <w:ind w:firstLine="0"/>
              <w:jc w:val="center"/>
              <w:rPr>
                <w:bCs/>
                <w:sz w:val="21"/>
                <w:szCs w:val="21"/>
              </w:rPr>
            </w:pPr>
          </w:p>
        </w:tc>
        <w:tc>
          <w:tcPr>
            <w:tcW w:w="3393" w:type="dxa"/>
            <w:gridSpan w:val="3"/>
            <w:tcBorders>
              <w:tl2br w:val="nil"/>
              <w:tr2bl w:val="nil"/>
            </w:tcBorders>
            <w:vAlign w:val="center"/>
          </w:tcPr>
          <w:p w14:paraId="402F7447">
            <w:pPr>
              <w:adjustRightInd w:val="0"/>
              <w:snapToGrid w:val="0"/>
              <w:spacing w:line="240" w:lineRule="auto"/>
              <w:ind w:firstLine="0"/>
              <w:jc w:val="center"/>
              <w:rPr>
                <w:bCs/>
                <w:sz w:val="21"/>
                <w:szCs w:val="21"/>
              </w:rPr>
            </w:pPr>
            <w:r>
              <w:rPr>
                <w:bCs/>
                <w:sz w:val="21"/>
                <w:szCs w:val="21"/>
              </w:rPr>
              <w:t>一级</w:t>
            </w:r>
          </w:p>
        </w:tc>
        <w:tc>
          <w:tcPr>
            <w:tcW w:w="3420" w:type="dxa"/>
            <w:gridSpan w:val="3"/>
            <w:tcBorders>
              <w:tl2br w:val="nil"/>
              <w:tr2bl w:val="nil"/>
            </w:tcBorders>
            <w:vAlign w:val="center"/>
          </w:tcPr>
          <w:p w14:paraId="5EC05D9F">
            <w:pPr>
              <w:adjustRightInd w:val="0"/>
              <w:snapToGrid w:val="0"/>
              <w:spacing w:line="240" w:lineRule="auto"/>
              <w:ind w:firstLine="0"/>
              <w:jc w:val="center"/>
              <w:rPr>
                <w:bCs/>
                <w:sz w:val="21"/>
                <w:szCs w:val="21"/>
              </w:rPr>
            </w:pPr>
            <w:r>
              <w:rPr>
                <w:bCs/>
                <w:sz w:val="21"/>
                <w:szCs w:val="21"/>
              </w:rPr>
              <w:t>二级</w:t>
            </w:r>
          </w:p>
        </w:tc>
        <w:tc>
          <w:tcPr>
            <w:tcW w:w="3470" w:type="dxa"/>
            <w:gridSpan w:val="3"/>
            <w:tcBorders>
              <w:tl2br w:val="nil"/>
              <w:tr2bl w:val="nil"/>
            </w:tcBorders>
            <w:vAlign w:val="center"/>
          </w:tcPr>
          <w:p w14:paraId="47883942">
            <w:pPr>
              <w:adjustRightInd w:val="0"/>
              <w:snapToGrid w:val="0"/>
              <w:spacing w:line="240" w:lineRule="auto"/>
              <w:ind w:firstLine="0"/>
              <w:jc w:val="center"/>
              <w:rPr>
                <w:b/>
                <w:sz w:val="21"/>
                <w:szCs w:val="21"/>
              </w:rPr>
            </w:pPr>
            <w:r>
              <w:rPr>
                <w:b/>
                <w:sz w:val="21"/>
                <w:szCs w:val="21"/>
              </w:rPr>
              <w:t>三级</w:t>
            </w:r>
          </w:p>
        </w:tc>
      </w:tr>
      <w:tr w14:paraId="16B593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79" w:type="dxa"/>
            <w:bottom w:w="28" w:type="dxa"/>
            <w:right w:w="79" w:type="dxa"/>
          </w:tblCellMar>
        </w:tblPrEx>
        <w:trPr>
          <w:trHeight w:val="397" w:hRule="atLeast"/>
          <w:tblHeader/>
          <w:jc w:val="center"/>
        </w:trPr>
        <w:tc>
          <w:tcPr>
            <w:tcW w:w="487" w:type="dxa"/>
            <w:vMerge w:val="continue"/>
            <w:tcBorders>
              <w:tl2br w:val="nil"/>
              <w:tr2bl w:val="nil"/>
            </w:tcBorders>
            <w:vAlign w:val="center"/>
          </w:tcPr>
          <w:p w14:paraId="62634166">
            <w:pPr>
              <w:adjustRightInd w:val="0"/>
              <w:snapToGrid w:val="0"/>
              <w:spacing w:line="240" w:lineRule="auto"/>
              <w:ind w:firstLine="0"/>
              <w:jc w:val="center"/>
              <w:rPr>
                <w:bCs/>
                <w:sz w:val="21"/>
                <w:szCs w:val="21"/>
              </w:rPr>
            </w:pPr>
          </w:p>
        </w:tc>
        <w:tc>
          <w:tcPr>
            <w:tcW w:w="897" w:type="dxa"/>
            <w:vMerge w:val="continue"/>
            <w:tcBorders>
              <w:tl2br w:val="nil"/>
              <w:tr2bl w:val="nil"/>
            </w:tcBorders>
            <w:vAlign w:val="center"/>
          </w:tcPr>
          <w:p w14:paraId="0C872175">
            <w:pPr>
              <w:adjustRightInd w:val="0"/>
              <w:snapToGrid w:val="0"/>
              <w:spacing w:line="240" w:lineRule="auto"/>
              <w:ind w:firstLine="0"/>
              <w:jc w:val="center"/>
              <w:rPr>
                <w:bCs/>
                <w:sz w:val="21"/>
                <w:szCs w:val="21"/>
              </w:rPr>
            </w:pPr>
          </w:p>
        </w:tc>
        <w:tc>
          <w:tcPr>
            <w:tcW w:w="3119" w:type="dxa"/>
            <w:vMerge w:val="continue"/>
            <w:tcBorders>
              <w:tl2br w:val="nil"/>
              <w:tr2bl w:val="nil"/>
            </w:tcBorders>
            <w:vAlign w:val="center"/>
          </w:tcPr>
          <w:p w14:paraId="735CDEAF">
            <w:pPr>
              <w:adjustRightInd w:val="0"/>
              <w:snapToGrid w:val="0"/>
              <w:spacing w:line="240" w:lineRule="auto"/>
              <w:ind w:firstLine="0"/>
              <w:jc w:val="center"/>
              <w:rPr>
                <w:bCs/>
                <w:sz w:val="21"/>
                <w:szCs w:val="21"/>
              </w:rPr>
            </w:pPr>
          </w:p>
        </w:tc>
        <w:tc>
          <w:tcPr>
            <w:tcW w:w="2358" w:type="dxa"/>
            <w:gridSpan w:val="2"/>
            <w:tcBorders>
              <w:tl2br w:val="nil"/>
              <w:tr2bl w:val="nil"/>
            </w:tcBorders>
            <w:vAlign w:val="center"/>
          </w:tcPr>
          <w:p w14:paraId="01E1E87E">
            <w:pPr>
              <w:adjustRightInd w:val="0"/>
              <w:snapToGrid w:val="0"/>
              <w:spacing w:line="240" w:lineRule="auto"/>
              <w:ind w:firstLine="0"/>
              <w:jc w:val="center"/>
              <w:rPr>
                <w:bCs/>
                <w:sz w:val="21"/>
                <w:szCs w:val="21"/>
              </w:rPr>
            </w:pPr>
            <w:r>
              <w:rPr>
                <w:bCs/>
                <w:sz w:val="21"/>
                <w:szCs w:val="21"/>
              </w:rPr>
              <w:t>累计值</w:t>
            </w:r>
          </w:p>
        </w:tc>
        <w:tc>
          <w:tcPr>
            <w:tcW w:w="1035" w:type="dxa"/>
            <w:vMerge w:val="restart"/>
            <w:tcBorders>
              <w:tl2br w:val="nil"/>
              <w:tr2bl w:val="nil"/>
            </w:tcBorders>
            <w:vAlign w:val="center"/>
          </w:tcPr>
          <w:p w14:paraId="27886CE8">
            <w:pPr>
              <w:adjustRightInd w:val="0"/>
              <w:snapToGrid w:val="0"/>
              <w:spacing w:line="240" w:lineRule="auto"/>
              <w:ind w:firstLine="0"/>
              <w:jc w:val="center"/>
              <w:rPr>
                <w:bCs/>
                <w:sz w:val="21"/>
                <w:szCs w:val="21"/>
              </w:rPr>
            </w:pPr>
            <w:r>
              <w:rPr>
                <w:bCs/>
                <w:sz w:val="21"/>
                <w:szCs w:val="21"/>
              </w:rPr>
              <w:t>变化速率/mm·d</w:t>
            </w:r>
            <w:r>
              <w:rPr>
                <w:bCs/>
                <w:sz w:val="21"/>
                <w:szCs w:val="21"/>
                <w:vertAlign w:val="superscript"/>
              </w:rPr>
              <w:t>-1</w:t>
            </w:r>
          </w:p>
        </w:tc>
        <w:tc>
          <w:tcPr>
            <w:tcW w:w="2325" w:type="dxa"/>
            <w:gridSpan w:val="2"/>
            <w:tcBorders>
              <w:tl2br w:val="nil"/>
              <w:tr2bl w:val="nil"/>
            </w:tcBorders>
            <w:vAlign w:val="center"/>
          </w:tcPr>
          <w:p w14:paraId="69B6CBA8">
            <w:pPr>
              <w:adjustRightInd w:val="0"/>
              <w:snapToGrid w:val="0"/>
              <w:spacing w:line="240" w:lineRule="auto"/>
              <w:ind w:firstLine="0"/>
              <w:jc w:val="center"/>
              <w:rPr>
                <w:bCs/>
                <w:sz w:val="21"/>
                <w:szCs w:val="21"/>
              </w:rPr>
            </w:pPr>
            <w:r>
              <w:rPr>
                <w:bCs/>
                <w:sz w:val="21"/>
                <w:szCs w:val="21"/>
              </w:rPr>
              <w:t>累计值/mm</w:t>
            </w:r>
          </w:p>
        </w:tc>
        <w:tc>
          <w:tcPr>
            <w:tcW w:w="1095" w:type="dxa"/>
            <w:vMerge w:val="restart"/>
            <w:tcBorders>
              <w:tl2br w:val="nil"/>
              <w:tr2bl w:val="nil"/>
            </w:tcBorders>
            <w:vAlign w:val="center"/>
          </w:tcPr>
          <w:p w14:paraId="30B4E665">
            <w:pPr>
              <w:adjustRightInd w:val="0"/>
              <w:snapToGrid w:val="0"/>
              <w:spacing w:line="240" w:lineRule="auto"/>
              <w:ind w:firstLine="0"/>
              <w:jc w:val="center"/>
              <w:rPr>
                <w:bCs/>
                <w:sz w:val="21"/>
                <w:szCs w:val="21"/>
              </w:rPr>
            </w:pPr>
            <w:r>
              <w:rPr>
                <w:bCs/>
                <w:sz w:val="21"/>
                <w:szCs w:val="21"/>
              </w:rPr>
              <w:t>变化速率/mm·d</w:t>
            </w:r>
            <w:r>
              <w:rPr>
                <w:bCs/>
                <w:sz w:val="21"/>
                <w:szCs w:val="21"/>
                <w:vertAlign w:val="superscript"/>
              </w:rPr>
              <w:t>-1</w:t>
            </w:r>
          </w:p>
        </w:tc>
        <w:tc>
          <w:tcPr>
            <w:tcW w:w="2400" w:type="dxa"/>
            <w:gridSpan w:val="2"/>
            <w:tcBorders>
              <w:tl2br w:val="nil"/>
              <w:tr2bl w:val="nil"/>
            </w:tcBorders>
            <w:vAlign w:val="center"/>
          </w:tcPr>
          <w:p w14:paraId="066892D2">
            <w:pPr>
              <w:adjustRightInd w:val="0"/>
              <w:snapToGrid w:val="0"/>
              <w:spacing w:line="240" w:lineRule="auto"/>
              <w:ind w:firstLine="0"/>
              <w:jc w:val="center"/>
              <w:rPr>
                <w:bCs/>
                <w:sz w:val="21"/>
                <w:szCs w:val="21"/>
              </w:rPr>
            </w:pPr>
            <w:r>
              <w:rPr>
                <w:bCs/>
                <w:sz w:val="21"/>
                <w:szCs w:val="21"/>
              </w:rPr>
              <w:t>累计值/mm</w:t>
            </w:r>
          </w:p>
        </w:tc>
        <w:tc>
          <w:tcPr>
            <w:tcW w:w="1070" w:type="dxa"/>
            <w:vMerge w:val="restart"/>
            <w:tcBorders>
              <w:tl2br w:val="nil"/>
              <w:tr2bl w:val="nil"/>
            </w:tcBorders>
            <w:vAlign w:val="center"/>
          </w:tcPr>
          <w:p w14:paraId="58BBA855">
            <w:pPr>
              <w:adjustRightInd w:val="0"/>
              <w:snapToGrid w:val="0"/>
              <w:spacing w:line="240" w:lineRule="auto"/>
              <w:ind w:firstLine="0"/>
              <w:jc w:val="center"/>
              <w:rPr>
                <w:bCs/>
                <w:sz w:val="21"/>
                <w:szCs w:val="21"/>
              </w:rPr>
            </w:pPr>
            <w:r>
              <w:rPr>
                <w:bCs/>
                <w:sz w:val="21"/>
                <w:szCs w:val="21"/>
              </w:rPr>
              <w:t>变化速率/mm·d</w:t>
            </w:r>
            <w:r>
              <w:rPr>
                <w:bCs/>
                <w:sz w:val="21"/>
                <w:szCs w:val="21"/>
                <w:vertAlign w:val="superscript"/>
              </w:rPr>
              <w:t>-1</w:t>
            </w:r>
          </w:p>
        </w:tc>
      </w:tr>
      <w:tr w14:paraId="32D1FD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79" w:type="dxa"/>
            <w:bottom w:w="28" w:type="dxa"/>
            <w:right w:w="79" w:type="dxa"/>
          </w:tblCellMar>
        </w:tblPrEx>
        <w:trPr>
          <w:trHeight w:val="654" w:hRule="atLeast"/>
          <w:tblHeader/>
          <w:jc w:val="center"/>
        </w:trPr>
        <w:tc>
          <w:tcPr>
            <w:tcW w:w="487" w:type="dxa"/>
            <w:vMerge w:val="continue"/>
            <w:tcBorders>
              <w:tl2br w:val="nil"/>
              <w:tr2bl w:val="nil"/>
            </w:tcBorders>
            <w:vAlign w:val="center"/>
          </w:tcPr>
          <w:p w14:paraId="4A1CE27D">
            <w:pPr>
              <w:adjustRightInd w:val="0"/>
              <w:snapToGrid w:val="0"/>
              <w:spacing w:line="240" w:lineRule="auto"/>
              <w:ind w:firstLine="0"/>
              <w:jc w:val="center"/>
              <w:rPr>
                <w:sz w:val="21"/>
                <w:szCs w:val="21"/>
              </w:rPr>
            </w:pPr>
          </w:p>
        </w:tc>
        <w:tc>
          <w:tcPr>
            <w:tcW w:w="897" w:type="dxa"/>
            <w:vMerge w:val="continue"/>
            <w:tcBorders>
              <w:tl2br w:val="nil"/>
              <w:tr2bl w:val="nil"/>
            </w:tcBorders>
            <w:vAlign w:val="center"/>
          </w:tcPr>
          <w:p w14:paraId="33353CA9">
            <w:pPr>
              <w:adjustRightInd w:val="0"/>
              <w:snapToGrid w:val="0"/>
              <w:spacing w:line="240" w:lineRule="auto"/>
              <w:ind w:firstLine="0"/>
              <w:jc w:val="center"/>
              <w:rPr>
                <w:sz w:val="21"/>
                <w:szCs w:val="21"/>
              </w:rPr>
            </w:pPr>
          </w:p>
        </w:tc>
        <w:tc>
          <w:tcPr>
            <w:tcW w:w="3119" w:type="dxa"/>
            <w:vMerge w:val="continue"/>
            <w:tcBorders>
              <w:tl2br w:val="nil"/>
              <w:tr2bl w:val="nil"/>
            </w:tcBorders>
            <w:vAlign w:val="center"/>
          </w:tcPr>
          <w:p w14:paraId="46BF94E9">
            <w:pPr>
              <w:adjustRightInd w:val="0"/>
              <w:snapToGrid w:val="0"/>
              <w:spacing w:line="240" w:lineRule="auto"/>
              <w:ind w:firstLine="0"/>
              <w:jc w:val="center"/>
              <w:rPr>
                <w:sz w:val="21"/>
                <w:szCs w:val="21"/>
              </w:rPr>
            </w:pPr>
          </w:p>
        </w:tc>
        <w:tc>
          <w:tcPr>
            <w:tcW w:w="918" w:type="dxa"/>
            <w:tcBorders>
              <w:tl2br w:val="nil"/>
              <w:tr2bl w:val="nil"/>
            </w:tcBorders>
            <w:vAlign w:val="center"/>
          </w:tcPr>
          <w:p w14:paraId="015BB93A">
            <w:pPr>
              <w:adjustRightInd w:val="0"/>
              <w:snapToGrid w:val="0"/>
              <w:spacing w:line="240" w:lineRule="auto"/>
              <w:ind w:firstLine="0"/>
              <w:jc w:val="center"/>
              <w:rPr>
                <w:bCs/>
                <w:sz w:val="21"/>
                <w:szCs w:val="21"/>
              </w:rPr>
            </w:pPr>
            <w:r>
              <w:rPr>
                <w:bCs/>
                <w:sz w:val="21"/>
                <w:szCs w:val="21"/>
              </w:rPr>
              <w:t>绝对值/mm</w:t>
            </w:r>
          </w:p>
        </w:tc>
        <w:tc>
          <w:tcPr>
            <w:tcW w:w="1440" w:type="dxa"/>
            <w:tcBorders>
              <w:tl2br w:val="nil"/>
              <w:tr2bl w:val="nil"/>
            </w:tcBorders>
            <w:vAlign w:val="center"/>
          </w:tcPr>
          <w:p w14:paraId="32FC2455">
            <w:pPr>
              <w:adjustRightInd w:val="0"/>
              <w:snapToGrid w:val="0"/>
              <w:spacing w:line="240" w:lineRule="auto"/>
              <w:ind w:firstLine="0"/>
              <w:jc w:val="center"/>
              <w:rPr>
                <w:bCs/>
                <w:sz w:val="21"/>
                <w:szCs w:val="21"/>
              </w:rPr>
            </w:pPr>
            <w:r>
              <w:rPr>
                <w:bCs/>
                <w:sz w:val="21"/>
                <w:szCs w:val="21"/>
              </w:rPr>
              <w:t>相对基坑深度（</w:t>
            </w:r>
            <w:r>
              <w:rPr>
                <w:bCs/>
                <w:i/>
                <w:sz w:val="21"/>
                <w:szCs w:val="21"/>
              </w:rPr>
              <w:t>h</w:t>
            </w:r>
            <w:r>
              <w:rPr>
                <w:bCs/>
                <w:sz w:val="21"/>
                <w:szCs w:val="21"/>
              </w:rPr>
              <w:t>）控制值</w:t>
            </w:r>
          </w:p>
        </w:tc>
        <w:tc>
          <w:tcPr>
            <w:tcW w:w="1035" w:type="dxa"/>
            <w:vMerge w:val="continue"/>
            <w:tcBorders>
              <w:tl2br w:val="nil"/>
              <w:tr2bl w:val="nil"/>
            </w:tcBorders>
            <w:vAlign w:val="center"/>
          </w:tcPr>
          <w:p w14:paraId="7EB2125C">
            <w:pPr>
              <w:adjustRightInd w:val="0"/>
              <w:snapToGrid w:val="0"/>
              <w:spacing w:line="240" w:lineRule="auto"/>
              <w:ind w:firstLine="0"/>
              <w:jc w:val="center"/>
              <w:rPr>
                <w:bCs/>
                <w:sz w:val="21"/>
                <w:szCs w:val="21"/>
              </w:rPr>
            </w:pPr>
          </w:p>
        </w:tc>
        <w:tc>
          <w:tcPr>
            <w:tcW w:w="885" w:type="dxa"/>
            <w:tcBorders>
              <w:tl2br w:val="nil"/>
              <w:tr2bl w:val="nil"/>
            </w:tcBorders>
            <w:vAlign w:val="center"/>
          </w:tcPr>
          <w:p w14:paraId="066D20F6">
            <w:pPr>
              <w:adjustRightInd w:val="0"/>
              <w:snapToGrid w:val="0"/>
              <w:spacing w:line="240" w:lineRule="auto"/>
              <w:ind w:firstLine="0"/>
              <w:jc w:val="center"/>
              <w:rPr>
                <w:bCs/>
                <w:sz w:val="21"/>
                <w:szCs w:val="21"/>
              </w:rPr>
            </w:pPr>
            <w:r>
              <w:rPr>
                <w:bCs/>
                <w:sz w:val="21"/>
                <w:szCs w:val="21"/>
              </w:rPr>
              <w:t>绝对值/mm</w:t>
            </w:r>
          </w:p>
        </w:tc>
        <w:tc>
          <w:tcPr>
            <w:tcW w:w="1440" w:type="dxa"/>
            <w:tcBorders>
              <w:tl2br w:val="nil"/>
              <w:tr2bl w:val="nil"/>
            </w:tcBorders>
            <w:vAlign w:val="center"/>
          </w:tcPr>
          <w:p w14:paraId="37E26283">
            <w:pPr>
              <w:adjustRightInd w:val="0"/>
              <w:snapToGrid w:val="0"/>
              <w:spacing w:line="240" w:lineRule="auto"/>
              <w:ind w:firstLine="0"/>
              <w:jc w:val="center"/>
              <w:rPr>
                <w:bCs/>
                <w:sz w:val="21"/>
                <w:szCs w:val="21"/>
              </w:rPr>
            </w:pPr>
            <w:r>
              <w:rPr>
                <w:bCs/>
                <w:sz w:val="21"/>
                <w:szCs w:val="21"/>
              </w:rPr>
              <w:t>相对基坑深度（</w:t>
            </w:r>
            <w:r>
              <w:rPr>
                <w:bCs/>
                <w:i/>
                <w:sz w:val="21"/>
                <w:szCs w:val="21"/>
              </w:rPr>
              <w:t>h</w:t>
            </w:r>
            <w:r>
              <w:rPr>
                <w:bCs/>
                <w:sz w:val="21"/>
                <w:szCs w:val="21"/>
              </w:rPr>
              <w:t>）控制值</w:t>
            </w:r>
          </w:p>
        </w:tc>
        <w:tc>
          <w:tcPr>
            <w:tcW w:w="1095" w:type="dxa"/>
            <w:vMerge w:val="continue"/>
            <w:tcBorders>
              <w:tl2br w:val="nil"/>
              <w:tr2bl w:val="nil"/>
            </w:tcBorders>
            <w:vAlign w:val="center"/>
          </w:tcPr>
          <w:p w14:paraId="253313C7">
            <w:pPr>
              <w:adjustRightInd w:val="0"/>
              <w:snapToGrid w:val="0"/>
              <w:spacing w:line="240" w:lineRule="auto"/>
              <w:ind w:firstLine="0"/>
              <w:jc w:val="center"/>
              <w:rPr>
                <w:bCs/>
                <w:sz w:val="21"/>
                <w:szCs w:val="21"/>
              </w:rPr>
            </w:pPr>
          </w:p>
        </w:tc>
        <w:tc>
          <w:tcPr>
            <w:tcW w:w="960" w:type="dxa"/>
            <w:tcBorders>
              <w:tl2br w:val="nil"/>
              <w:tr2bl w:val="nil"/>
            </w:tcBorders>
            <w:vAlign w:val="center"/>
          </w:tcPr>
          <w:p w14:paraId="20FD5469">
            <w:pPr>
              <w:adjustRightInd w:val="0"/>
              <w:snapToGrid w:val="0"/>
              <w:spacing w:line="240" w:lineRule="auto"/>
              <w:ind w:firstLine="0"/>
              <w:jc w:val="center"/>
              <w:rPr>
                <w:bCs/>
                <w:sz w:val="21"/>
                <w:szCs w:val="21"/>
              </w:rPr>
            </w:pPr>
            <w:r>
              <w:rPr>
                <w:bCs/>
                <w:sz w:val="21"/>
                <w:szCs w:val="21"/>
              </w:rPr>
              <w:t>绝对值/mm</w:t>
            </w:r>
          </w:p>
        </w:tc>
        <w:tc>
          <w:tcPr>
            <w:tcW w:w="1440" w:type="dxa"/>
            <w:tcBorders>
              <w:tl2br w:val="nil"/>
              <w:tr2bl w:val="nil"/>
            </w:tcBorders>
            <w:vAlign w:val="center"/>
          </w:tcPr>
          <w:p w14:paraId="4338C846">
            <w:pPr>
              <w:adjustRightInd w:val="0"/>
              <w:snapToGrid w:val="0"/>
              <w:spacing w:line="240" w:lineRule="auto"/>
              <w:ind w:firstLine="0"/>
              <w:jc w:val="center"/>
              <w:rPr>
                <w:bCs/>
                <w:sz w:val="21"/>
                <w:szCs w:val="21"/>
              </w:rPr>
            </w:pPr>
            <w:r>
              <w:rPr>
                <w:bCs/>
                <w:sz w:val="21"/>
                <w:szCs w:val="21"/>
              </w:rPr>
              <w:t>相对基坑深度（</w:t>
            </w:r>
            <w:r>
              <w:rPr>
                <w:bCs/>
                <w:i/>
                <w:sz w:val="21"/>
                <w:szCs w:val="21"/>
              </w:rPr>
              <w:t>h</w:t>
            </w:r>
            <w:r>
              <w:rPr>
                <w:bCs/>
                <w:sz w:val="21"/>
                <w:szCs w:val="21"/>
              </w:rPr>
              <w:t>）控制值</w:t>
            </w:r>
          </w:p>
        </w:tc>
        <w:tc>
          <w:tcPr>
            <w:tcW w:w="1070" w:type="dxa"/>
            <w:vMerge w:val="continue"/>
            <w:tcBorders>
              <w:tl2br w:val="nil"/>
              <w:tr2bl w:val="nil"/>
            </w:tcBorders>
            <w:vAlign w:val="center"/>
          </w:tcPr>
          <w:p w14:paraId="5FE2100B">
            <w:pPr>
              <w:adjustRightInd w:val="0"/>
              <w:snapToGrid w:val="0"/>
              <w:spacing w:line="240" w:lineRule="auto"/>
              <w:ind w:firstLine="0"/>
              <w:jc w:val="center"/>
              <w:rPr>
                <w:bCs/>
                <w:sz w:val="21"/>
                <w:szCs w:val="21"/>
              </w:rPr>
            </w:pPr>
          </w:p>
        </w:tc>
      </w:tr>
      <w:tr w14:paraId="3B31F6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79" w:type="dxa"/>
            <w:bottom w:w="28" w:type="dxa"/>
            <w:right w:w="79" w:type="dxa"/>
          </w:tblCellMar>
        </w:tblPrEx>
        <w:trPr>
          <w:trHeight w:val="454" w:hRule="atLeast"/>
          <w:jc w:val="center"/>
        </w:trPr>
        <w:tc>
          <w:tcPr>
            <w:tcW w:w="487" w:type="dxa"/>
            <w:vMerge w:val="restart"/>
            <w:tcBorders>
              <w:tl2br w:val="nil"/>
              <w:tr2bl w:val="nil"/>
            </w:tcBorders>
            <w:vAlign w:val="center"/>
          </w:tcPr>
          <w:p w14:paraId="75DF7264">
            <w:pPr>
              <w:adjustRightInd w:val="0"/>
              <w:snapToGrid w:val="0"/>
              <w:spacing w:line="240" w:lineRule="auto"/>
              <w:ind w:firstLine="0"/>
              <w:jc w:val="center"/>
              <w:rPr>
                <w:sz w:val="21"/>
                <w:szCs w:val="21"/>
              </w:rPr>
            </w:pPr>
            <w:r>
              <w:rPr>
                <w:sz w:val="21"/>
                <w:szCs w:val="21"/>
              </w:rPr>
              <w:t>1</w:t>
            </w:r>
          </w:p>
        </w:tc>
        <w:tc>
          <w:tcPr>
            <w:tcW w:w="897" w:type="dxa"/>
            <w:vMerge w:val="restart"/>
            <w:tcBorders>
              <w:tl2br w:val="nil"/>
              <w:tr2bl w:val="nil"/>
            </w:tcBorders>
            <w:vAlign w:val="center"/>
          </w:tcPr>
          <w:p w14:paraId="720B6252">
            <w:pPr>
              <w:adjustRightInd w:val="0"/>
              <w:snapToGrid w:val="0"/>
              <w:spacing w:line="240" w:lineRule="auto"/>
              <w:ind w:firstLine="0"/>
              <w:jc w:val="center"/>
              <w:rPr>
                <w:sz w:val="21"/>
                <w:szCs w:val="21"/>
              </w:rPr>
            </w:pPr>
            <w:r>
              <w:rPr>
                <w:sz w:val="21"/>
                <w:szCs w:val="21"/>
              </w:rPr>
              <w:t>墙（坡）顶水平位移</w:t>
            </w:r>
          </w:p>
        </w:tc>
        <w:tc>
          <w:tcPr>
            <w:tcW w:w="3119" w:type="dxa"/>
            <w:tcBorders>
              <w:tl2br w:val="nil"/>
              <w:tr2bl w:val="nil"/>
            </w:tcBorders>
            <w:vAlign w:val="center"/>
          </w:tcPr>
          <w:p w14:paraId="23D88336">
            <w:pPr>
              <w:adjustRightInd w:val="0"/>
              <w:snapToGrid w:val="0"/>
              <w:spacing w:line="240" w:lineRule="auto"/>
              <w:ind w:firstLine="0"/>
              <w:jc w:val="center"/>
              <w:rPr>
                <w:sz w:val="21"/>
                <w:szCs w:val="21"/>
              </w:rPr>
            </w:pPr>
            <w:r>
              <w:rPr>
                <w:sz w:val="21"/>
                <w:szCs w:val="21"/>
              </w:rPr>
              <w:t>放坡、土钉墙、喷锚支护、水泥土墙</w:t>
            </w:r>
          </w:p>
        </w:tc>
        <w:tc>
          <w:tcPr>
            <w:tcW w:w="918" w:type="dxa"/>
            <w:tcBorders>
              <w:tl2br w:val="nil"/>
              <w:tr2bl w:val="nil"/>
            </w:tcBorders>
            <w:vAlign w:val="center"/>
          </w:tcPr>
          <w:p w14:paraId="1C4C572B">
            <w:pPr>
              <w:adjustRightInd w:val="0"/>
              <w:snapToGrid w:val="0"/>
              <w:spacing w:line="240" w:lineRule="auto"/>
              <w:ind w:firstLine="0"/>
              <w:jc w:val="center"/>
              <w:rPr>
                <w:sz w:val="21"/>
                <w:szCs w:val="21"/>
              </w:rPr>
            </w:pPr>
            <w:r>
              <w:rPr>
                <w:sz w:val="21"/>
                <w:szCs w:val="21"/>
              </w:rPr>
              <w:t>30~35</w:t>
            </w:r>
          </w:p>
        </w:tc>
        <w:tc>
          <w:tcPr>
            <w:tcW w:w="1440" w:type="dxa"/>
            <w:tcBorders>
              <w:tl2br w:val="nil"/>
              <w:tr2bl w:val="nil"/>
            </w:tcBorders>
            <w:vAlign w:val="center"/>
          </w:tcPr>
          <w:p w14:paraId="26728345">
            <w:pPr>
              <w:adjustRightInd w:val="0"/>
              <w:snapToGrid w:val="0"/>
              <w:spacing w:line="240" w:lineRule="auto"/>
              <w:ind w:firstLine="0"/>
              <w:jc w:val="center"/>
              <w:rPr>
                <w:sz w:val="21"/>
                <w:szCs w:val="21"/>
              </w:rPr>
            </w:pPr>
            <w:r>
              <w:rPr>
                <w:sz w:val="21"/>
                <w:szCs w:val="21"/>
              </w:rPr>
              <w:t>0.3%~0.4%</w:t>
            </w:r>
          </w:p>
        </w:tc>
        <w:tc>
          <w:tcPr>
            <w:tcW w:w="1035" w:type="dxa"/>
            <w:tcBorders>
              <w:tl2br w:val="nil"/>
              <w:tr2bl w:val="nil"/>
            </w:tcBorders>
            <w:vAlign w:val="center"/>
          </w:tcPr>
          <w:p w14:paraId="23ECC651">
            <w:pPr>
              <w:adjustRightInd w:val="0"/>
              <w:snapToGrid w:val="0"/>
              <w:spacing w:line="240" w:lineRule="auto"/>
              <w:ind w:firstLine="0"/>
              <w:jc w:val="center"/>
              <w:rPr>
                <w:sz w:val="21"/>
                <w:szCs w:val="21"/>
              </w:rPr>
            </w:pPr>
            <w:r>
              <w:rPr>
                <w:sz w:val="21"/>
                <w:szCs w:val="21"/>
              </w:rPr>
              <w:t>5~10</w:t>
            </w:r>
          </w:p>
        </w:tc>
        <w:tc>
          <w:tcPr>
            <w:tcW w:w="885" w:type="dxa"/>
            <w:tcBorders>
              <w:tl2br w:val="nil"/>
              <w:tr2bl w:val="nil"/>
            </w:tcBorders>
            <w:vAlign w:val="center"/>
          </w:tcPr>
          <w:p w14:paraId="78460932">
            <w:pPr>
              <w:adjustRightInd w:val="0"/>
              <w:snapToGrid w:val="0"/>
              <w:spacing w:line="240" w:lineRule="auto"/>
              <w:ind w:firstLine="0"/>
              <w:jc w:val="center"/>
              <w:rPr>
                <w:sz w:val="21"/>
                <w:szCs w:val="21"/>
              </w:rPr>
            </w:pPr>
            <w:r>
              <w:rPr>
                <w:sz w:val="21"/>
                <w:szCs w:val="21"/>
              </w:rPr>
              <w:t>50~60</w:t>
            </w:r>
          </w:p>
        </w:tc>
        <w:tc>
          <w:tcPr>
            <w:tcW w:w="1440" w:type="dxa"/>
            <w:tcBorders>
              <w:tl2br w:val="nil"/>
              <w:tr2bl w:val="nil"/>
            </w:tcBorders>
            <w:vAlign w:val="center"/>
          </w:tcPr>
          <w:p w14:paraId="2DCA54FA">
            <w:pPr>
              <w:adjustRightInd w:val="0"/>
              <w:snapToGrid w:val="0"/>
              <w:spacing w:line="240" w:lineRule="auto"/>
              <w:ind w:firstLine="0"/>
              <w:jc w:val="center"/>
              <w:rPr>
                <w:sz w:val="21"/>
                <w:szCs w:val="21"/>
              </w:rPr>
            </w:pPr>
            <w:r>
              <w:rPr>
                <w:sz w:val="21"/>
                <w:szCs w:val="21"/>
              </w:rPr>
              <w:t>0.6%~0.8%</w:t>
            </w:r>
          </w:p>
        </w:tc>
        <w:tc>
          <w:tcPr>
            <w:tcW w:w="1095" w:type="dxa"/>
            <w:tcBorders>
              <w:tl2br w:val="nil"/>
              <w:tr2bl w:val="nil"/>
            </w:tcBorders>
            <w:vAlign w:val="center"/>
          </w:tcPr>
          <w:p w14:paraId="0095810C">
            <w:pPr>
              <w:adjustRightInd w:val="0"/>
              <w:snapToGrid w:val="0"/>
              <w:spacing w:line="240" w:lineRule="auto"/>
              <w:ind w:firstLine="0"/>
              <w:jc w:val="center"/>
              <w:rPr>
                <w:sz w:val="21"/>
                <w:szCs w:val="21"/>
              </w:rPr>
            </w:pPr>
            <w:r>
              <w:rPr>
                <w:sz w:val="21"/>
                <w:szCs w:val="21"/>
              </w:rPr>
              <w:t>10~15</w:t>
            </w:r>
          </w:p>
        </w:tc>
        <w:tc>
          <w:tcPr>
            <w:tcW w:w="960" w:type="dxa"/>
            <w:tcBorders>
              <w:tl2br w:val="nil"/>
              <w:tr2bl w:val="nil"/>
            </w:tcBorders>
            <w:vAlign w:val="center"/>
          </w:tcPr>
          <w:p w14:paraId="5EB9CA0C">
            <w:pPr>
              <w:adjustRightInd w:val="0"/>
              <w:snapToGrid w:val="0"/>
              <w:spacing w:line="240" w:lineRule="auto"/>
              <w:ind w:firstLine="0"/>
              <w:jc w:val="center"/>
              <w:rPr>
                <w:sz w:val="21"/>
                <w:szCs w:val="21"/>
              </w:rPr>
            </w:pPr>
            <w:r>
              <w:rPr>
                <w:sz w:val="21"/>
                <w:szCs w:val="21"/>
              </w:rPr>
              <w:t>70~80</w:t>
            </w:r>
          </w:p>
        </w:tc>
        <w:tc>
          <w:tcPr>
            <w:tcW w:w="1440" w:type="dxa"/>
            <w:tcBorders>
              <w:tl2br w:val="nil"/>
              <w:tr2bl w:val="nil"/>
            </w:tcBorders>
            <w:vAlign w:val="center"/>
          </w:tcPr>
          <w:p w14:paraId="471C919A">
            <w:pPr>
              <w:adjustRightInd w:val="0"/>
              <w:snapToGrid w:val="0"/>
              <w:spacing w:line="240" w:lineRule="auto"/>
              <w:ind w:firstLine="0"/>
              <w:jc w:val="center"/>
              <w:rPr>
                <w:sz w:val="21"/>
                <w:szCs w:val="21"/>
              </w:rPr>
            </w:pPr>
            <w:r>
              <w:rPr>
                <w:sz w:val="21"/>
                <w:szCs w:val="21"/>
              </w:rPr>
              <w:t>0.8%~1.0%</w:t>
            </w:r>
          </w:p>
        </w:tc>
        <w:tc>
          <w:tcPr>
            <w:tcW w:w="1070" w:type="dxa"/>
            <w:tcBorders>
              <w:tl2br w:val="nil"/>
              <w:tr2bl w:val="nil"/>
            </w:tcBorders>
            <w:tcMar>
              <w:left w:w="0" w:type="dxa"/>
              <w:right w:w="0" w:type="dxa"/>
            </w:tcMar>
            <w:vAlign w:val="center"/>
          </w:tcPr>
          <w:p w14:paraId="374BA836">
            <w:pPr>
              <w:adjustRightInd w:val="0"/>
              <w:snapToGrid w:val="0"/>
              <w:spacing w:line="240" w:lineRule="auto"/>
              <w:ind w:firstLine="0"/>
              <w:jc w:val="center"/>
              <w:rPr>
                <w:sz w:val="21"/>
                <w:szCs w:val="21"/>
              </w:rPr>
            </w:pPr>
            <w:r>
              <w:rPr>
                <w:sz w:val="21"/>
                <w:szCs w:val="21"/>
              </w:rPr>
              <w:t>15~20</w:t>
            </w:r>
          </w:p>
        </w:tc>
      </w:tr>
      <w:tr w14:paraId="1B79E9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79" w:type="dxa"/>
            <w:bottom w:w="28" w:type="dxa"/>
            <w:right w:w="79" w:type="dxa"/>
          </w:tblCellMar>
        </w:tblPrEx>
        <w:trPr>
          <w:trHeight w:val="454" w:hRule="atLeast"/>
          <w:jc w:val="center"/>
        </w:trPr>
        <w:tc>
          <w:tcPr>
            <w:tcW w:w="487" w:type="dxa"/>
            <w:vMerge w:val="continue"/>
            <w:tcBorders>
              <w:tl2br w:val="nil"/>
              <w:tr2bl w:val="nil"/>
            </w:tcBorders>
            <w:vAlign w:val="center"/>
          </w:tcPr>
          <w:p w14:paraId="75F8D76C">
            <w:pPr>
              <w:adjustRightInd w:val="0"/>
              <w:snapToGrid w:val="0"/>
              <w:spacing w:line="240" w:lineRule="auto"/>
              <w:ind w:firstLine="0"/>
              <w:jc w:val="center"/>
              <w:rPr>
                <w:sz w:val="21"/>
                <w:szCs w:val="21"/>
              </w:rPr>
            </w:pPr>
          </w:p>
        </w:tc>
        <w:tc>
          <w:tcPr>
            <w:tcW w:w="897" w:type="dxa"/>
            <w:vMerge w:val="continue"/>
            <w:tcBorders>
              <w:tl2br w:val="nil"/>
              <w:tr2bl w:val="nil"/>
            </w:tcBorders>
            <w:vAlign w:val="center"/>
          </w:tcPr>
          <w:p w14:paraId="285796E7">
            <w:pPr>
              <w:adjustRightInd w:val="0"/>
              <w:snapToGrid w:val="0"/>
              <w:spacing w:line="240" w:lineRule="auto"/>
              <w:ind w:firstLine="0"/>
              <w:jc w:val="center"/>
              <w:rPr>
                <w:sz w:val="21"/>
                <w:szCs w:val="21"/>
              </w:rPr>
            </w:pPr>
          </w:p>
        </w:tc>
        <w:tc>
          <w:tcPr>
            <w:tcW w:w="3119" w:type="dxa"/>
            <w:tcBorders>
              <w:tl2br w:val="nil"/>
              <w:tr2bl w:val="nil"/>
            </w:tcBorders>
            <w:vAlign w:val="center"/>
          </w:tcPr>
          <w:p w14:paraId="12470A91">
            <w:pPr>
              <w:adjustRightInd w:val="0"/>
              <w:snapToGrid w:val="0"/>
              <w:spacing w:line="240" w:lineRule="auto"/>
              <w:ind w:firstLine="0"/>
              <w:jc w:val="center"/>
              <w:rPr>
                <w:sz w:val="21"/>
                <w:szCs w:val="21"/>
              </w:rPr>
            </w:pPr>
            <w:r>
              <w:rPr>
                <w:sz w:val="21"/>
                <w:szCs w:val="21"/>
              </w:rPr>
              <w:t>钢板桩、灌注桩、型钢水泥土墙、地下连续墙</w:t>
            </w:r>
          </w:p>
        </w:tc>
        <w:tc>
          <w:tcPr>
            <w:tcW w:w="918" w:type="dxa"/>
            <w:tcBorders>
              <w:tl2br w:val="nil"/>
              <w:tr2bl w:val="nil"/>
            </w:tcBorders>
            <w:vAlign w:val="center"/>
          </w:tcPr>
          <w:p w14:paraId="216FB64C">
            <w:pPr>
              <w:adjustRightInd w:val="0"/>
              <w:snapToGrid w:val="0"/>
              <w:spacing w:line="240" w:lineRule="auto"/>
              <w:ind w:firstLine="0"/>
              <w:jc w:val="center"/>
              <w:rPr>
                <w:sz w:val="21"/>
                <w:szCs w:val="21"/>
              </w:rPr>
            </w:pPr>
            <w:r>
              <w:rPr>
                <w:sz w:val="21"/>
                <w:szCs w:val="21"/>
              </w:rPr>
              <w:t>25~30</w:t>
            </w:r>
          </w:p>
        </w:tc>
        <w:tc>
          <w:tcPr>
            <w:tcW w:w="1440" w:type="dxa"/>
            <w:tcBorders>
              <w:tl2br w:val="nil"/>
              <w:tr2bl w:val="nil"/>
            </w:tcBorders>
            <w:vAlign w:val="center"/>
          </w:tcPr>
          <w:p w14:paraId="3D7BF183">
            <w:pPr>
              <w:adjustRightInd w:val="0"/>
              <w:snapToGrid w:val="0"/>
              <w:spacing w:line="240" w:lineRule="auto"/>
              <w:ind w:firstLine="0"/>
              <w:jc w:val="center"/>
              <w:rPr>
                <w:sz w:val="21"/>
                <w:szCs w:val="21"/>
              </w:rPr>
            </w:pPr>
            <w:r>
              <w:rPr>
                <w:sz w:val="21"/>
                <w:szCs w:val="21"/>
              </w:rPr>
              <w:t>0.2%~0.3%</w:t>
            </w:r>
          </w:p>
        </w:tc>
        <w:tc>
          <w:tcPr>
            <w:tcW w:w="1035" w:type="dxa"/>
            <w:tcBorders>
              <w:tl2br w:val="nil"/>
              <w:tr2bl w:val="nil"/>
            </w:tcBorders>
            <w:vAlign w:val="center"/>
          </w:tcPr>
          <w:p w14:paraId="2618492D">
            <w:pPr>
              <w:adjustRightInd w:val="0"/>
              <w:snapToGrid w:val="0"/>
              <w:spacing w:line="240" w:lineRule="auto"/>
              <w:ind w:firstLine="0"/>
              <w:jc w:val="center"/>
              <w:rPr>
                <w:sz w:val="21"/>
                <w:szCs w:val="21"/>
              </w:rPr>
            </w:pPr>
            <w:r>
              <w:rPr>
                <w:sz w:val="21"/>
                <w:szCs w:val="21"/>
              </w:rPr>
              <w:t>2~3</w:t>
            </w:r>
          </w:p>
        </w:tc>
        <w:tc>
          <w:tcPr>
            <w:tcW w:w="885" w:type="dxa"/>
            <w:tcBorders>
              <w:tl2br w:val="nil"/>
              <w:tr2bl w:val="nil"/>
            </w:tcBorders>
            <w:vAlign w:val="center"/>
          </w:tcPr>
          <w:p w14:paraId="2879E5FB">
            <w:pPr>
              <w:adjustRightInd w:val="0"/>
              <w:snapToGrid w:val="0"/>
              <w:spacing w:line="240" w:lineRule="auto"/>
              <w:ind w:firstLine="0"/>
              <w:jc w:val="center"/>
              <w:rPr>
                <w:sz w:val="21"/>
                <w:szCs w:val="21"/>
              </w:rPr>
            </w:pPr>
            <w:r>
              <w:rPr>
                <w:sz w:val="21"/>
                <w:szCs w:val="21"/>
              </w:rPr>
              <w:t>40~50</w:t>
            </w:r>
          </w:p>
        </w:tc>
        <w:tc>
          <w:tcPr>
            <w:tcW w:w="1440" w:type="dxa"/>
            <w:tcBorders>
              <w:tl2br w:val="nil"/>
              <w:tr2bl w:val="nil"/>
            </w:tcBorders>
            <w:vAlign w:val="center"/>
          </w:tcPr>
          <w:p w14:paraId="6F0F76FD">
            <w:pPr>
              <w:adjustRightInd w:val="0"/>
              <w:snapToGrid w:val="0"/>
              <w:spacing w:line="240" w:lineRule="auto"/>
              <w:ind w:firstLine="0"/>
              <w:jc w:val="center"/>
              <w:rPr>
                <w:sz w:val="21"/>
                <w:szCs w:val="21"/>
              </w:rPr>
            </w:pPr>
            <w:r>
              <w:rPr>
                <w:sz w:val="21"/>
                <w:szCs w:val="21"/>
              </w:rPr>
              <w:t>0.5%~0.7%</w:t>
            </w:r>
          </w:p>
        </w:tc>
        <w:tc>
          <w:tcPr>
            <w:tcW w:w="1095" w:type="dxa"/>
            <w:tcBorders>
              <w:tl2br w:val="nil"/>
              <w:tr2bl w:val="nil"/>
            </w:tcBorders>
            <w:vAlign w:val="center"/>
          </w:tcPr>
          <w:p w14:paraId="12C8CE56">
            <w:pPr>
              <w:adjustRightInd w:val="0"/>
              <w:snapToGrid w:val="0"/>
              <w:spacing w:line="240" w:lineRule="auto"/>
              <w:ind w:firstLine="0"/>
              <w:jc w:val="center"/>
              <w:rPr>
                <w:sz w:val="21"/>
                <w:szCs w:val="21"/>
              </w:rPr>
            </w:pPr>
            <w:r>
              <w:rPr>
                <w:sz w:val="21"/>
                <w:szCs w:val="21"/>
              </w:rPr>
              <w:t>4~6</w:t>
            </w:r>
          </w:p>
        </w:tc>
        <w:tc>
          <w:tcPr>
            <w:tcW w:w="960" w:type="dxa"/>
            <w:tcBorders>
              <w:tl2br w:val="nil"/>
              <w:tr2bl w:val="nil"/>
            </w:tcBorders>
            <w:vAlign w:val="center"/>
          </w:tcPr>
          <w:p w14:paraId="577760E5">
            <w:pPr>
              <w:adjustRightInd w:val="0"/>
              <w:snapToGrid w:val="0"/>
              <w:spacing w:line="240" w:lineRule="auto"/>
              <w:ind w:firstLine="0"/>
              <w:jc w:val="center"/>
              <w:rPr>
                <w:sz w:val="21"/>
                <w:szCs w:val="21"/>
              </w:rPr>
            </w:pPr>
            <w:r>
              <w:rPr>
                <w:sz w:val="21"/>
                <w:szCs w:val="21"/>
              </w:rPr>
              <w:t>60~70</w:t>
            </w:r>
          </w:p>
        </w:tc>
        <w:tc>
          <w:tcPr>
            <w:tcW w:w="1440" w:type="dxa"/>
            <w:tcBorders>
              <w:tl2br w:val="nil"/>
              <w:tr2bl w:val="nil"/>
            </w:tcBorders>
            <w:vAlign w:val="center"/>
          </w:tcPr>
          <w:p w14:paraId="061608A6">
            <w:pPr>
              <w:adjustRightInd w:val="0"/>
              <w:snapToGrid w:val="0"/>
              <w:spacing w:line="240" w:lineRule="auto"/>
              <w:ind w:firstLine="0"/>
              <w:jc w:val="center"/>
              <w:rPr>
                <w:sz w:val="21"/>
                <w:szCs w:val="21"/>
              </w:rPr>
            </w:pPr>
            <w:r>
              <w:rPr>
                <w:sz w:val="21"/>
                <w:szCs w:val="21"/>
              </w:rPr>
              <w:t>0.6%~0.8%</w:t>
            </w:r>
          </w:p>
        </w:tc>
        <w:tc>
          <w:tcPr>
            <w:tcW w:w="1070" w:type="dxa"/>
            <w:tcBorders>
              <w:tl2br w:val="nil"/>
              <w:tr2bl w:val="nil"/>
            </w:tcBorders>
            <w:vAlign w:val="center"/>
          </w:tcPr>
          <w:p w14:paraId="001FB20F">
            <w:pPr>
              <w:adjustRightInd w:val="0"/>
              <w:snapToGrid w:val="0"/>
              <w:spacing w:line="240" w:lineRule="auto"/>
              <w:ind w:firstLine="0"/>
              <w:jc w:val="center"/>
              <w:rPr>
                <w:sz w:val="21"/>
                <w:szCs w:val="21"/>
              </w:rPr>
            </w:pPr>
            <w:r>
              <w:rPr>
                <w:sz w:val="21"/>
                <w:szCs w:val="21"/>
              </w:rPr>
              <w:t>8~10</w:t>
            </w:r>
          </w:p>
        </w:tc>
      </w:tr>
      <w:tr w14:paraId="284C17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79" w:type="dxa"/>
            <w:bottom w:w="28" w:type="dxa"/>
            <w:right w:w="79" w:type="dxa"/>
          </w:tblCellMar>
        </w:tblPrEx>
        <w:trPr>
          <w:trHeight w:val="454" w:hRule="atLeast"/>
          <w:jc w:val="center"/>
        </w:trPr>
        <w:tc>
          <w:tcPr>
            <w:tcW w:w="487" w:type="dxa"/>
            <w:vMerge w:val="restart"/>
            <w:tcBorders>
              <w:tl2br w:val="nil"/>
              <w:tr2bl w:val="nil"/>
            </w:tcBorders>
            <w:vAlign w:val="center"/>
          </w:tcPr>
          <w:p w14:paraId="6D996398">
            <w:pPr>
              <w:adjustRightInd w:val="0"/>
              <w:snapToGrid w:val="0"/>
              <w:spacing w:line="240" w:lineRule="auto"/>
              <w:ind w:firstLine="0"/>
              <w:jc w:val="center"/>
              <w:rPr>
                <w:sz w:val="21"/>
                <w:szCs w:val="21"/>
              </w:rPr>
            </w:pPr>
            <w:r>
              <w:rPr>
                <w:sz w:val="21"/>
                <w:szCs w:val="21"/>
              </w:rPr>
              <w:t>2</w:t>
            </w:r>
          </w:p>
        </w:tc>
        <w:tc>
          <w:tcPr>
            <w:tcW w:w="897" w:type="dxa"/>
            <w:vMerge w:val="restart"/>
            <w:tcBorders>
              <w:tl2br w:val="nil"/>
              <w:tr2bl w:val="nil"/>
            </w:tcBorders>
            <w:vAlign w:val="center"/>
          </w:tcPr>
          <w:p w14:paraId="58507676">
            <w:pPr>
              <w:adjustRightInd w:val="0"/>
              <w:snapToGrid w:val="0"/>
              <w:spacing w:line="240" w:lineRule="auto"/>
              <w:ind w:firstLine="0"/>
              <w:jc w:val="center"/>
              <w:rPr>
                <w:sz w:val="21"/>
                <w:szCs w:val="21"/>
              </w:rPr>
            </w:pPr>
            <w:r>
              <w:rPr>
                <w:sz w:val="21"/>
                <w:szCs w:val="21"/>
              </w:rPr>
              <w:t>墙（坡）顶竖向位移</w:t>
            </w:r>
          </w:p>
        </w:tc>
        <w:tc>
          <w:tcPr>
            <w:tcW w:w="3119" w:type="dxa"/>
            <w:tcBorders>
              <w:tl2br w:val="nil"/>
              <w:tr2bl w:val="nil"/>
            </w:tcBorders>
            <w:vAlign w:val="center"/>
          </w:tcPr>
          <w:p w14:paraId="29BCC601">
            <w:pPr>
              <w:adjustRightInd w:val="0"/>
              <w:snapToGrid w:val="0"/>
              <w:spacing w:line="240" w:lineRule="auto"/>
              <w:ind w:firstLine="0"/>
              <w:jc w:val="center"/>
              <w:rPr>
                <w:sz w:val="21"/>
                <w:szCs w:val="21"/>
              </w:rPr>
            </w:pPr>
            <w:r>
              <w:rPr>
                <w:sz w:val="21"/>
                <w:szCs w:val="21"/>
              </w:rPr>
              <w:t>放坡、土钉墙、喷锚支护、水泥土墙</w:t>
            </w:r>
          </w:p>
        </w:tc>
        <w:tc>
          <w:tcPr>
            <w:tcW w:w="918" w:type="dxa"/>
            <w:tcBorders>
              <w:tl2br w:val="nil"/>
              <w:tr2bl w:val="nil"/>
            </w:tcBorders>
            <w:vAlign w:val="center"/>
          </w:tcPr>
          <w:p w14:paraId="1ED5E798">
            <w:pPr>
              <w:adjustRightInd w:val="0"/>
              <w:snapToGrid w:val="0"/>
              <w:spacing w:line="240" w:lineRule="auto"/>
              <w:ind w:firstLine="0"/>
              <w:jc w:val="center"/>
              <w:rPr>
                <w:sz w:val="21"/>
                <w:szCs w:val="21"/>
              </w:rPr>
            </w:pPr>
            <w:r>
              <w:rPr>
                <w:sz w:val="21"/>
                <w:szCs w:val="21"/>
              </w:rPr>
              <w:t>20~40</w:t>
            </w:r>
          </w:p>
        </w:tc>
        <w:tc>
          <w:tcPr>
            <w:tcW w:w="1440" w:type="dxa"/>
            <w:tcBorders>
              <w:tl2br w:val="nil"/>
              <w:tr2bl w:val="nil"/>
            </w:tcBorders>
            <w:vAlign w:val="center"/>
          </w:tcPr>
          <w:p w14:paraId="637C83F9">
            <w:pPr>
              <w:adjustRightInd w:val="0"/>
              <w:snapToGrid w:val="0"/>
              <w:spacing w:line="240" w:lineRule="auto"/>
              <w:ind w:firstLine="0"/>
              <w:jc w:val="center"/>
              <w:rPr>
                <w:sz w:val="21"/>
                <w:szCs w:val="21"/>
              </w:rPr>
            </w:pPr>
            <w:r>
              <w:rPr>
                <w:sz w:val="21"/>
                <w:szCs w:val="21"/>
              </w:rPr>
              <w:t>0.3%~0.4%</w:t>
            </w:r>
          </w:p>
        </w:tc>
        <w:tc>
          <w:tcPr>
            <w:tcW w:w="1035" w:type="dxa"/>
            <w:tcBorders>
              <w:tl2br w:val="nil"/>
              <w:tr2bl w:val="nil"/>
            </w:tcBorders>
            <w:vAlign w:val="center"/>
          </w:tcPr>
          <w:p w14:paraId="65CFD506">
            <w:pPr>
              <w:adjustRightInd w:val="0"/>
              <w:snapToGrid w:val="0"/>
              <w:spacing w:line="240" w:lineRule="auto"/>
              <w:ind w:firstLine="0"/>
              <w:jc w:val="center"/>
              <w:rPr>
                <w:sz w:val="21"/>
                <w:szCs w:val="21"/>
              </w:rPr>
            </w:pPr>
            <w:r>
              <w:rPr>
                <w:sz w:val="21"/>
                <w:szCs w:val="21"/>
              </w:rPr>
              <w:t>3~5</w:t>
            </w:r>
          </w:p>
        </w:tc>
        <w:tc>
          <w:tcPr>
            <w:tcW w:w="885" w:type="dxa"/>
            <w:tcBorders>
              <w:tl2br w:val="nil"/>
              <w:tr2bl w:val="nil"/>
            </w:tcBorders>
            <w:vAlign w:val="center"/>
          </w:tcPr>
          <w:p w14:paraId="03FD00B8">
            <w:pPr>
              <w:adjustRightInd w:val="0"/>
              <w:snapToGrid w:val="0"/>
              <w:spacing w:line="240" w:lineRule="auto"/>
              <w:ind w:firstLine="0"/>
              <w:jc w:val="center"/>
              <w:rPr>
                <w:sz w:val="21"/>
                <w:szCs w:val="21"/>
              </w:rPr>
            </w:pPr>
            <w:r>
              <w:rPr>
                <w:sz w:val="21"/>
                <w:szCs w:val="21"/>
              </w:rPr>
              <w:t>50~60</w:t>
            </w:r>
          </w:p>
        </w:tc>
        <w:tc>
          <w:tcPr>
            <w:tcW w:w="1440" w:type="dxa"/>
            <w:tcBorders>
              <w:tl2br w:val="nil"/>
              <w:tr2bl w:val="nil"/>
            </w:tcBorders>
            <w:vAlign w:val="center"/>
          </w:tcPr>
          <w:p w14:paraId="75E5FA97">
            <w:pPr>
              <w:adjustRightInd w:val="0"/>
              <w:snapToGrid w:val="0"/>
              <w:spacing w:line="240" w:lineRule="auto"/>
              <w:ind w:firstLine="0"/>
              <w:jc w:val="center"/>
              <w:rPr>
                <w:sz w:val="21"/>
                <w:szCs w:val="21"/>
              </w:rPr>
            </w:pPr>
            <w:r>
              <w:rPr>
                <w:sz w:val="21"/>
                <w:szCs w:val="21"/>
              </w:rPr>
              <w:t>0.6%~0.8%</w:t>
            </w:r>
          </w:p>
        </w:tc>
        <w:tc>
          <w:tcPr>
            <w:tcW w:w="1095" w:type="dxa"/>
            <w:tcBorders>
              <w:tl2br w:val="nil"/>
              <w:tr2bl w:val="nil"/>
            </w:tcBorders>
            <w:vAlign w:val="center"/>
          </w:tcPr>
          <w:p w14:paraId="6D011410">
            <w:pPr>
              <w:adjustRightInd w:val="0"/>
              <w:snapToGrid w:val="0"/>
              <w:spacing w:line="240" w:lineRule="auto"/>
              <w:ind w:firstLine="0"/>
              <w:jc w:val="center"/>
              <w:rPr>
                <w:sz w:val="21"/>
                <w:szCs w:val="21"/>
              </w:rPr>
            </w:pPr>
            <w:r>
              <w:rPr>
                <w:sz w:val="21"/>
                <w:szCs w:val="21"/>
              </w:rPr>
              <w:t>5~8</w:t>
            </w:r>
          </w:p>
        </w:tc>
        <w:tc>
          <w:tcPr>
            <w:tcW w:w="960" w:type="dxa"/>
            <w:tcBorders>
              <w:tl2br w:val="nil"/>
              <w:tr2bl w:val="nil"/>
            </w:tcBorders>
            <w:vAlign w:val="center"/>
          </w:tcPr>
          <w:p w14:paraId="4A368596">
            <w:pPr>
              <w:adjustRightInd w:val="0"/>
              <w:snapToGrid w:val="0"/>
              <w:spacing w:line="240" w:lineRule="auto"/>
              <w:ind w:firstLine="0"/>
              <w:jc w:val="center"/>
              <w:rPr>
                <w:sz w:val="21"/>
                <w:szCs w:val="21"/>
              </w:rPr>
            </w:pPr>
            <w:r>
              <w:rPr>
                <w:sz w:val="21"/>
                <w:szCs w:val="21"/>
              </w:rPr>
              <w:t>70~80</w:t>
            </w:r>
          </w:p>
        </w:tc>
        <w:tc>
          <w:tcPr>
            <w:tcW w:w="1440" w:type="dxa"/>
            <w:tcBorders>
              <w:tl2br w:val="nil"/>
              <w:tr2bl w:val="nil"/>
            </w:tcBorders>
            <w:vAlign w:val="center"/>
          </w:tcPr>
          <w:p w14:paraId="0EADAAD6">
            <w:pPr>
              <w:adjustRightInd w:val="0"/>
              <w:snapToGrid w:val="0"/>
              <w:spacing w:line="240" w:lineRule="auto"/>
              <w:ind w:firstLine="0"/>
              <w:jc w:val="center"/>
              <w:rPr>
                <w:sz w:val="21"/>
                <w:szCs w:val="21"/>
              </w:rPr>
            </w:pPr>
            <w:r>
              <w:rPr>
                <w:sz w:val="21"/>
                <w:szCs w:val="21"/>
              </w:rPr>
              <w:t>0.8%~1.0%</w:t>
            </w:r>
          </w:p>
        </w:tc>
        <w:tc>
          <w:tcPr>
            <w:tcW w:w="1070" w:type="dxa"/>
            <w:tcBorders>
              <w:tl2br w:val="nil"/>
              <w:tr2bl w:val="nil"/>
            </w:tcBorders>
            <w:vAlign w:val="center"/>
          </w:tcPr>
          <w:p w14:paraId="301536E2">
            <w:pPr>
              <w:adjustRightInd w:val="0"/>
              <w:snapToGrid w:val="0"/>
              <w:spacing w:line="240" w:lineRule="auto"/>
              <w:ind w:firstLine="0"/>
              <w:jc w:val="center"/>
              <w:rPr>
                <w:sz w:val="21"/>
                <w:szCs w:val="21"/>
              </w:rPr>
            </w:pPr>
            <w:r>
              <w:rPr>
                <w:sz w:val="21"/>
                <w:szCs w:val="21"/>
              </w:rPr>
              <w:t>8~10</w:t>
            </w:r>
          </w:p>
        </w:tc>
      </w:tr>
      <w:tr w14:paraId="17D11D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79" w:type="dxa"/>
            <w:bottom w:w="28" w:type="dxa"/>
            <w:right w:w="79" w:type="dxa"/>
          </w:tblCellMar>
        </w:tblPrEx>
        <w:trPr>
          <w:trHeight w:val="454" w:hRule="atLeast"/>
          <w:jc w:val="center"/>
        </w:trPr>
        <w:tc>
          <w:tcPr>
            <w:tcW w:w="487" w:type="dxa"/>
            <w:vMerge w:val="continue"/>
            <w:tcBorders>
              <w:tl2br w:val="nil"/>
              <w:tr2bl w:val="nil"/>
            </w:tcBorders>
            <w:vAlign w:val="center"/>
          </w:tcPr>
          <w:p w14:paraId="36D4A2CD">
            <w:pPr>
              <w:adjustRightInd w:val="0"/>
              <w:snapToGrid w:val="0"/>
              <w:spacing w:line="240" w:lineRule="auto"/>
              <w:ind w:firstLine="0"/>
              <w:jc w:val="center"/>
              <w:rPr>
                <w:sz w:val="21"/>
                <w:szCs w:val="21"/>
              </w:rPr>
            </w:pPr>
          </w:p>
        </w:tc>
        <w:tc>
          <w:tcPr>
            <w:tcW w:w="897" w:type="dxa"/>
            <w:vMerge w:val="continue"/>
            <w:tcBorders>
              <w:tl2br w:val="nil"/>
              <w:tr2bl w:val="nil"/>
            </w:tcBorders>
            <w:vAlign w:val="center"/>
          </w:tcPr>
          <w:p w14:paraId="286917BE">
            <w:pPr>
              <w:adjustRightInd w:val="0"/>
              <w:snapToGrid w:val="0"/>
              <w:spacing w:line="240" w:lineRule="auto"/>
              <w:ind w:firstLine="0"/>
              <w:jc w:val="center"/>
              <w:rPr>
                <w:sz w:val="21"/>
                <w:szCs w:val="21"/>
              </w:rPr>
            </w:pPr>
          </w:p>
        </w:tc>
        <w:tc>
          <w:tcPr>
            <w:tcW w:w="3119" w:type="dxa"/>
            <w:tcBorders>
              <w:tl2br w:val="nil"/>
              <w:tr2bl w:val="nil"/>
            </w:tcBorders>
            <w:vAlign w:val="center"/>
          </w:tcPr>
          <w:p w14:paraId="1659178F">
            <w:pPr>
              <w:adjustRightInd w:val="0"/>
              <w:snapToGrid w:val="0"/>
              <w:spacing w:line="240" w:lineRule="auto"/>
              <w:ind w:firstLine="0"/>
              <w:jc w:val="center"/>
              <w:rPr>
                <w:sz w:val="21"/>
                <w:szCs w:val="21"/>
              </w:rPr>
            </w:pPr>
            <w:r>
              <w:rPr>
                <w:sz w:val="21"/>
                <w:szCs w:val="21"/>
              </w:rPr>
              <w:t>钢板桩、灌注桩、型钢水泥土墙、地下连续墙</w:t>
            </w:r>
          </w:p>
        </w:tc>
        <w:tc>
          <w:tcPr>
            <w:tcW w:w="918" w:type="dxa"/>
            <w:tcBorders>
              <w:tl2br w:val="nil"/>
              <w:tr2bl w:val="nil"/>
            </w:tcBorders>
            <w:vAlign w:val="center"/>
          </w:tcPr>
          <w:p w14:paraId="509699F4">
            <w:pPr>
              <w:adjustRightInd w:val="0"/>
              <w:snapToGrid w:val="0"/>
              <w:spacing w:line="240" w:lineRule="auto"/>
              <w:ind w:firstLine="0"/>
              <w:jc w:val="center"/>
              <w:rPr>
                <w:sz w:val="21"/>
                <w:szCs w:val="21"/>
              </w:rPr>
            </w:pPr>
            <w:r>
              <w:rPr>
                <w:sz w:val="21"/>
                <w:szCs w:val="21"/>
              </w:rPr>
              <w:t>10~20</w:t>
            </w:r>
          </w:p>
        </w:tc>
        <w:tc>
          <w:tcPr>
            <w:tcW w:w="1440" w:type="dxa"/>
            <w:tcBorders>
              <w:tl2br w:val="nil"/>
              <w:tr2bl w:val="nil"/>
            </w:tcBorders>
            <w:vAlign w:val="center"/>
          </w:tcPr>
          <w:p w14:paraId="1F2A2987">
            <w:pPr>
              <w:adjustRightInd w:val="0"/>
              <w:snapToGrid w:val="0"/>
              <w:spacing w:line="240" w:lineRule="auto"/>
              <w:ind w:firstLine="0"/>
              <w:jc w:val="center"/>
              <w:rPr>
                <w:sz w:val="21"/>
                <w:szCs w:val="21"/>
              </w:rPr>
            </w:pPr>
            <w:r>
              <w:rPr>
                <w:sz w:val="21"/>
                <w:szCs w:val="21"/>
              </w:rPr>
              <w:t>0.1%~0.2%</w:t>
            </w:r>
          </w:p>
        </w:tc>
        <w:tc>
          <w:tcPr>
            <w:tcW w:w="1035" w:type="dxa"/>
            <w:tcBorders>
              <w:tl2br w:val="nil"/>
              <w:tr2bl w:val="nil"/>
            </w:tcBorders>
            <w:vAlign w:val="center"/>
          </w:tcPr>
          <w:p w14:paraId="3ABC5CA7">
            <w:pPr>
              <w:adjustRightInd w:val="0"/>
              <w:snapToGrid w:val="0"/>
              <w:spacing w:line="240" w:lineRule="auto"/>
              <w:ind w:firstLine="0"/>
              <w:jc w:val="center"/>
              <w:rPr>
                <w:sz w:val="21"/>
                <w:szCs w:val="21"/>
              </w:rPr>
            </w:pPr>
            <w:r>
              <w:rPr>
                <w:sz w:val="21"/>
                <w:szCs w:val="21"/>
              </w:rPr>
              <w:t>2~3</w:t>
            </w:r>
          </w:p>
        </w:tc>
        <w:tc>
          <w:tcPr>
            <w:tcW w:w="885" w:type="dxa"/>
            <w:tcBorders>
              <w:tl2br w:val="nil"/>
              <w:tr2bl w:val="nil"/>
            </w:tcBorders>
            <w:vAlign w:val="center"/>
          </w:tcPr>
          <w:p w14:paraId="3DFE6ED8">
            <w:pPr>
              <w:adjustRightInd w:val="0"/>
              <w:snapToGrid w:val="0"/>
              <w:spacing w:line="240" w:lineRule="auto"/>
              <w:ind w:firstLine="0"/>
              <w:jc w:val="center"/>
              <w:rPr>
                <w:sz w:val="21"/>
                <w:szCs w:val="21"/>
              </w:rPr>
            </w:pPr>
            <w:r>
              <w:rPr>
                <w:sz w:val="21"/>
                <w:szCs w:val="21"/>
              </w:rPr>
              <w:t>25~30</w:t>
            </w:r>
          </w:p>
        </w:tc>
        <w:tc>
          <w:tcPr>
            <w:tcW w:w="1440" w:type="dxa"/>
            <w:tcBorders>
              <w:tl2br w:val="nil"/>
              <w:tr2bl w:val="nil"/>
            </w:tcBorders>
            <w:vAlign w:val="center"/>
          </w:tcPr>
          <w:p w14:paraId="7CBCB3D9">
            <w:pPr>
              <w:adjustRightInd w:val="0"/>
              <w:snapToGrid w:val="0"/>
              <w:spacing w:line="240" w:lineRule="auto"/>
              <w:ind w:firstLine="0"/>
              <w:jc w:val="center"/>
              <w:rPr>
                <w:sz w:val="21"/>
                <w:szCs w:val="21"/>
              </w:rPr>
            </w:pPr>
            <w:r>
              <w:rPr>
                <w:sz w:val="21"/>
                <w:szCs w:val="21"/>
              </w:rPr>
              <w:t>0.3%~0.5%</w:t>
            </w:r>
          </w:p>
        </w:tc>
        <w:tc>
          <w:tcPr>
            <w:tcW w:w="1095" w:type="dxa"/>
            <w:tcBorders>
              <w:tl2br w:val="nil"/>
              <w:tr2bl w:val="nil"/>
            </w:tcBorders>
            <w:vAlign w:val="center"/>
          </w:tcPr>
          <w:p w14:paraId="6DB0BA0F">
            <w:pPr>
              <w:adjustRightInd w:val="0"/>
              <w:snapToGrid w:val="0"/>
              <w:spacing w:line="240" w:lineRule="auto"/>
              <w:ind w:firstLine="0"/>
              <w:jc w:val="center"/>
              <w:rPr>
                <w:sz w:val="21"/>
                <w:szCs w:val="21"/>
              </w:rPr>
            </w:pPr>
            <w:r>
              <w:rPr>
                <w:sz w:val="21"/>
                <w:szCs w:val="21"/>
              </w:rPr>
              <w:t>3~4</w:t>
            </w:r>
          </w:p>
        </w:tc>
        <w:tc>
          <w:tcPr>
            <w:tcW w:w="960" w:type="dxa"/>
            <w:tcBorders>
              <w:tl2br w:val="nil"/>
              <w:tr2bl w:val="nil"/>
            </w:tcBorders>
            <w:vAlign w:val="center"/>
          </w:tcPr>
          <w:p w14:paraId="56F875AC">
            <w:pPr>
              <w:adjustRightInd w:val="0"/>
              <w:snapToGrid w:val="0"/>
              <w:spacing w:line="240" w:lineRule="auto"/>
              <w:ind w:firstLine="0"/>
              <w:jc w:val="center"/>
              <w:rPr>
                <w:sz w:val="21"/>
                <w:szCs w:val="21"/>
              </w:rPr>
            </w:pPr>
            <w:r>
              <w:rPr>
                <w:sz w:val="21"/>
                <w:szCs w:val="21"/>
              </w:rPr>
              <w:t>35~40</w:t>
            </w:r>
          </w:p>
        </w:tc>
        <w:tc>
          <w:tcPr>
            <w:tcW w:w="1440" w:type="dxa"/>
            <w:tcBorders>
              <w:tl2br w:val="nil"/>
              <w:tr2bl w:val="nil"/>
            </w:tcBorders>
            <w:vAlign w:val="center"/>
          </w:tcPr>
          <w:p w14:paraId="69778459">
            <w:pPr>
              <w:adjustRightInd w:val="0"/>
              <w:snapToGrid w:val="0"/>
              <w:spacing w:line="240" w:lineRule="auto"/>
              <w:ind w:firstLine="0"/>
              <w:jc w:val="center"/>
              <w:rPr>
                <w:sz w:val="21"/>
                <w:szCs w:val="21"/>
              </w:rPr>
            </w:pPr>
            <w:r>
              <w:rPr>
                <w:sz w:val="21"/>
                <w:szCs w:val="21"/>
              </w:rPr>
              <w:t>0.5%~0.6%</w:t>
            </w:r>
          </w:p>
        </w:tc>
        <w:tc>
          <w:tcPr>
            <w:tcW w:w="1070" w:type="dxa"/>
            <w:tcBorders>
              <w:tl2br w:val="nil"/>
              <w:tr2bl w:val="nil"/>
            </w:tcBorders>
            <w:vAlign w:val="center"/>
          </w:tcPr>
          <w:p w14:paraId="50B3DC88">
            <w:pPr>
              <w:adjustRightInd w:val="0"/>
              <w:snapToGrid w:val="0"/>
              <w:spacing w:line="240" w:lineRule="auto"/>
              <w:ind w:firstLine="0"/>
              <w:jc w:val="center"/>
              <w:rPr>
                <w:sz w:val="21"/>
                <w:szCs w:val="21"/>
              </w:rPr>
            </w:pPr>
            <w:r>
              <w:rPr>
                <w:sz w:val="21"/>
                <w:szCs w:val="21"/>
              </w:rPr>
              <w:t>4~5</w:t>
            </w:r>
          </w:p>
        </w:tc>
      </w:tr>
      <w:tr w14:paraId="7380F0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79" w:type="dxa"/>
            <w:bottom w:w="28" w:type="dxa"/>
            <w:right w:w="79" w:type="dxa"/>
          </w:tblCellMar>
        </w:tblPrEx>
        <w:trPr>
          <w:trHeight w:val="454" w:hRule="atLeast"/>
          <w:jc w:val="center"/>
        </w:trPr>
        <w:tc>
          <w:tcPr>
            <w:tcW w:w="487" w:type="dxa"/>
            <w:vMerge w:val="restart"/>
            <w:tcBorders>
              <w:tl2br w:val="nil"/>
              <w:tr2bl w:val="nil"/>
            </w:tcBorders>
            <w:vAlign w:val="center"/>
          </w:tcPr>
          <w:p w14:paraId="7DED7C39">
            <w:pPr>
              <w:adjustRightInd w:val="0"/>
              <w:snapToGrid w:val="0"/>
              <w:spacing w:line="240" w:lineRule="auto"/>
              <w:ind w:firstLine="0"/>
              <w:jc w:val="center"/>
              <w:rPr>
                <w:sz w:val="21"/>
                <w:szCs w:val="21"/>
              </w:rPr>
            </w:pPr>
            <w:r>
              <w:rPr>
                <w:sz w:val="21"/>
                <w:szCs w:val="21"/>
              </w:rPr>
              <w:t>3</w:t>
            </w:r>
          </w:p>
        </w:tc>
        <w:tc>
          <w:tcPr>
            <w:tcW w:w="897" w:type="dxa"/>
            <w:vMerge w:val="restart"/>
            <w:tcBorders>
              <w:tl2br w:val="nil"/>
              <w:tr2bl w:val="nil"/>
            </w:tcBorders>
            <w:vAlign w:val="center"/>
          </w:tcPr>
          <w:p w14:paraId="07792719">
            <w:pPr>
              <w:adjustRightInd w:val="0"/>
              <w:snapToGrid w:val="0"/>
              <w:spacing w:line="240" w:lineRule="auto"/>
              <w:ind w:firstLine="0"/>
              <w:jc w:val="center"/>
              <w:rPr>
                <w:sz w:val="21"/>
                <w:szCs w:val="21"/>
              </w:rPr>
            </w:pPr>
            <w:r>
              <w:rPr>
                <w:sz w:val="21"/>
                <w:szCs w:val="21"/>
              </w:rPr>
              <w:t>围护墙深层水平位移</w:t>
            </w:r>
          </w:p>
        </w:tc>
        <w:tc>
          <w:tcPr>
            <w:tcW w:w="3119" w:type="dxa"/>
            <w:tcBorders>
              <w:tl2br w:val="nil"/>
              <w:tr2bl w:val="nil"/>
            </w:tcBorders>
            <w:vAlign w:val="center"/>
          </w:tcPr>
          <w:p w14:paraId="3B8608CE">
            <w:pPr>
              <w:adjustRightInd w:val="0"/>
              <w:snapToGrid w:val="0"/>
              <w:spacing w:line="240" w:lineRule="auto"/>
              <w:ind w:firstLine="0"/>
              <w:jc w:val="center"/>
              <w:rPr>
                <w:sz w:val="21"/>
                <w:szCs w:val="21"/>
              </w:rPr>
            </w:pPr>
            <w:r>
              <w:rPr>
                <w:sz w:val="21"/>
                <w:szCs w:val="21"/>
              </w:rPr>
              <w:t>水泥土墙</w:t>
            </w:r>
          </w:p>
        </w:tc>
        <w:tc>
          <w:tcPr>
            <w:tcW w:w="918" w:type="dxa"/>
            <w:tcBorders>
              <w:tl2br w:val="nil"/>
              <w:tr2bl w:val="nil"/>
            </w:tcBorders>
            <w:vAlign w:val="center"/>
          </w:tcPr>
          <w:p w14:paraId="224D9141">
            <w:pPr>
              <w:adjustRightInd w:val="0"/>
              <w:snapToGrid w:val="0"/>
              <w:spacing w:line="240" w:lineRule="auto"/>
              <w:ind w:firstLine="0"/>
              <w:jc w:val="center"/>
              <w:rPr>
                <w:sz w:val="21"/>
                <w:szCs w:val="21"/>
              </w:rPr>
            </w:pPr>
            <w:r>
              <w:rPr>
                <w:sz w:val="21"/>
                <w:szCs w:val="21"/>
              </w:rPr>
              <w:t>30~35</w:t>
            </w:r>
          </w:p>
        </w:tc>
        <w:tc>
          <w:tcPr>
            <w:tcW w:w="1440" w:type="dxa"/>
            <w:tcBorders>
              <w:tl2br w:val="nil"/>
              <w:tr2bl w:val="nil"/>
            </w:tcBorders>
            <w:vAlign w:val="center"/>
          </w:tcPr>
          <w:p w14:paraId="7F2FE851">
            <w:pPr>
              <w:adjustRightInd w:val="0"/>
              <w:snapToGrid w:val="0"/>
              <w:spacing w:line="240" w:lineRule="auto"/>
              <w:ind w:firstLine="0"/>
              <w:jc w:val="center"/>
              <w:rPr>
                <w:sz w:val="21"/>
                <w:szCs w:val="21"/>
              </w:rPr>
            </w:pPr>
            <w:r>
              <w:rPr>
                <w:sz w:val="21"/>
                <w:szCs w:val="21"/>
              </w:rPr>
              <w:t>0.3%~0.4%</w:t>
            </w:r>
          </w:p>
        </w:tc>
        <w:tc>
          <w:tcPr>
            <w:tcW w:w="1035" w:type="dxa"/>
            <w:tcBorders>
              <w:tl2br w:val="nil"/>
              <w:tr2bl w:val="nil"/>
            </w:tcBorders>
            <w:vAlign w:val="center"/>
          </w:tcPr>
          <w:p w14:paraId="13605CC6">
            <w:pPr>
              <w:adjustRightInd w:val="0"/>
              <w:snapToGrid w:val="0"/>
              <w:spacing w:line="240" w:lineRule="auto"/>
              <w:ind w:firstLine="0"/>
              <w:jc w:val="center"/>
              <w:rPr>
                <w:sz w:val="21"/>
                <w:szCs w:val="21"/>
              </w:rPr>
            </w:pPr>
            <w:r>
              <w:rPr>
                <w:sz w:val="21"/>
                <w:szCs w:val="21"/>
              </w:rPr>
              <w:t>5~10</w:t>
            </w:r>
          </w:p>
        </w:tc>
        <w:tc>
          <w:tcPr>
            <w:tcW w:w="885" w:type="dxa"/>
            <w:tcBorders>
              <w:tl2br w:val="nil"/>
              <w:tr2bl w:val="nil"/>
            </w:tcBorders>
            <w:vAlign w:val="center"/>
          </w:tcPr>
          <w:p w14:paraId="1D9624E5">
            <w:pPr>
              <w:adjustRightInd w:val="0"/>
              <w:snapToGrid w:val="0"/>
              <w:spacing w:line="240" w:lineRule="auto"/>
              <w:ind w:firstLine="0"/>
              <w:jc w:val="center"/>
              <w:rPr>
                <w:sz w:val="21"/>
                <w:szCs w:val="21"/>
              </w:rPr>
            </w:pPr>
            <w:r>
              <w:rPr>
                <w:sz w:val="21"/>
                <w:szCs w:val="21"/>
              </w:rPr>
              <w:t>50~60</w:t>
            </w:r>
          </w:p>
        </w:tc>
        <w:tc>
          <w:tcPr>
            <w:tcW w:w="1440" w:type="dxa"/>
            <w:tcBorders>
              <w:tl2br w:val="nil"/>
              <w:tr2bl w:val="nil"/>
            </w:tcBorders>
            <w:vAlign w:val="center"/>
          </w:tcPr>
          <w:p w14:paraId="7D0E2D8C">
            <w:pPr>
              <w:adjustRightInd w:val="0"/>
              <w:snapToGrid w:val="0"/>
              <w:spacing w:line="240" w:lineRule="auto"/>
              <w:ind w:firstLine="0"/>
              <w:jc w:val="center"/>
              <w:rPr>
                <w:sz w:val="21"/>
                <w:szCs w:val="21"/>
              </w:rPr>
            </w:pPr>
            <w:r>
              <w:rPr>
                <w:sz w:val="21"/>
                <w:szCs w:val="21"/>
              </w:rPr>
              <w:t>0.6%~0.8%</w:t>
            </w:r>
          </w:p>
        </w:tc>
        <w:tc>
          <w:tcPr>
            <w:tcW w:w="1095" w:type="dxa"/>
            <w:tcBorders>
              <w:tl2br w:val="nil"/>
              <w:tr2bl w:val="nil"/>
            </w:tcBorders>
            <w:vAlign w:val="center"/>
          </w:tcPr>
          <w:p w14:paraId="3E67E788">
            <w:pPr>
              <w:adjustRightInd w:val="0"/>
              <w:snapToGrid w:val="0"/>
              <w:spacing w:line="240" w:lineRule="auto"/>
              <w:ind w:firstLine="0"/>
              <w:jc w:val="center"/>
              <w:rPr>
                <w:sz w:val="21"/>
                <w:szCs w:val="21"/>
              </w:rPr>
            </w:pPr>
            <w:r>
              <w:rPr>
                <w:sz w:val="21"/>
                <w:szCs w:val="21"/>
              </w:rPr>
              <w:t>10~15</w:t>
            </w:r>
          </w:p>
        </w:tc>
        <w:tc>
          <w:tcPr>
            <w:tcW w:w="960" w:type="dxa"/>
            <w:tcBorders>
              <w:tl2br w:val="nil"/>
              <w:tr2bl w:val="nil"/>
            </w:tcBorders>
            <w:vAlign w:val="center"/>
          </w:tcPr>
          <w:p w14:paraId="592CAEC8">
            <w:pPr>
              <w:adjustRightInd w:val="0"/>
              <w:snapToGrid w:val="0"/>
              <w:spacing w:line="240" w:lineRule="auto"/>
              <w:ind w:firstLine="0"/>
              <w:jc w:val="center"/>
              <w:rPr>
                <w:sz w:val="21"/>
                <w:szCs w:val="21"/>
              </w:rPr>
            </w:pPr>
            <w:r>
              <w:rPr>
                <w:sz w:val="21"/>
                <w:szCs w:val="21"/>
              </w:rPr>
              <w:t>70~80</w:t>
            </w:r>
          </w:p>
        </w:tc>
        <w:tc>
          <w:tcPr>
            <w:tcW w:w="1440" w:type="dxa"/>
            <w:tcBorders>
              <w:tl2br w:val="nil"/>
              <w:tr2bl w:val="nil"/>
            </w:tcBorders>
            <w:vAlign w:val="center"/>
          </w:tcPr>
          <w:p w14:paraId="05E7785F">
            <w:pPr>
              <w:adjustRightInd w:val="0"/>
              <w:snapToGrid w:val="0"/>
              <w:spacing w:line="240" w:lineRule="auto"/>
              <w:ind w:firstLine="0"/>
              <w:jc w:val="center"/>
              <w:rPr>
                <w:sz w:val="21"/>
                <w:szCs w:val="21"/>
              </w:rPr>
            </w:pPr>
            <w:r>
              <w:rPr>
                <w:sz w:val="21"/>
                <w:szCs w:val="21"/>
              </w:rPr>
              <w:t>0.8%~1.0%</w:t>
            </w:r>
          </w:p>
        </w:tc>
        <w:tc>
          <w:tcPr>
            <w:tcW w:w="1070" w:type="dxa"/>
            <w:tcBorders>
              <w:tl2br w:val="nil"/>
              <w:tr2bl w:val="nil"/>
            </w:tcBorders>
            <w:vAlign w:val="center"/>
          </w:tcPr>
          <w:p w14:paraId="039508B9">
            <w:pPr>
              <w:adjustRightInd w:val="0"/>
              <w:snapToGrid w:val="0"/>
              <w:spacing w:line="240" w:lineRule="auto"/>
              <w:ind w:firstLine="0"/>
              <w:jc w:val="center"/>
              <w:rPr>
                <w:sz w:val="21"/>
                <w:szCs w:val="21"/>
              </w:rPr>
            </w:pPr>
            <w:r>
              <w:rPr>
                <w:sz w:val="21"/>
                <w:szCs w:val="21"/>
              </w:rPr>
              <w:t>15~20</w:t>
            </w:r>
          </w:p>
        </w:tc>
      </w:tr>
      <w:tr w14:paraId="4FDD5B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79" w:type="dxa"/>
            <w:bottom w:w="28" w:type="dxa"/>
            <w:right w:w="79" w:type="dxa"/>
          </w:tblCellMar>
        </w:tblPrEx>
        <w:trPr>
          <w:trHeight w:val="454" w:hRule="atLeast"/>
          <w:jc w:val="center"/>
        </w:trPr>
        <w:tc>
          <w:tcPr>
            <w:tcW w:w="487" w:type="dxa"/>
            <w:vMerge w:val="continue"/>
            <w:tcBorders>
              <w:tl2br w:val="nil"/>
              <w:tr2bl w:val="nil"/>
            </w:tcBorders>
            <w:vAlign w:val="center"/>
          </w:tcPr>
          <w:p w14:paraId="7FB638E6">
            <w:pPr>
              <w:adjustRightInd w:val="0"/>
              <w:snapToGrid w:val="0"/>
              <w:spacing w:line="240" w:lineRule="auto"/>
              <w:ind w:firstLine="0"/>
              <w:jc w:val="center"/>
              <w:rPr>
                <w:sz w:val="21"/>
                <w:szCs w:val="21"/>
              </w:rPr>
            </w:pPr>
          </w:p>
        </w:tc>
        <w:tc>
          <w:tcPr>
            <w:tcW w:w="897" w:type="dxa"/>
            <w:vMerge w:val="continue"/>
            <w:tcBorders>
              <w:tl2br w:val="nil"/>
              <w:tr2bl w:val="nil"/>
            </w:tcBorders>
            <w:vAlign w:val="center"/>
          </w:tcPr>
          <w:p w14:paraId="519302EA">
            <w:pPr>
              <w:adjustRightInd w:val="0"/>
              <w:snapToGrid w:val="0"/>
              <w:spacing w:line="240" w:lineRule="auto"/>
              <w:ind w:firstLine="0"/>
              <w:jc w:val="center"/>
              <w:rPr>
                <w:sz w:val="21"/>
                <w:szCs w:val="21"/>
              </w:rPr>
            </w:pPr>
          </w:p>
        </w:tc>
        <w:tc>
          <w:tcPr>
            <w:tcW w:w="3119" w:type="dxa"/>
            <w:tcBorders>
              <w:tl2br w:val="nil"/>
              <w:tr2bl w:val="nil"/>
            </w:tcBorders>
            <w:vAlign w:val="center"/>
          </w:tcPr>
          <w:p w14:paraId="7AA81789">
            <w:pPr>
              <w:adjustRightInd w:val="0"/>
              <w:snapToGrid w:val="0"/>
              <w:spacing w:line="240" w:lineRule="auto"/>
              <w:ind w:firstLine="0"/>
              <w:jc w:val="center"/>
              <w:rPr>
                <w:sz w:val="21"/>
                <w:szCs w:val="21"/>
              </w:rPr>
            </w:pPr>
            <w:r>
              <w:rPr>
                <w:sz w:val="21"/>
                <w:szCs w:val="21"/>
              </w:rPr>
              <w:t>钢板桩</w:t>
            </w:r>
          </w:p>
        </w:tc>
        <w:tc>
          <w:tcPr>
            <w:tcW w:w="918" w:type="dxa"/>
            <w:tcBorders>
              <w:tl2br w:val="nil"/>
              <w:tr2bl w:val="nil"/>
            </w:tcBorders>
            <w:vAlign w:val="center"/>
          </w:tcPr>
          <w:p w14:paraId="685EC965">
            <w:pPr>
              <w:adjustRightInd w:val="0"/>
              <w:snapToGrid w:val="0"/>
              <w:spacing w:line="240" w:lineRule="auto"/>
              <w:ind w:firstLine="0"/>
              <w:jc w:val="center"/>
              <w:rPr>
                <w:sz w:val="21"/>
                <w:szCs w:val="21"/>
              </w:rPr>
            </w:pPr>
            <w:r>
              <w:rPr>
                <w:sz w:val="21"/>
                <w:szCs w:val="21"/>
              </w:rPr>
              <w:t>50~60</w:t>
            </w:r>
          </w:p>
        </w:tc>
        <w:tc>
          <w:tcPr>
            <w:tcW w:w="1440" w:type="dxa"/>
            <w:tcBorders>
              <w:tl2br w:val="nil"/>
              <w:tr2bl w:val="nil"/>
            </w:tcBorders>
            <w:vAlign w:val="center"/>
          </w:tcPr>
          <w:p w14:paraId="7364C603">
            <w:pPr>
              <w:adjustRightInd w:val="0"/>
              <w:snapToGrid w:val="0"/>
              <w:spacing w:line="240" w:lineRule="auto"/>
              <w:ind w:firstLine="0"/>
              <w:jc w:val="center"/>
              <w:rPr>
                <w:sz w:val="21"/>
                <w:szCs w:val="21"/>
              </w:rPr>
            </w:pPr>
            <w:r>
              <w:rPr>
                <w:sz w:val="21"/>
                <w:szCs w:val="21"/>
              </w:rPr>
              <w:t>0.6%~0.7%</w:t>
            </w:r>
          </w:p>
        </w:tc>
        <w:tc>
          <w:tcPr>
            <w:tcW w:w="1035" w:type="dxa"/>
            <w:vMerge w:val="restart"/>
            <w:tcBorders>
              <w:tl2br w:val="nil"/>
              <w:tr2bl w:val="nil"/>
            </w:tcBorders>
            <w:vAlign w:val="center"/>
          </w:tcPr>
          <w:p w14:paraId="245C48D8">
            <w:pPr>
              <w:adjustRightInd w:val="0"/>
              <w:snapToGrid w:val="0"/>
              <w:spacing w:line="240" w:lineRule="auto"/>
              <w:ind w:firstLine="0"/>
              <w:jc w:val="center"/>
              <w:rPr>
                <w:sz w:val="21"/>
                <w:szCs w:val="21"/>
              </w:rPr>
            </w:pPr>
            <w:r>
              <w:rPr>
                <w:sz w:val="21"/>
                <w:szCs w:val="21"/>
              </w:rPr>
              <w:t>2~3</w:t>
            </w:r>
          </w:p>
        </w:tc>
        <w:tc>
          <w:tcPr>
            <w:tcW w:w="885" w:type="dxa"/>
            <w:tcBorders>
              <w:tl2br w:val="nil"/>
              <w:tr2bl w:val="nil"/>
            </w:tcBorders>
            <w:vAlign w:val="center"/>
          </w:tcPr>
          <w:p w14:paraId="75DBD52A">
            <w:pPr>
              <w:adjustRightInd w:val="0"/>
              <w:snapToGrid w:val="0"/>
              <w:spacing w:line="240" w:lineRule="auto"/>
              <w:ind w:firstLine="0"/>
              <w:jc w:val="center"/>
              <w:rPr>
                <w:sz w:val="21"/>
                <w:szCs w:val="21"/>
              </w:rPr>
            </w:pPr>
            <w:r>
              <w:rPr>
                <w:sz w:val="21"/>
                <w:szCs w:val="21"/>
              </w:rPr>
              <w:t>80~85</w:t>
            </w:r>
          </w:p>
        </w:tc>
        <w:tc>
          <w:tcPr>
            <w:tcW w:w="1440" w:type="dxa"/>
            <w:tcBorders>
              <w:tl2br w:val="nil"/>
              <w:tr2bl w:val="nil"/>
            </w:tcBorders>
            <w:vAlign w:val="center"/>
          </w:tcPr>
          <w:p w14:paraId="195876C7">
            <w:pPr>
              <w:adjustRightInd w:val="0"/>
              <w:snapToGrid w:val="0"/>
              <w:spacing w:line="240" w:lineRule="auto"/>
              <w:ind w:firstLine="0"/>
              <w:jc w:val="center"/>
              <w:rPr>
                <w:sz w:val="21"/>
                <w:szCs w:val="21"/>
              </w:rPr>
            </w:pPr>
            <w:r>
              <w:rPr>
                <w:sz w:val="21"/>
                <w:szCs w:val="21"/>
              </w:rPr>
              <w:t>0.7%~0.8%</w:t>
            </w:r>
          </w:p>
        </w:tc>
        <w:tc>
          <w:tcPr>
            <w:tcW w:w="1095" w:type="dxa"/>
            <w:vMerge w:val="restart"/>
            <w:tcBorders>
              <w:tl2br w:val="nil"/>
              <w:tr2bl w:val="nil"/>
            </w:tcBorders>
            <w:vAlign w:val="center"/>
          </w:tcPr>
          <w:p w14:paraId="6CBAAD05">
            <w:pPr>
              <w:adjustRightInd w:val="0"/>
              <w:snapToGrid w:val="0"/>
              <w:spacing w:line="240" w:lineRule="auto"/>
              <w:ind w:firstLine="0"/>
              <w:jc w:val="center"/>
              <w:rPr>
                <w:sz w:val="21"/>
                <w:szCs w:val="21"/>
              </w:rPr>
            </w:pPr>
            <w:r>
              <w:rPr>
                <w:sz w:val="21"/>
                <w:szCs w:val="21"/>
              </w:rPr>
              <w:t>4~6</w:t>
            </w:r>
          </w:p>
        </w:tc>
        <w:tc>
          <w:tcPr>
            <w:tcW w:w="960" w:type="dxa"/>
            <w:tcBorders>
              <w:tl2br w:val="nil"/>
              <w:tr2bl w:val="nil"/>
            </w:tcBorders>
            <w:vAlign w:val="center"/>
          </w:tcPr>
          <w:p w14:paraId="08589FD2">
            <w:pPr>
              <w:adjustRightInd w:val="0"/>
              <w:snapToGrid w:val="0"/>
              <w:spacing w:line="240" w:lineRule="auto"/>
              <w:ind w:firstLine="0"/>
              <w:jc w:val="center"/>
              <w:rPr>
                <w:sz w:val="21"/>
                <w:szCs w:val="21"/>
              </w:rPr>
            </w:pPr>
            <w:r>
              <w:rPr>
                <w:sz w:val="21"/>
                <w:szCs w:val="21"/>
              </w:rPr>
              <w:t>90~100</w:t>
            </w:r>
          </w:p>
        </w:tc>
        <w:tc>
          <w:tcPr>
            <w:tcW w:w="1440" w:type="dxa"/>
            <w:tcBorders>
              <w:tl2br w:val="nil"/>
              <w:tr2bl w:val="nil"/>
            </w:tcBorders>
            <w:vAlign w:val="center"/>
          </w:tcPr>
          <w:p w14:paraId="229ED884">
            <w:pPr>
              <w:adjustRightInd w:val="0"/>
              <w:snapToGrid w:val="0"/>
              <w:spacing w:line="240" w:lineRule="auto"/>
              <w:ind w:firstLine="0"/>
              <w:jc w:val="center"/>
              <w:rPr>
                <w:sz w:val="21"/>
                <w:szCs w:val="21"/>
              </w:rPr>
            </w:pPr>
            <w:r>
              <w:rPr>
                <w:sz w:val="21"/>
                <w:szCs w:val="21"/>
              </w:rPr>
              <w:t>0.9%~1.0%</w:t>
            </w:r>
          </w:p>
        </w:tc>
        <w:tc>
          <w:tcPr>
            <w:tcW w:w="1070" w:type="dxa"/>
            <w:vMerge w:val="restart"/>
            <w:tcBorders>
              <w:tl2br w:val="nil"/>
              <w:tr2bl w:val="nil"/>
            </w:tcBorders>
            <w:vAlign w:val="center"/>
          </w:tcPr>
          <w:p w14:paraId="6441BC90">
            <w:pPr>
              <w:adjustRightInd w:val="0"/>
              <w:snapToGrid w:val="0"/>
              <w:spacing w:line="240" w:lineRule="auto"/>
              <w:ind w:firstLine="0"/>
              <w:jc w:val="center"/>
              <w:rPr>
                <w:sz w:val="21"/>
                <w:szCs w:val="21"/>
              </w:rPr>
            </w:pPr>
            <w:r>
              <w:rPr>
                <w:sz w:val="21"/>
                <w:szCs w:val="21"/>
              </w:rPr>
              <w:t>8~10</w:t>
            </w:r>
          </w:p>
        </w:tc>
      </w:tr>
      <w:tr w14:paraId="6E558C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79" w:type="dxa"/>
            <w:bottom w:w="28" w:type="dxa"/>
            <w:right w:w="79" w:type="dxa"/>
          </w:tblCellMar>
        </w:tblPrEx>
        <w:trPr>
          <w:trHeight w:val="454" w:hRule="atLeast"/>
          <w:jc w:val="center"/>
        </w:trPr>
        <w:tc>
          <w:tcPr>
            <w:tcW w:w="487" w:type="dxa"/>
            <w:vMerge w:val="continue"/>
            <w:tcBorders>
              <w:tl2br w:val="nil"/>
              <w:tr2bl w:val="nil"/>
            </w:tcBorders>
            <w:vAlign w:val="center"/>
          </w:tcPr>
          <w:p w14:paraId="4ABEC066">
            <w:pPr>
              <w:adjustRightInd w:val="0"/>
              <w:snapToGrid w:val="0"/>
              <w:spacing w:line="240" w:lineRule="auto"/>
              <w:ind w:firstLine="0"/>
              <w:jc w:val="center"/>
              <w:rPr>
                <w:sz w:val="21"/>
                <w:szCs w:val="21"/>
              </w:rPr>
            </w:pPr>
          </w:p>
        </w:tc>
        <w:tc>
          <w:tcPr>
            <w:tcW w:w="897" w:type="dxa"/>
            <w:vMerge w:val="continue"/>
            <w:tcBorders>
              <w:tl2br w:val="nil"/>
              <w:tr2bl w:val="nil"/>
            </w:tcBorders>
            <w:vAlign w:val="center"/>
          </w:tcPr>
          <w:p w14:paraId="4F9A8B13">
            <w:pPr>
              <w:adjustRightInd w:val="0"/>
              <w:snapToGrid w:val="0"/>
              <w:spacing w:line="240" w:lineRule="auto"/>
              <w:ind w:firstLine="0"/>
              <w:jc w:val="center"/>
              <w:rPr>
                <w:sz w:val="21"/>
                <w:szCs w:val="21"/>
              </w:rPr>
            </w:pPr>
          </w:p>
        </w:tc>
        <w:tc>
          <w:tcPr>
            <w:tcW w:w="3119" w:type="dxa"/>
            <w:tcBorders>
              <w:tl2br w:val="nil"/>
              <w:tr2bl w:val="nil"/>
            </w:tcBorders>
            <w:vAlign w:val="center"/>
          </w:tcPr>
          <w:p w14:paraId="0ACD3345">
            <w:pPr>
              <w:adjustRightInd w:val="0"/>
              <w:snapToGrid w:val="0"/>
              <w:spacing w:line="240" w:lineRule="auto"/>
              <w:ind w:firstLine="0"/>
              <w:jc w:val="center"/>
              <w:rPr>
                <w:sz w:val="21"/>
                <w:szCs w:val="21"/>
              </w:rPr>
            </w:pPr>
            <w:r>
              <w:rPr>
                <w:sz w:val="21"/>
                <w:szCs w:val="21"/>
              </w:rPr>
              <w:t>灌注桩、型钢水泥土墙</w:t>
            </w:r>
          </w:p>
        </w:tc>
        <w:tc>
          <w:tcPr>
            <w:tcW w:w="918" w:type="dxa"/>
            <w:tcBorders>
              <w:tl2br w:val="nil"/>
              <w:tr2bl w:val="nil"/>
            </w:tcBorders>
            <w:vAlign w:val="center"/>
          </w:tcPr>
          <w:p w14:paraId="27E4A368">
            <w:pPr>
              <w:adjustRightInd w:val="0"/>
              <w:snapToGrid w:val="0"/>
              <w:spacing w:line="240" w:lineRule="auto"/>
              <w:ind w:firstLine="0"/>
              <w:jc w:val="center"/>
              <w:rPr>
                <w:sz w:val="21"/>
                <w:szCs w:val="21"/>
              </w:rPr>
            </w:pPr>
            <w:r>
              <w:rPr>
                <w:sz w:val="21"/>
                <w:szCs w:val="21"/>
              </w:rPr>
              <w:t>45~55</w:t>
            </w:r>
          </w:p>
        </w:tc>
        <w:tc>
          <w:tcPr>
            <w:tcW w:w="1440" w:type="dxa"/>
            <w:tcBorders>
              <w:tl2br w:val="nil"/>
              <w:tr2bl w:val="nil"/>
            </w:tcBorders>
            <w:vAlign w:val="center"/>
          </w:tcPr>
          <w:p w14:paraId="79851608">
            <w:pPr>
              <w:adjustRightInd w:val="0"/>
              <w:snapToGrid w:val="0"/>
              <w:spacing w:line="240" w:lineRule="auto"/>
              <w:ind w:firstLine="0"/>
              <w:jc w:val="center"/>
              <w:rPr>
                <w:sz w:val="21"/>
                <w:szCs w:val="21"/>
              </w:rPr>
            </w:pPr>
            <w:r>
              <w:rPr>
                <w:sz w:val="21"/>
                <w:szCs w:val="21"/>
              </w:rPr>
              <w:t>0.5%~0.6%</w:t>
            </w:r>
          </w:p>
        </w:tc>
        <w:tc>
          <w:tcPr>
            <w:tcW w:w="1035" w:type="dxa"/>
            <w:vMerge w:val="continue"/>
            <w:tcBorders>
              <w:tl2br w:val="nil"/>
              <w:tr2bl w:val="nil"/>
            </w:tcBorders>
            <w:vAlign w:val="center"/>
          </w:tcPr>
          <w:p w14:paraId="5B161C64">
            <w:pPr>
              <w:adjustRightInd w:val="0"/>
              <w:snapToGrid w:val="0"/>
              <w:spacing w:line="240" w:lineRule="auto"/>
              <w:ind w:firstLine="0"/>
              <w:jc w:val="center"/>
              <w:rPr>
                <w:sz w:val="21"/>
                <w:szCs w:val="21"/>
              </w:rPr>
            </w:pPr>
          </w:p>
        </w:tc>
        <w:tc>
          <w:tcPr>
            <w:tcW w:w="885" w:type="dxa"/>
            <w:tcBorders>
              <w:tl2br w:val="nil"/>
              <w:tr2bl w:val="nil"/>
            </w:tcBorders>
            <w:vAlign w:val="center"/>
          </w:tcPr>
          <w:p w14:paraId="2D7DAC26">
            <w:pPr>
              <w:adjustRightInd w:val="0"/>
              <w:snapToGrid w:val="0"/>
              <w:spacing w:line="240" w:lineRule="auto"/>
              <w:ind w:firstLine="0"/>
              <w:jc w:val="center"/>
              <w:rPr>
                <w:sz w:val="21"/>
                <w:szCs w:val="21"/>
              </w:rPr>
            </w:pPr>
            <w:r>
              <w:rPr>
                <w:sz w:val="21"/>
                <w:szCs w:val="21"/>
              </w:rPr>
              <w:t>75~80</w:t>
            </w:r>
          </w:p>
        </w:tc>
        <w:tc>
          <w:tcPr>
            <w:tcW w:w="1440" w:type="dxa"/>
            <w:tcBorders>
              <w:tl2br w:val="nil"/>
              <w:tr2bl w:val="nil"/>
            </w:tcBorders>
            <w:vAlign w:val="center"/>
          </w:tcPr>
          <w:p w14:paraId="02346591">
            <w:pPr>
              <w:adjustRightInd w:val="0"/>
              <w:snapToGrid w:val="0"/>
              <w:spacing w:line="240" w:lineRule="auto"/>
              <w:ind w:firstLine="0"/>
              <w:jc w:val="center"/>
              <w:rPr>
                <w:sz w:val="21"/>
                <w:szCs w:val="21"/>
              </w:rPr>
            </w:pPr>
            <w:r>
              <w:rPr>
                <w:sz w:val="21"/>
                <w:szCs w:val="21"/>
              </w:rPr>
              <w:t>0.7%~0.8%</w:t>
            </w:r>
          </w:p>
        </w:tc>
        <w:tc>
          <w:tcPr>
            <w:tcW w:w="1095" w:type="dxa"/>
            <w:vMerge w:val="continue"/>
            <w:tcBorders>
              <w:tl2br w:val="nil"/>
              <w:tr2bl w:val="nil"/>
            </w:tcBorders>
            <w:vAlign w:val="center"/>
          </w:tcPr>
          <w:p w14:paraId="60DEF187">
            <w:pPr>
              <w:adjustRightInd w:val="0"/>
              <w:snapToGrid w:val="0"/>
              <w:spacing w:line="240" w:lineRule="auto"/>
              <w:ind w:firstLine="0"/>
              <w:jc w:val="center"/>
              <w:rPr>
                <w:sz w:val="21"/>
                <w:szCs w:val="21"/>
              </w:rPr>
            </w:pPr>
          </w:p>
        </w:tc>
        <w:tc>
          <w:tcPr>
            <w:tcW w:w="960" w:type="dxa"/>
            <w:tcBorders>
              <w:tl2br w:val="nil"/>
              <w:tr2bl w:val="nil"/>
            </w:tcBorders>
            <w:vAlign w:val="center"/>
          </w:tcPr>
          <w:p w14:paraId="3D3F0701">
            <w:pPr>
              <w:adjustRightInd w:val="0"/>
              <w:snapToGrid w:val="0"/>
              <w:spacing w:line="240" w:lineRule="auto"/>
              <w:ind w:firstLine="0"/>
              <w:jc w:val="center"/>
              <w:rPr>
                <w:sz w:val="21"/>
                <w:szCs w:val="21"/>
              </w:rPr>
            </w:pPr>
            <w:r>
              <w:rPr>
                <w:sz w:val="21"/>
                <w:szCs w:val="21"/>
              </w:rPr>
              <w:t>80~90</w:t>
            </w:r>
          </w:p>
        </w:tc>
        <w:tc>
          <w:tcPr>
            <w:tcW w:w="1440" w:type="dxa"/>
            <w:tcBorders>
              <w:tl2br w:val="nil"/>
              <w:tr2bl w:val="nil"/>
            </w:tcBorders>
            <w:vAlign w:val="center"/>
          </w:tcPr>
          <w:p w14:paraId="411B5AAF">
            <w:pPr>
              <w:adjustRightInd w:val="0"/>
              <w:snapToGrid w:val="0"/>
              <w:spacing w:line="240" w:lineRule="auto"/>
              <w:ind w:firstLine="0"/>
              <w:jc w:val="center"/>
              <w:rPr>
                <w:sz w:val="21"/>
                <w:szCs w:val="21"/>
              </w:rPr>
            </w:pPr>
            <w:r>
              <w:rPr>
                <w:sz w:val="21"/>
                <w:szCs w:val="21"/>
              </w:rPr>
              <w:t>0.9%~1.0%</w:t>
            </w:r>
          </w:p>
        </w:tc>
        <w:tc>
          <w:tcPr>
            <w:tcW w:w="1070" w:type="dxa"/>
            <w:vMerge w:val="continue"/>
            <w:tcBorders>
              <w:tl2br w:val="nil"/>
              <w:tr2bl w:val="nil"/>
            </w:tcBorders>
            <w:vAlign w:val="center"/>
          </w:tcPr>
          <w:p w14:paraId="7C9253A3">
            <w:pPr>
              <w:adjustRightInd w:val="0"/>
              <w:snapToGrid w:val="0"/>
              <w:spacing w:line="240" w:lineRule="auto"/>
              <w:ind w:firstLine="0"/>
              <w:jc w:val="center"/>
              <w:rPr>
                <w:sz w:val="21"/>
                <w:szCs w:val="21"/>
              </w:rPr>
            </w:pPr>
          </w:p>
        </w:tc>
      </w:tr>
      <w:tr w14:paraId="51C80D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79" w:type="dxa"/>
            <w:bottom w:w="28" w:type="dxa"/>
            <w:right w:w="79" w:type="dxa"/>
          </w:tblCellMar>
        </w:tblPrEx>
        <w:trPr>
          <w:trHeight w:val="454" w:hRule="atLeast"/>
          <w:jc w:val="center"/>
        </w:trPr>
        <w:tc>
          <w:tcPr>
            <w:tcW w:w="487" w:type="dxa"/>
            <w:vMerge w:val="continue"/>
            <w:tcBorders>
              <w:tl2br w:val="nil"/>
              <w:tr2bl w:val="nil"/>
            </w:tcBorders>
            <w:vAlign w:val="center"/>
          </w:tcPr>
          <w:p w14:paraId="6E170CCD">
            <w:pPr>
              <w:adjustRightInd w:val="0"/>
              <w:snapToGrid w:val="0"/>
              <w:spacing w:line="240" w:lineRule="auto"/>
              <w:ind w:firstLine="0"/>
              <w:jc w:val="center"/>
              <w:rPr>
                <w:sz w:val="21"/>
                <w:szCs w:val="21"/>
              </w:rPr>
            </w:pPr>
          </w:p>
        </w:tc>
        <w:tc>
          <w:tcPr>
            <w:tcW w:w="897" w:type="dxa"/>
            <w:vMerge w:val="continue"/>
            <w:tcBorders>
              <w:tl2br w:val="nil"/>
              <w:tr2bl w:val="nil"/>
            </w:tcBorders>
            <w:vAlign w:val="center"/>
          </w:tcPr>
          <w:p w14:paraId="238DAA65">
            <w:pPr>
              <w:adjustRightInd w:val="0"/>
              <w:snapToGrid w:val="0"/>
              <w:spacing w:line="240" w:lineRule="auto"/>
              <w:ind w:firstLine="0"/>
              <w:jc w:val="center"/>
              <w:rPr>
                <w:sz w:val="21"/>
                <w:szCs w:val="21"/>
              </w:rPr>
            </w:pPr>
          </w:p>
        </w:tc>
        <w:tc>
          <w:tcPr>
            <w:tcW w:w="3119" w:type="dxa"/>
            <w:tcBorders>
              <w:tl2br w:val="nil"/>
              <w:tr2bl w:val="nil"/>
            </w:tcBorders>
            <w:vAlign w:val="center"/>
          </w:tcPr>
          <w:p w14:paraId="432B353E">
            <w:pPr>
              <w:adjustRightInd w:val="0"/>
              <w:snapToGrid w:val="0"/>
              <w:spacing w:line="240" w:lineRule="auto"/>
              <w:ind w:firstLine="0"/>
              <w:jc w:val="center"/>
              <w:rPr>
                <w:sz w:val="21"/>
                <w:szCs w:val="21"/>
              </w:rPr>
            </w:pPr>
            <w:r>
              <w:rPr>
                <w:sz w:val="21"/>
                <w:szCs w:val="21"/>
              </w:rPr>
              <w:t>地下连续墙</w:t>
            </w:r>
          </w:p>
        </w:tc>
        <w:tc>
          <w:tcPr>
            <w:tcW w:w="918" w:type="dxa"/>
            <w:tcBorders>
              <w:tl2br w:val="nil"/>
              <w:tr2bl w:val="nil"/>
            </w:tcBorders>
            <w:vAlign w:val="center"/>
          </w:tcPr>
          <w:p w14:paraId="659E904F">
            <w:pPr>
              <w:adjustRightInd w:val="0"/>
              <w:snapToGrid w:val="0"/>
              <w:spacing w:line="240" w:lineRule="auto"/>
              <w:ind w:firstLine="0"/>
              <w:jc w:val="center"/>
              <w:rPr>
                <w:sz w:val="21"/>
                <w:szCs w:val="21"/>
              </w:rPr>
            </w:pPr>
            <w:r>
              <w:rPr>
                <w:sz w:val="21"/>
                <w:szCs w:val="21"/>
              </w:rPr>
              <w:t>40~50</w:t>
            </w:r>
          </w:p>
        </w:tc>
        <w:tc>
          <w:tcPr>
            <w:tcW w:w="1440" w:type="dxa"/>
            <w:tcBorders>
              <w:tl2br w:val="nil"/>
              <w:tr2bl w:val="nil"/>
            </w:tcBorders>
            <w:vAlign w:val="center"/>
          </w:tcPr>
          <w:p w14:paraId="0C3D5A70">
            <w:pPr>
              <w:adjustRightInd w:val="0"/>
              <w:snapToGrid w:val="0"/>
              <w:spacing w:line="240" w:lineRule="auto"/>
              <w:ind w:firstLine="0"/>
              <w:jc w:val="center"/>
              <w:rPr>
                <w:sz w:val="21"/>
                <w:szCs w:val="21"/>
              </w:rPr>
            </w:pPr>
            <w:r>
              <w:rPr>
                <w:sz w:val="21"/>
                <w:szCs w:val="21"/>
              </w:rPr>
              <w:t>0.4%~0.5%</w:t>
            </w:r>
          </w:p>
        </w:tc>
        <w:tc>
          <w:tcPr>
            <w:tcW w:w="1035" w:type="dxa"/>
            <w:vMerge w:val="continue"/>
            <w:tcBorders>
              <w:tl2br w:val="nil"/>
              <w:tr2bl w:val="nil"/>
            </w:tcBorders>
            <w:vAlign w:val="center"/>
          </w:tcPr>
          <w:p w14:paraId="04F42AC5">
            <w:pPr>
              <w:adjustRightInd w:val="0"/>
              <w:snapToGrid w:val="0"/>
              <w:spacing w:line="240" w:lineRule="auto"/>
              <w:ind w:firstLine="0"/>
              <w:jc w:val="center"/>
              <w:rPr>
                <w:sz w:val="21"/>
                <w:szCs w:val="21"/>
              </w:rPr>
            </w:pPr>
          </w:p>
        </w:tc>
        <w:tc>
          <w:tcPr>
            <w:tcW w:w="885" w:type="dxa"/>
            <w:tcBorders>
              <w:tl2br w:val="nil"/>
              <w:tr2bl w:val="nil"/>
            </w:tcBorders>
            <w:vAlign w:val="center"/>
          </w:tcPr>
          <w:p w14:paraId="1733ECDD">
            <w:pPr>
              <w:adjustRightInd w:val="0"/>
              <w:snapToGrid w:val="0"/>
              <w:spacing w:line="240" w:lineRule="auto"/>
              <w:ind w:firstLine="0"/>
              <w:jc w:val="center"/>
              <w:rPr>
                <w:sz w:val="21"/>
                <w:szCs w:val="21"/>
              </w:rPr>
            </w:pPr>
            <w:r>
              <w:rPr>
                <w:sz w:val="21"/>
                <w:szCs w:val="21"/>
              </w:rPr>
              <w:t>70~75</w:t>
            </w:r>
          </w:p>
        </w:tc>
        <w:tc>
          <w:tcPr>
            <w:tcW w:w="1440" w:type="dxa"/>
            <w:tcBorders>
              <w:tl2br w:val="nil"/>
              <w:tr2bl w:val="nil"/>
            </w:tcBorders>
            <w:vAlign w:val="center"/>
          </w:tcPr>
          <w:p w14:paraId="7C7B6EE9">
            <w:pPr>
              <w:adjustRightInd w:val="0"/>
              <w:snapToGrid w:val="0"/>
              <w:spacing w:line="240" w:lineRule="auto"/>
              <w:ind w:firstLine="0"/>
              <w:jc w:val="center"/>
              <w:rPr>
                <w:sz w:val="21"/>
                <w:szCs w:val="21"/>
              </w:rPr>
            </w:pPr>
            <w:r>
              <w:rPr>
                <w:sz w:val="21"/>
                <w:szCs w:val="21"/>
              </w:rPr>
              <w:t>0.7%~0.8%</w:t>
            </w:r>
          </w:p>
        </w:tc>
        <w:tc>
          <w:tcPr>
            <w:tcW w:w="1095" w:type="dxa"/>
            <w:vMerge w:val="continue"/>
            <w:tcBorders>
              <w:tl2br w:val="nil"/>
              <w:tr2bl w:val="nil"/>
            </w:tcBorders>
            <w:vAlign w:val="center"/>
          </w:tcPr>
          <w:p w14:paraId="4196737D">
            <w:pPr>
              <w:adjustRightInd w:val="0"/>
              <w:snapToGrid w:val="0"/>
              <w:spacing w:line="240" w:lineRule="auto"/>
              <w:ind w:firstLine="0"/>
              <w:jc w:val="center"/>
              <w:rPr>
                <w:sz w:val="21"/>
                <w:szCs w:val="21"/>
              </w:rPr>
            </w:pPr>
          </w:p>
        </w:tc>
        <w:tc>
          <w:tcPr>
            <w:tcW w:w="960" w:type="dxa"/>
            <w:tcBorders>
              <w:tl2br w:val="nil"/>
              <w:tr2bl w:val="nil"/>
            </w:tcBorders>
            <w:vAlign w:val="center"/>
          </w:tcPr>
          <w:p w14:paraId="3CE21BD2">
            <w:pPr>
              <w:adjustRightInd w:val="0"/>
              <w:snapToGrid w:val="0"/>
              <w:spacing w:line="240" w:lineRule="auto"/>
              <w:ind w:firstLine="0"/>
              <w:jc w:val="center"/>
              <w:rPr>
                <w:sz w:val="21"/>
                <w:szCs w:val="21"/>
              </w:rPr>
            </w:pPr>
            <w:r>
              <w:rPr>
                <w:sz w:val="21"/>
                <w:szCs w:val="21"/>
              </w:rPr>
              <w:t>80~90</w:t>
            </w:r>
          </w:p>
        </w:tc>
        <w:tc>
          <w:tcPr>
            <w:tcW w:w="1440" w:type="dxa"/>
            <w:tcBorders>
              <w:tl2br w:val="nil"/>
              <w:tr2bl w:val="nil"/>
            </w:tcBorders>
            <w:vAlign w:val="center"/>
          </w:tcPr>
          <w:p w14:paraId="5B3B3871">
            <w:pPr>
              <w:adjustRightInd w:val="0"/>
              <w:snapToGrid w:val="0"/>
              <w:spacing w:line="240" w:lineRule="auto"/>
              <w:ind w:firstLine="0"/>
              <w:jc w:val="center"/>
              <w:rPr>
                <w:sz w:val="21"/>
                <w:szCs w:val="21"/>
              </w:rPr>
            </w:pPr>
            <w:r>
              <w:rPr>
                <w:sz w:val="21"/>
                <w:szCs w:val="21"/>
              </w:rPr>
              <w:t>0.9%~1.0%</w:t>
            </w:r>
          </w:p>
        </w:tc>
        <w:tc>
          <w:tcPr>
            <w:tcW w:w="1070" w:type="dxa"/>
            <w:vMerge w:val="continue"/>
            <w:tcBorders>
              <w:tl2br w:val="nil"/>
              <w:tr2bl w:val="nil"/>
            </w:tcBorders>
            <w:vAlign w:val="center"/>
          </w:tcPr>
          <w:p w14:paraId="632746F8">
            <w:pPr>
              <w:adjustRightInd w:val="0"/>
              <w:snapToGrid w:val="0"/>
              <w:spacing w:line="240" w:lineRule="auto"/>
              <w:ind w:firstLine="0"/>
              <w:jc w:val="center"/>
              <w:rPr>
                <w:sz w:val="21"/>
                <w:szCs w:val="21"/>
              </w:rPr>
            </w:pPr>
          </w:p>
        </w:tc>
      </w:tr>
      <w:tr w14:paraId="29953B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79" w:type="dxa"/>
            <w:bottom w:w="28" w:type="dxa"/>
            <w:right w:w="79" w:type="dxa"/>
          </w:tblCellMar>
        </w:tblPrEx>
        <w:trPr>
          <w:trHeight w:val="454" w:hRule="atLeast"/>
          <w:jc w:val="center"/>
        </w:trPr>
        <w:tc>
          <w:tcPr>
            <w:tcW w:w="487" w:type="dxa"/>
            <w:tcBorders>
              <w:tl2br w:val="nil"/>
              <w:tr2bl w:val="nil"/>
            </w:tcBorders>
            <w:vAlign w:val="center"/>
          </w:tcPr>
          <w:p w14:paraId="5DB52006">
            <w:pPr>
              <w:adjustRightInd w:val="0"/>
              <w:snapToGrid w:val="0"/>
              <w:spacing w:line="240" w:lineRule="auto"/>
              <w:ind w:firstLine="0"/>
              <w:jc w:val="center"/>
              <w:rPr>
                <w:sz w:val="21"/>
                <w:szCs w:val="21"/>
              </w:rPr>
            </w:pPr>
            <w:r>
              <w:rPr>
                <w:sz w:val="21"/>
                <w:szCs w:val="21"/>
              </w:rPr>
              <w:t>4</w:t>
            </w:r>
          </w:p>
        </w:tc>
        <w:tc>
          <w:tcPr>
            <w:tcW w:w="4016" w:type="dxa"/>
            <w:gridSpan w:val="2"/>
            <w:tcBorders>
              <w:tl2br w:val="nil"/>
              <w:tr2bl w:val="nil"/>
            </w:tcBorders>
            <w:vAlign w:val="center"/>
          </w:tcPr>
          <w:p w14:paraId="12A8623E">
            <w:pPr>
              <w:adjustRightInd w:val="0"/>
              <w:snapToGrid w:val="0"/>
              <w:spacing w:line="240" w:lineRule="auto"/>
              <w:ind w:firstLine="0"/>
              <w:jc w:val="center"/>
              <w:rPr>
                <w:sz w:val="21"/>
                <w:szCs w:val="21"/>
              </w:rPr>
            </w:pPr>
            <w:r>
              <w:rPr>
                <w:sz w:val="21"/>
                <w:szCs w:val="21"/>
              </w:rPr>
              <w:t>立柱竖向位移</w:t>
            </w:r>
          </w:p>
        </w:tc>
        <w:tc>
          <w:tcPr>
            <w:tcW w:w="918" w:type="dxa"/>
            <w:tcBorders>
              <w:tl2br w:val="nil"/>
              <w:tr2bl w:val="nil"/>
            </w:tcBorders>
            <w:vAlign w:val="center"/>
          </w:tcPr>
          <w:p w14:paraId="0A7FB5C4">
            <w:pPr>
              <w:adjustRightInd w:val="0"/>
              <w:snapToGrid w:val="0"/>
              <w:spacing w:line="240" w:lineRule="auto"/>
              <w:ind w:firstLine="0"/>
              <w:jc w:val="center"/>
              <w:rPr>
                <w:sz w:val="21"/>
                <w:szCs w:val="21"/>
              </w:rPr>
            </w:pPr>
            <w:r>
              <w:rPr>
                <w:sz w:val="21"/>
                <w:szCs w:val="21"/>
              </w:rPr>
              <w:t>25~35</w:t>
            </w:r>
          </w:p>
        </w:tc>
        <w:tc>
          <w:tcPr>
            <w:tcW w:w="1440" w:type="dxa"/>
            <w:tcBorders>
              <w:tl2br w:val="nil"/>
              <w:tr2bl w:val="nil"/>
            </w:tcBorders>
            <w:vAlign w:val="center"/>
          </w:tcPr>
          <w:p w14:paraId="178DBBF6">
            <w:pPr>
              <w:adjustRightInd w:val="0"/>
              <w:snapToGrid w:val="0"/>
              <w:spacing w:line="240" w:lineRule="auto"/>
              <w:ind w:firstLine="0"/>
              <w:jc w:val="center"/>
              <w:rPr>
                <w:sz w:val="21"/>
                <w:szCs w:val="21"/>
              </w:rPr>
            </w:pPr>
          </w:p>
        </w:tc>
        <w:tc>
          <w:tcPr>
            <w:tcW w:w="1035" w:type="dxa"/>
            <w:tcBorders>
              <w:tl2br w:val="nil"/>
              <w:tr2bl w:val="nil"/>
            </w:tcBorders>
            <w:vAlign w:val="center"/>
          </w:tcPr>
          <w:p w14:paraId="3F665FAE">
            <w:pPr>
              <w:adjustRightInd w:val="0"/>
              <w:snapToGrid w:val="0"/>
              <w:spacing w:line="240" w:lineRule="auto"/>
              <w:ind w:firstLine="0"/>
              <w:jc w:val="center"/>
              <w:rPr>
                <w:sz w:val="21"/>
                <w:szCs w:val="21"/>
              </w:rPr>
            </w:pPr>
            <w:r>
              <w:rPr>
                <w:sz w:val="21"/>
                <w:szCs w:val="21"/>
              </w:rPr>
              <w:t>2~3</w:t>
            </w:r>
          </w:p>
        </w:tc>
        <w:tc>
          <w:tcPr>
            <w:tcW w:w="885" w:type="dxa"/>
            <w:tcBorders>
              <w:tl2br w:val="nil"/>
              <w:tr2bl w:val="nil"/>
            </w:tcBorders>
            <w:vAlign w:val="center"/>
          </w:tcPr>
          <w:p w14:paraId="66223E0B">
            <w:pPr>
              <w:adjustRightInd w:val="0"/>
              <w:snapToGrid w:val="0"/>
              <w:spacing w:line="240" w:lineRule="auto"/>
              <w:ind w:firstLine="0"/>
              <w:jc w:val="center"/>
              <w:rPr>
                <w:sz w:val="21"/>
                <w:szCs w:val="21"/>
              </w:rPr>
            </w:pPr>
            <w:r>
              <w:rPr>
                <w:sz w:val="21"/>
                <w:szCs w:val="21"/>
              </w:rPr>
              <w:t>35~45</w:t>
            </w:r>
          </w:p>
        </w:tc>
        <w:tc>
          <w:tcPr>
            <w:tcW w:w="1440" w:type="dxa"/>
            <w:tcBorders>
              <w:tl2br w:val="nil"/>
              <w:tr2bl w:val="nil"/>
            </w:tcBorders>
            <w:vAlign w:val="center"/>
          </w:tcPr>
          <w:p w14:paraId="0D5DAD3F">
            <w:pPr>
              <w:adjustRightInd w:val="0"/>
              <w:snapToGrid w:val="0"/>
              <w:spacing w:line="240" w:lineRule="auto"/>
              <w:ind w:firstLine="0"/>
              <w:jc w:val="center"/>
              <w:rPr>
                <w:sz w:val="21"/>
                <w:szCs w:val="21"/>
              </w:rPr>
            </w:pPr>
          </w:p>
        </w:tc>
        <w:tc>
          <w:tcPr>
            <w:tcW w:w="1095" w:type="dxa"/>
            <w:tcBorders>
              <w:tl2br w:val="nil"/>
              <w:tr2bl w:val="nil"/>
            </w:tcBorders>
            <w:vAlign w:val="center"/>
          </w:tcPr>
          <w:p w14:paraId="6BFBAB9F">
            <w:pPr>
              <w:adjustRightInd w:val="0"/>
              <w:snapToGrid w:val="0"/>
              <w:spacing w:line="240" w:lineRule="auto"/>
              <w:ind w:firstLine="0"/>
              <w:jc w:val="center"/>
              <w:rPr>
                <w:sz w:val="21"/>
                <w:szCs w:val="21"/>
              </w:rPr>
            </w:pPr>
            <w:r>
              <w:rPr>
                <w:sz w:val="21"/>
                <w:szCs w:val="21"/>
              </w:rPr>
              <w:t>4~6</w:t>
            </w:r>
          </w:p>
        </w:tc>
        <w:tc>
          <w:tcPr>
            <w:tcW w:w="960" w:type="dxa"/>
            <w:tcBorders>
              <w:tl2br w:val="nil"/>
              <w:tr2bl w:val="nil"/>
            </w:tcBorders>
            <w:vAlign w:val="center"/>
          </w:tcPr>
          <w:p w14:paraId="78A23B67">
            <w:pPr>
              <w:adjustRightInd w:val="0"/>
              <w:snapToGrid w:val="0"/>
              <w:spacing w:line="240" w:lineRule="auto"/>
              <w:ind w:firstLine="0"/>
              <w:jc w:val="center"/>
              <w:rPr>
                <w:sz w:val="21"/>
                <w:szCs w:val="21"/>
              </w:rPr>
            </w:pPr>
            <w:r>
              <w:rPr>
                <w:sz w:val="21"/>
                <w:szCs w:val="21"/>
              </w:rPr>
              <w:t>55~65</w:t>
            </w:r>
          </w:p>
        </w:tc>
        <w:tc>
          <w:tcPr>
            <w:tcW w:w="1440" w:type="dxa"/>
            <w:tcBorders>
              <w:tl2br w:val="nil"/>
              <w:tr2bl w:val="nil"/>
            </w:tcBorders>
            <w:vAlign w:val="center"/>
          </w:tcPr>
          <w:p w14:paraId="04164427">
            <w:pPr>
              <w:adjustRightInd w:val="0"/>
              <w:snapToGrid w:val="0"/>
              <w:spacing w:line="240" w:lineRule="auto"/>
              <w:ind w:firstLine="0"/>
              <w:jc w:val="center"/>
              <w:rPr>
                <w:sz w:val="21"/>
                <w:szCs w:val="21"/>
              </w:rPr>
            </w:pPr>
          </w:p>
        </w:tc>
        <w:tc>
          <w:tcPr>
            <w:tcW w:w="1070" w:type="dxa"/>
            <w:tcBorders>
              <w:tl2br w:val="nil"/>
              <w:tr2bl w:val="nil"/>
            </w:tcBorders>
            <w:vAlign w:val="center"/>
          </w:tcPr>
          <w:p w14:paraId="2D50B39A">
            <w:pPr>
              <w:adjustRightInd w:val="0"/>
              <w:snapToGrid w:val="0"/>
              <w:spacing w:line="240" w:lineRule="auto"/>
              <w:ind w:firstLine="0"/>
              <w:jc w:val="center"/>
              <w:rPr>
                <w:sz w:val="21"/>
                <w:szCs w:val="21"/>
              </w:rPr>
            </w:pPr>
            <w:r>
              <w:rPr>
                <w:sz w:val="21"/>
                <w:szCs w:val="21"/>
              </w:rPr>
              <w:t>8~10</w:t>
            </w:r>
          </w:p>
        </w:tc>
      </w:tr>
      <w:tr w14:paraId="08BC2A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79" w:type="dxa"/>
            <w:bottom w:w="28" w:type="dxa"/>
            <w:right w:w="79" w:type="dxa"/>
          </w:tblCellMar>
        </w:tblPrEx>
        <w:trPr>
          <w:trHeight w:val="454" w:hRule="atLeast"/>
          <w:jc w:val="center"/>
        </w:trPr>
        <w:tc>
          <w:tcPr>
            <w:tcW w:w="487" w:type="dxa"/>
            <w:tcBorders>
              <w:tl2br w:val="nil"/>
              <w:tr2bl w:val="nil"/>
            </w:tcBorders>
            <w:vAlign w:val="center"/>
          </w:tcPr>
          <w:p w14:paraId="7675E9DB">
            <w:pPr>
              <w:adjustRightInd w:val="0"/>
              <w:snapToGrid w:val="0"/>
              <w:spacing w:line="240" w:lineRule="auto"/>
              <w:ind w:firstLine="0"/>
              <w:jc w:val="center"/>
              <w:rPr>
                <w:sz w:val="21"/>
                <w:szCs w:val="21"/>
              </w:rPr>
            </w:pPr>
            <w:r>
              <w:rPr>
                <w:sz w:val="21"/>
                <w:szCs w:val="21"/>
              </w:rPr>
              <w:t>5</w:t>
            </w:r>
          </w:p>
        </w:tc>
        <w:tc>
          <w:tcPr>
            <w:tcW w:w="4016" w:type="dxa"/>
            <w:gridSpan w:val="2"/>
            <w:tcBorders>
              <w:tl2br w:val="nil"/>
              <w:tr2bl w:val="nil"/>
            </w:tcBorders>
            <w:vAlign w:val="center"/>
          </w:tcPr>
          <w:p w14:paraId="2D36F63B">
            <w:pPr>
              <w:adjustRightInd w:val="0"/>
              <w:snapToGrid w:val="0"/>
              <w:spacing w:line="240" w:lineRule="auto"/>
              <w:ind w:firstLine="0"/>
              <w:jc w:val="center"/>
              <w:rPr>
                <w:sz w:val="21"/>
                <w:szCs w:val="21"/>
              </w:rPr>
            </w:pPr>
            <w:r>
              <w:rPr>
                <w:sz w:val="21"/>
                <w:szCs w:val="21"/>
              </w:rPr>
              <w:t>基坑周边地表竖向位移</w:t>
            </w:r>
          </w:p>
        </w:tc>
        <w:tc>
          <w:tcPr>
            <w:tcW w:w="918" w:type="dxa"/>
            <w:tcBorders>
              <w:tl2br w:val="nil"/>
              <w:tr2bl w:val="nil"/>
            </w:tcBorders>
            <w:vAlign w:val="center"/>
          </w:tcPr>
          <w:p w14:paraId="56D2026C">
            <w:pPr>
              <w:adjustRightInd w:val="0"/>
              <w:snapToGrid w:val="0"/>
              <w:spacing w:line="240" w:lineRule="auto"/>
              <w:ind w:firstLine="0"/>
              <w:jc w:val="center"/>
              <w:rPr>
                <w:sz w:val="21"/>
                <w:szCs w:val="21"/>
              </w:rPr>
            </w:pPr>
            <w:r>
              <w:rPr>
                <w:sz w:val="21"/>
                <w:szCs w:val="21"/>
              </w:rPr>
              <w:t>25~35</w:t>
            </w:r>
          </w:p>
        </w:tc>
        <w:tc>
          <w:tcPr>
            <w:tcW w:w="1440" w:type="dxa"/>
            <w:tcBorders>
              <w:tl2br w:val="nil"/>
              <w:tr2bl w:val="nil"/>
            </w:tcBorders>
            <w:vAlign w:val="center"/>
          </w:tcPr>
          <w:p w14:paraId="7A0942C0">
            <w:pPr>
              <w:adjustRightInd w:val="0"/>
              <w:snapToGrid w:val="0"/>
              <w:spacing w:line="240" w:lineRule="auto"/>
              <w:ind w:firstLine="0"/>
              <w:jc w:val="center"/>
              <w:rPr>
                <w:sz w:val="21"/>
                <w:szCs w:val="21"/>
              </w:rPr>
            </w:pPr>
          </w:p>
        </w:tc>
        <w:tc>
          <w:tcPr>
            <w:tcW w:w="1035" w:type="dxa"/>
            <w:tcBorders>
              <w:tl2br w:val="nil"/>
              <w:tr2bl w:val="nil"/>
            </w:tcBorders>
            <w:vAlign w:val="center"/>
          </w:tcPr>
          <w:p w14:paraId="3AF1DB6F">
            <w:pPr>
              <w:adjustRightInd w:val="0"/>
              <w:snapToGrid w:val="0"/>
              <w:spacing w:line="240" w:lineRule="auto"/>
              <w:ind w:firstLine="0"/>
              <w:jc w:val="center"/>
              <w:rPr>
                <w:sz w:val="21"/>
                <w:szCs w:val="21"/>
              </w:rPr>
            </w:pPr>
            <w:r>
              <w:rPr>
                <w:sz w:val="21"/>
                <w:szCs w:val="21"/>
              </w:rPr>
              <w:t>2~3</w:t>
            </w:r>
          </w:p>
        </w:tc>
        <w:tc>
          <w:tcPr>
            <w:tcW w:w="885" w:type="dxa"/>
            <w:tcBorders>
              <w:tl2br w:val="nil"/>
              <w:tr2bl w:val="nil"/>
            </w:tcBorders>
            <w:vAlign w:val="center"/>
          </w:tcPr>
          <w:p w14:paraId="54C23D5C">
            <w:pPr>
              <w:adjustRightInd w:val="0"/>
              <w:snapToGrid w:val="0"/>
              <w:spacing w:line="240" w:lineRule="auto"/>
              <w:ind w:firstLine="0"/>
              <w:jc w:val="center"/>
              <w:rPr>
                <w:sz w:val="21"/>
                <w:szCs w:val="21"/>
              </w:rPr>
            </w:pPr>
            <w:r>
              <w:rPr>
                <w:sz w:val="21"/>
                <w:szCs w:val="21"/>
              </w:rPr>
              <w:t>50~60</w:t>
            </w:r>
          </w:p>
        </w:tc>
        <w:tc>
          <w:tcPr>
            <w:tcW w:w="1440" w:type="dxa"/>
            <w:tcBorders>
              <w:tl2br w:val="nil"/>
              <w:tr2bl w:val="nil"/>
            </w:tcBorders>
            <w:vAlign w:val="center"/>
          </w:tcPr>
          <w:p w14:paraId="6ED2F695">
            <w:pPr>
              <w:adjustRightInd w:val="0"/>
              <w:snapToGrid w:val="0"/>
              <w:spacing w:line="240" w:lineRule="auto"/>
              <w:ind w:firstLine="0"/>
              <w:jc w:val="center"/>
              <w:rPr>
                <w:sz w:val="21"/>
                <w:szCs w:val="21"/>
              </w:rPr>
            </w:pPr>
          </w:p>
        </w:tc>
        <w:tc>
          <w:tcPr>
            <w:tcW w:w="1095" w:type="dxa"/>
            <w:tcBorders>
              <w:tl2br w:val="nil"/>
              <w:tr2bl w:val="nil"/>
            </w:tcBorders>
            <w:vAlign w:val="center"/>
          </w:tcPr>
          <w:p w14:paraId="4146F06E">
            <w:pPr>
              <w:adjustRightInd w:val="0"/>
              <w:snapToGrid w:val="0"/>
              <w:spacing w:line="240" w:lineRule="auto"/>
              <w:ind w:firstLine="0"/>
              <w:jc w:val="center"/>
              <w:rPr>
                <w:sz w:val="21"/>
                <w:szCs w:val="21"/>
              </w:rPr>
            </w:pPr>
            <w:r>
              <w:rPr>
                <w:sz w:val="21"/>
                <w:szCs w:val="21"/>
              </w:rPr>
              <w:t>4~6</w:t>
            </w:r>
          </w:p>
        </w:tc>
        <w:tc>
          <w:tcPr>
            <w:tcW w:w="960" w:type="dxa"/>
            <w:tcBorders>
              <w:tl2br w:val="nil"/>
              <w:tr2bl w:val="nil"/>
            </w:tcBorders>
            <w:vAlign w:val="center"/>
          </w:tcPr>
          <w:p w14:paraId="4E6E1042">
            <w:pPr>
              <w:adjustRightInd w:val="0"/>
              <w:snapToGrid w:val="0"/>
              <w:spacing w:line="240" w:lineRule="auto"/>
              <w:ind w:firstLine="0"/>
              <w:jc w:val="center"/>
              <w:rPr>
                <w:sz w:val="21"/>
                <w:szCs w:val="21"/>
              </w:rPr>
            </w:pPr>
            <w:r>
              <w:rPr>
                <w:sz w:val="21"/>
                <w:szCs w:val="21"/>
              </w:rPr>
              <w:t>60~80</w:t>
            </w:r>
          </w:p>
        </w:tc>
        <w:tc>
          <w:tcPr>
            <w:tcW w:w="1440" w:type="dxa"/>
            <w:tcBorders>
              <w:tl2br w:val="nil"/>
              <w:tr2bl w:val="nil"/>
            </w:tcBorders>
            <w:vAlign w:val="center"/>
          </w:tcPr>
          <w:p w14:paraId="2858B4E6">
            <w:pPr>
              <w:adjustRightInd w:val="0"/>
              <w:snapToGrid w:val="0"/>
              <w:spacing w:line="240" w:lineRule="auto"/>
              <w:ind w:firstLine="0"/>
              <w:jc w:val="center"/>
              <w:rPr>
                <w:sz w:val="21"/>
                <w:szCs w:val="21"/>
              </w:rPr>
            </w:pPr>
          </w:p>
        </w:tc>
        <w:tc>
          <w:tcPr>
            <w:tcW w:w="1070" w:type="dxa"/>
            <w:tcBorders>
              <w:tl2br w:val="nil"/>
              <w:tr2bl w:val="nil"/>
            </w:tcBorders>
            <w:vAlign w:val="center"/>
          </w:tcPr>
          <w:p w14:paraId="379074A7">
            <w:pPr>
              <w:adjustRightInd w:val="0"/>
              <w:snapToGrid w:val="0"/>
              <w:spacing w:line="240" w:lineRule="auto"/>
              <w:ind w:firstLine="0"/>
              <w:jc w:val="center"/>
              <w:rPr>
                <w:sz w:val="21"/>
                <w:szCs w:val="21"/>
              </w:rPr>
            </w:pPr>
            <w:r>
              <w:rPr>
                <w:sz w:val="21"/>
                <w:szCs w:val="21"/>
              </w:rPr>
              <w:t>8~10</w:t>
            </w:r>
          </w:p>
        </w:tc>
      </w:tr>
      <w:tr w14:paraId="0EE1EC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79" w:type="dxa"/>
            <w:bottom w:w="28" w:type="dxa"/>
            <w:right w:w="79" w:type="dxa"/>
          </w:tblCellMar>
        </w:tblPrEx>
        <w:trPr>
          <w:trHeight w:val="454" w:hRule="atLeast"/>
          <w:jc w:val="center"/>
        </w:trPr>
        <w:tc>
          <w:tcPr>
            <w:tcW w:w="487" w:type="dxa"/>
            <w:tcBorders>
              <w:tl2br w:val="nil"/>
              <w:tr2bl w:val="nil"/>
            </w:tcBorders>
            <w:vAlign w:val="center"/>
          </w:tcPr>
          <w:p w14:paraId="152BD3DA">
            <w:pPr>
              <w:adjustRightInd w:val="0"/>
              <w:snapToGrid w:val="0"/>
              <w:spacing w:line="240" w:lineRule="auto"/>
              <w:ind w:firstLine="0"/>
              <w:jc w:val="center"/>
              <w:rPr>
                <w:sz w:val="21"/>
                <w:szCs w:val="21"/>
              </w:rPr>
            </w:pPr>
            <w:r>
              <w:rPr>
                <w:sz w:val="21"/>
                <w:szCs w:val="21"/>
              </w:rPr>
              <w:t>6</w:t>
            </w:r>
          </w:p>
        </w:tc>
        <w:tc>
          <w:tcPr>
            <w:tcW w:w="4016" w:type="dxa"/>
            <w:gridSpan w:val="2"/>
            <w:tcBorders>
              <w:tl2br w:val="nil"/>
              <w:tr2bl w:val="nil"/>
            </w:tcBorders>
            <w:vAlign w:val="center"/>
          </w:tcPr>
          <w:p w14:paraId="3C17CE71">
            <w:pPr>
              <w:adjustRightInd w:val="0"/>
              <w:snapToGrid w:val="0"/>
              <w:spacing w:line="240" w:lineRule="auto"/>
              <w:ind w:firstLine="0"/>
              <w:jc w:val="center"/>
              <w:rPr>
                <w:sz w:val="21"/>
                <w:szCs w:val="21"/>
              </w:rPr>
            </w:pPr>
            <w:r>
              <w:rPr>
                <w:sz w:val="21"/>
                <w:szCs w:val="21"/>
              </w:rPr>
              <w:t>坑底回弹</w:t>
            </w:r>
          </w:p>
        </w:tc>
        <w:tc>
          <w:tcPr>
            <w:tcW w:w="918" w:type="dxa"/>
            <w:tcBorders>
              <w:tl2br w:val="nil"/>
              <w:tr2bl w:val="nil"/>
            </w:tcBorders>
            <w:vAlign w:val="center"/>
          </w:tcPr>
          <w:p w14:paraId="381C9796">
            <w:pPr>
              <w:adjustRightInd w:val="0"/>
              <w:snapToGrid w:val="0"/>
              <w:spacing w:line="240" w:lineRule="auto"/>
              <w:ind w:firstLine="0"/>
              <w:jc w:val="center"/>
              <w:rPr>
                <w:sz w:val="21"/>
                <w:szCs w:val="21"/>
              </w:rPr>
            </w:pPr>
            <w:r>
              <w:rPr>
                <w:sz w:val="21"/>
                <w:szCs w:val="21"/>
              </w:rPr>
              <w:t>25~35</w:t>
            </w:r>
          </w:p>
        </w:tc>
        <w:tc>
          <w:tcPr>
            <w:tcW w:w="1440" w:type="dxa"/>
            <w:tcBorders>
              <w:tl2br w:val="nil"/>
              <w:tr2bl w:val="nil"/>
            </w:tcBorders>
            <w:vAlign w:val="center"/>
          </w:tcPr>
          <w:p w14:paraId="2F6B8662">
            <w:pPr>
              <w:adjustRightInd w:val="0"/>
              <w:snapToGrid w:val="0"/>
              <w:spacing w:line="240" w:lineRule="auto"/>
              <w:ind w:firstLine="0"/>
              <w:jc w:val="center"/>
              <w:rPr>
                <w:sz w:val="21"/>
                <w:szCs w:val="21"/>
              </w:rPr>
            </w:pPr>
          </w:p>
        </w:tc>
        <w:tc>
          <w:tcPr>
            <w:tcW w:w="1035" w:type="dxa"/>
            <w:tcBorders>
              <w:tl2br w:val="nil"/>
              <w:tr2bl w:val="nil"/>
            </w:tcBorders>
            <w:vAlign w:val="center"/>
          </w:tcPr>
          <w:p w14:paraId="20BAD1A5">
            <w:pPr>
              <w:adjustRightInd w:val="0"/>
              <w:snapToGrid w:val="0"/>
              <w:spacing w:line="240" w:lineRule="auto"/>
              <w:ind w:firstLine="0"/>
              <w:jc w:val="center"/>
              <w:rPr>
                <w:sz w:val="21"/>
                <w:szCs w:val="21"/>
              </w:rPr>
            </w:pPr>
            <w:r>
              <w:rPr>
                <w:sz w:val="21"/>
                <w:szCs w:val="21"/>
              </w:rPr>
              <w:t>2~3</w:t>
            </w:r>
          </w:p>
        </w:tc>
        <w:tc>
          <w:tcPr>
            <w:tcW w:w="885" w:type="dxa"/>
            <w:tcBorders>
              <w:tl2br w:val="nil"/>
              <w:tr2bl w:val="nil"/>
            </w:tcBorders>
            <w:vAlign w:val="center"/>
          </w:tcPr>
          <w:p w14:paraId="4A2D0C23">
            <w:pPr>
              <w:adjustRightInd w:val="0"/>
              <w:snapToGrid w:val="0"/>
              <w:spacing w:line="240" w:lineRule="auto"/>
              <w:ind w:firstLine="0"/>
              <w:jc w:val="center"/>
              <w:rPr>
                <w:sz w:val="21"/>
                <w:szCs w:val="21"/>
              </w:rPr>
            </w:pPr>
            <w:r>
              <w:rPr>
                <w:sz w:val="21"/>
                <w:szCs w:val="21"/>
              </w:rPr>
              <w:t>50~60</w:t>
            </w:r>
          </w:p>
        </w:tc>
        <w:tc>
          <w:tcPr>
            <w:tcW w:w="1440" w:type="dxa"/>
            <w:tcBorders>
              <w:tl2br w:val="nil"/>
              <w:tr2bl w:val="nil"/>
            </w:tcBorders>
            <w:vAlign w:val="center"/>
          </w:tcPr>
          <w:p w14:paraId="3A0F26E5">
            <w:pPr>
              <w:adjustRightInd w:val="0"/>
              <w:snapToGrid w:val="0"/>
              <w:spacing w:line="240" w:lineRule="auto"/>
              <w:ind w:firstLine="0"/>
              <w:jc w:val="center"/>
              <w:rPr>
                <w:sz w:val="21"/>
                <w:szCs w:val="21"/>
              </w:rPr>
            </w:pPr>
          </w:p>
        </w:tc>
        <w:tc>
          <w:tcPr>
            <w:tcW w:w="1095" w:type="dxa"/>
            <w:tcBorders>
              <w:tl2br w:val="nil"/>
              <w:tr2bl w:val="nil"/>
            </w:tcBorders>
            <w:vAlign w:val="center"/>
          </w:tcPr>
          <w:p w14:paraId="2F189A36">
            <w:pPr>
              <w:adjustRightInd w:val="0"/>
              <w:snapToGrid w:val="0"/>
              <w:spacing w:line="240" w:lineRule="auto"/>
              <w:ind w:firstLine="0"/>
              <w:jc w:val="center"/>
              <w:rPr>
                <w:sz w:val="21"/>
                <w:szCs w:val="21"/>
              </w:rPr>
            </w:pPr>
            <w:r>
              <w:rPr>
                <w:sz w:val="21"/>
                <w:szCs w:val="21"/>
              </w:rPr>
              <w:t>4~6</w:t>
            </w:r>
          </w:p>
        </w:tc>
        <w:tc>
          <w:tcPr>
            <w:tcW w:w="960" w:type="dxa"/>
            <w:tcBorders>
              <w:tl2br w:val="nil"/>
              <w:tr2bl w:val="nil"/>
            </w:tcBorders>
            <w:vAlign w:val="center"/>
          </w:tcPr>
          <w:p w14:paraId="0B3D3FAE">
            <w:pPr>
              <w:adjustRightInd w:val="0"/>
              <w:snapToGrid w:val="0"/>
              <w:spacing w:line="240" w:lineRule="auto"/>
              <w:ind w:firstLine="0"/>
              <w:jc w:val="center"/>
              <w:rPr>
                <w:sz w:val="21"/>
                <w:szCs w:val="21"/>
              </w:rPr>
            </w:pPr>
            <w:r>
              <w:rPr>
                <w:sz w:val="21"/>
                <w:szCs w:val="21"/>
              </w:rPr>
              <w:t>60~80</w:t>
            </w:r>
          </w:p>
        </w:tc>
        <w:tc>
          <w:tcPr>
            <w:tcW w:w="1440" w:type="dxa"/>
            <w:tcBorders>
              <w:tl2br w:val="nil"/>
              <w:tr2bl w:val="nil"/>
            </w:tcBorders>
            <w:vAlign w:val="center"/>
          </w:tcPr>
          <w:p w14:paraId="75908E67">
            <w:pPr>
              <w:adjustRightInd w:val="0"/>
              <w:snapToGrid w:val="0"/>
              <w:spacing w:line="240" w:lineRule="auto"/>
              <w:ind w:firstLine="0"/>
              <w:jc w:val="center"/>
              <w:rPr>
                <w:sz w:val="21"/>
                <w:szCs w:val="21"/>
              </w:rPr>
            </w:pPr>
          </w:p>
        </w:tc>
        <w:tc>
          <w:tcPr>
            <w:tcW w:w="1070" w:type="dxa"/>
            <w:tcBorders>
              <w:tl2br w:val="nil"/>
              <w:tr2bl w:val="nil"/>
            </w:tcBorders>
            <w:vAlign w:val="center"/>
          </w:tcPr>
          <w:p w14:paraId="4A05FC9B">
            <w:pPr>
              <w:adjustRightInd w:val="0"/>
              <w:snapToGrid w:val="0"/>
              <w:spacing w:line="240" w:lineRule="auto"/>
              <w:ind w:firstLine="0"/>
              <w:jc w:val="center"/>
              <w:rPr>
                <w:sz w:val="21"/>
                <w:szCs w:val="21"/>
              </w:rPr>
            </w:pPr>
            <w:r>
              <w:rPr>
                <w:sz w:val="21"/>
                <w:szCs w:val="21"/>
              </w:rPr>
              <w:t>8~10</w:t>
            </w:r>
          </w:p>
        </w:tc>
      </w:tr>
      <w:tr w14:paraId="2D663D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79" w:type="dxa"/>
            <w:bottom w:w="28" w:type="dxa"/>
            <w:right w:w="79" w:type="dxa"/>
          </w:tblCellMar>
        </w:tblPrEx>
        <w:trPr>
          <w:trHeight w:val="454" w:hRule="atLeast"/>
          <w:jc w:val="center"/>
        </w:trPr>
        <w:tc>
          <w:tcPr>
            <w:tcW w:w="487" w:type="dxa"/>
            <w:tcBorders>
              <w:tl2br w:val="nil"/>
              <w:tr2bl w:val="nil"/>
            </w:tcBorders>
            <w:vAlign w:val="center"/>
          </w:tcPr>
          <w:p w14:paraId="5BD168BC">
            <w:pPr>
              <w:adjustRightInd w:val="0"/>
              <w:snapToGrid w:val="0"/>
              <w:spacing w:line="240" w:lineRule="auto"/>
              <w:ind w:firstLine="0"/>
              <w:jc w:val="center"/>
              <w:rPr>
                <w:sz w:val="21"/>
                <w:szCs w:val="21"/>
              </w:rPr>
            </w:pPr>
            <w:r>
              <w:rPr>
                <w:sz w:val="21"/>
                <w:szCs w:val="21"/>
              </w:rPr>
              <w:t>7</w:t>
            </w:r>
          </w:p>
        </w:tc>
        <w:tc>
          <w:tcPr>
            <w:tcW w:w="4016" w:type="dxa"/>
            <w:gridSpan w:val="2"/>
            <w:tcBorders>
              <w:tl2br w:val="nil"/>
              <w:tr2bl w:val="nil"/>
            </w:tcBorders>
            <w:vAlign w:val="center"/>
          </w:tcPr>
          <w:p w14:paraId="2CB2EE61">
            <w:pPr>
              <w:adjustRightInd w:val="0"/>
              <w:snapToGrid w:val="0"/>
              <w:spacing w:line="240" w:lineRule="auto"/>
              <w:ind w:firstLine="0"/>
              <w:jc w:val="center"/>
              <w:rPr>
                <w:sz w:val="21"/>
                <w:szCs w:val="21"/>
              </w:rPr>
            </w:pPr>
            <w:r>
              <w:rPr>
                <w:sz w:val="21"/>
                <w:szCs w:val="21"/>
              </w:rPr>
              <w:t>支撑内力</w:t>
            </w:r>
          </w:p>
        </w:tc>
        <w:tc>
          <w:tcPr>
            <w:tcW w:w="2358" w:type="dxa"/>
            <w:gridSpan w:val="2"/>
            <w:vMerge w:val="restart"/>
            <w:tcBorders>
              <w:tl2br w:val="nil"/>
              <w:tr2bl w:val="nil"/>
            </w:tcBorders>
            <w:vAlign w:val="center"/>
          </w:tcPr>
          <w:p w14:paraId="03D94151">
            <w:pPr>
              <w:adjustRightInd w:val="0"/>
              <w:snapToGrid w:val="0"/>
              <w:spacing w:line="240" w:lineRule="auto"/>
              <w:ind w:firstLine="0"/>
              <w:jc w:val="center"/>
              <w:rPr>
                <w:sz w:val="21"/>
                <w:szCs w:val="21"/>
              </w:rPr>
            </w:pPr>
            <w:r>
              <w:rPr>
                <w:sz w:val="21"/>
                <w:szCs w:val="21"/>
              </w:rPr>
              <w:t>60%~70%</w:t>
            </w:r>
            <w:r>
              <w:rPr>
                <w:i/>
                <w:sz w:val="21"/>
                <w:szCs w:val="21"/>
              </w:rPr>
              <w:t>f</w:t>
            </w:r>
          </w:p>
        </w:tc>
        <w:tc>
          <w:tcPr>
            <w:tcW w:w="1035" w:type="dxa"/>
            <w:vMerge w:val="restart"/>
            <w:tcBorders>
              <w:tl2br w:val="nil"/>
              <w:tr2bl w:val="nil"/>
            </w:tcBorders>
            <w:vAlign w:val="center"/>
          </w:tcPr>
          <w:p w14:paraId="1E37304B">
            <w:pPr>
              <w:adjustRightInd w:val="0"/>
              <w:snapToGrid w:val="0"/>
              <w:spacing w:line="240" w:lineRule="auto"/>
              <w:ind w:firstLine="0"/>
              <w:jc w:val="center"/>
              <w:rPr>
                <w:sz w:val="21"/>
                <w:szCs w:val="21"/>
              </w:rPr>
            </w:pPr>
          </w:p>
        </w:tc>
        <w:tc>
          <w:tcPr>
            <w:tcW w:w="2325" w:type="dxa"/>
            <w:gridSpan w:val="2"/>
            <w:vMerge w:val="restart"/>
            <w:tcBorders>
              <w:tl2br w:val="nil"/>
              <w:tr2bl w:val="nil"/>
            </w:tcBorders>
            <w:vAlign w:val="center"/>
          </w:tcPr>
          <w:p w14:paraId="4044CE3C">
            <w:pPr>
              <w:adjustRightInd w:val="0"/>
              <w:snapToGrid w:val="0"/>
              <w:spacing w:line="240" w:lineRule="auto"/>
              <w:ind w:firstLine="0"/>
              <w:jc w:val="center"/>
              <w:rPr>
                <w:sz w:val="21"/>
                <w:szCs w:val="21"/>
              </w:rPr>
            </w:pPr>
            <w:r>
              <w:rPr>
                <w:sz w:val="21"/>
                <w:szCs w:val="21"/>
              </w:rPr>
              <w:t>70%~80%</w:t>
            </w:r>
            <w:r>
              <w:rPr>
                <w:i/>
                <w:sz w:val="21"/>
                <w:szCs w:val="21"/>
              </w:rPr>
              <w:t xml:space="preserve"> f</w:t>
            </w:r>
          </w:p>
        </w:tc>
        <w:tc>
          <w:tcPr>
            <w:tcW w:w="1095" w:type="dxa"/>
            <w:vMerge w:val="restart"/>
            <w:tcBorders>
              <w:tl2br w:val="nil"/>
              <w:tr2bl w:val="nil"/>
            </w:tcBorders>
            <w:vAlign w:val="center"/>
          </w:tcPr>
          <w:p w14:paraId="634CBA4E">
            <w:pPr>
              <w:adjustRightInd w:val="0"/>
              <w:snapToGrid w:val="0"/>
              <w:spacing w:line="240" w:lineRule="auto"/>
              <w:ind w:firstLine="0"/>
              <w:jc w:val="center"/>
              <w:rPr>
                <w:sz w:val="21"/>
                <w:szCs w:val="21"/>
              </w:rPr>
            </w:pPr>
          </w:p>
        </w:tc>
        <w:tc>
          <w:tcPr>
            <w:tcW w:w="2400" w:type="dxa"/>
            <w:gridSpan w:val="2"/>
            <w:vMerge w:val="restart"/>
            <w:tcBorders>
              <w:tl2br w:val="nil"/>
              <w:tr2bl w:val="nil"/>
            </w:tcBorders>
            <w:vAlign w:val="center"/>
          </w:tcPr>
          <w:p w14:paraId="161D50F1">
            <w:pPr>
              <w:adjustRightInd w:val="0"/>
              <w:snapToGrid w:val="0"/>
              <w:spacing w:line="240" w:lineRule="auto"/>
              <w:ind w:firstLine="0"/>
              <w:jc w:val="center"/>
              <w:rPr>
                <w:sz w:val="21"/>
                <w:szCs w:val="21"/>
              </w:rPr>
            </w:pPr>
            <w:r>
              <w:rPr>
                <w:sz w:val="21"/>
                <w:szCs w:val="21"/>
              </w:rPr>
              <w:t>80%~90%</w:t>
            </w:r>
            <w:r>
              <w:rPr>
                <w:i/>
                <w:sz w:val="21"/>
                <w:szCs w:val="21"/>
              </w:rPr>
              <w:t xml:space="preserve"> f</w:t>
            </w:r>
          </w:p>
        </w:tc>
        <w:tc>
          <w:tcPr>
            <w:tcW w:w="1070" w:type="dxa"/>
            <w:vMerge w:val="restart"/>
            <w:tcBorders>
              <w:tl2br w:val="nil"/>
              <w:tr2bl w:val="nil"/>
            </w:tcBorders>
            <w:vAlign w:val="center"/>
          </w:tcPr>
          <w:p w14:paraId="56C8E59F">
            <w:pPr>
              <w:adjustRightInd w:val="0"/>
              <w:snapToGrid w:val="0"/>
              <w:spacing w:line="240" w:lineRule="auto"/>
              <w:ind w:firstLine="0"/>
              <w:jc w:val="center"/>
              <w:rPr>
                <w:sz w:val="21"/>
                <w:szCs w:val="21"/>
              </w:rPr>
            </w:pPr>
          </w:p>
        </w:tc>
      </w:tr>
      <w:tr w14:paraId="270476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79" w:type="dxa"/>
            <w:bottom w:w="28" w:type="dxa"/>
            <w:right w:w="79" w:type="dxa"/>
          </w:tblCellMar>
        </w:tblPrEx>
        <w:trPr>
          <w:trHeight w:val="454" w:hRule="atLeast"/>
          <w:jc w:val="center"/>
        </w:trPr>
        <w:tc>
          <w:tcPr>
            <w:tcW w:w="487" w:type="dxa"/>
            <w:tcBorders>
              <w:tl2br w:val="nil"/>
              <w:tr2bl w:val="nil"/>
            </w:tcBorders>
            <w:vAlign w:val="center"/>
          </w:tcPr>
          <w:p w14:paraId="2FA34300">
            <w:pPr>
              <w:adjustRightInd w:val="0"/>
              <w:snapToGrid w:val="0"/>
              <w:spacing w:line="240" w:lineRule="auto"/>
              <w:ind w:firstLine="0"/>
              <w:jc w:val="center"/>
              <w:rPr>
                <w:sz w:val="21"/>
                <w:szCs w:val="21"/>
              </w:rPr>
            </w:pPr>
            <w:r>
              <w:rPr>
                <w:sz w:val="21"/>
                <w:szCs w:val="21"/>
              </w:rPr>
              <w:t>8</w:t>
            </w:r>
          </w:p>
        </w:tc>
        <w:tc>
          <w:tcPr>
            <w:tcW w:w="4016" w:type="dxa"/>
            <w:gridSpan w:val="2"/>
            <w:tcBorders>
              <w:tl2br w:val="nil"/>
              <w:tr2bl w:val="nil"/>
            </w:tcBorders>
            <w:vAlign w:val="center"/>
          </w:tcPr>
          <w:p w14:paraId="22D0932D">
            <w:pPr>
              <w:adjustRightInd w:val="0"/>
              <w:snapToGrid w:val="0"/>
              <w:spacing w:line="240" w:lineRule="auto"/>
              <w:ind w:firstLine="0"/>
              <w:jc w:val="center"/>
              <w:rPr>
                <w:sz w:val="21"/>
                <w:szCs w:val="21"/>
              </w:rPr>
            </w:pPr>
            <w:r>
              <w:rPr>
                <w:sz w:val="21"/>
                <w:szCs w:val="21"/>
              </w:rPr>
              <w:t>墙体内力</w:t>
            </w:r>
          </w:p>
        </w:tc>
        <w:tc>
          <w:tcPr>
            <w:tcW w:w="2358" w:type="dxa"/>
            <w:gridSpan w:val="2"/>
            <w:vMerge w:val="continue"/>
            <w:tcBorders>
              <w:tl2br w:val="nil"/>
              <w:tr2bl w:val="nil"/>
            </w:tcBorders>
            <w:vAlign w:val="center"/>
          </w:tcPr>
          <w:p w14:paraId="6DEF2643">
            <w:pPr>
              <w:adjustRightInd w:val="0"/>
              <w:snapToGrid w:val="0"/>
              <w:spacing w:line="240" w:lineRule="auto"/>
              <w:ind w:firstLine="0"/>
              <w:jc w:val="center"/>
              <w:rPr>
                <w:sz w:val="21"/>
                <w:szCs w:val="21"/>
              </w:rPr>
            </w:pPr>
          </w:p>
        </w:tc>
        <w:tc>
          <w:tcPr>
            <w:tcW w:w="1035" w:type="dxa"/>
            <w:vMerge w:val="continue"/>
            <w:tcBorders>
              <w:tl2br w:val="nil"/>
              <w:tr2bl w:val="nil"/>
            </w:tcBorders>
            <w:vAlign w:val="center"/>
          </w:tcPr>
          <w:p w14:paraId="40D6554D">
            <w:pPr>
              <w:adjustRightInd w:val="0"/>
              <w:snapToGrid w:val="0"/>
              <w:spacing w:line="240" w:lineRule="auto"/>
              <w:ind w:firstLine="0"/>
              <w:jc w:val="center"/>
              <w:rPr>
                <w:sz w:val="21"/>
                <w:szCs w:val="21"/>
              </w:rPr>
            </w:pPr>
          </w:p>
        </w:tc>
        <w:tc>
          <w:tcPr>
            <w:tcW w:w="2325" w:type="dxa"/>
            <w:gridSpan w:val="2"/>
            <w:vMerge w:val="continue"/>
            <w:tcBorders>
              <w:tl2br w:val="nil"/>
              <w:tr2bl w:val="nil"/>
            </w:tcBorders>
            <w:vAlign w:val="center"/>
          </w:tcPr>
          <w:p w14:paraId="720924B6">
            <w:pPr>
              <w:adjustRightInd w:val="0"/>
              <w:snapToGrid w:val="0"/>
              <w:spacing w:line="240" w:lineRule="auto"/>
              <w:ind w:firstLine="0"/>
              <w:jc w:val="center"/>
              <w:rPr>
                <w:sz w:val="21"/>
                <w:szCs w:val="21"/>
              </w:rPr>
            </w:pPr>
          </w:p>
        </w:tc>
        <w:tc>
          <w:tcPr>
            <w:tcW w:w="1095" w:type="dxa"/>
            <w:vMerge w:val="continue"/>
            <w:tcBorders>
              <w:tl2br w:val="nil"/>
              <w:tr2bl w:val="nil"/>
            </w:tcBorders>
            <w:vAlign w:val="center"/>
          </w:tcPr>
          <w:p w14:paraId="15C0982E">
            <w:pPr>
              <w:adjustRightInd w:val="0"/>
              <w:snapToGrid w:val="0"/>
              <w:spacing w:line="240" w:lineRule="auto"/>
              <w:ind w:firstLine="0"/>
              <w:jc w:val="center"/>
              <w:rPr>
                <w:sz w:val="21"/>
                <w:szCs w:val="21"/>
              </w:rPr>
            </w:pPr>
          </w:p>
        </w:tc>
        <w:tc>
          <w:tcPr>
            <w:tcW w:w="2400" w:type="dxa"/>
            <w:gridSpan w:val="2"/>
            <w:vMerge w:val="continue"/>
            <w:tcBorders>
              <w:tl2br w:val="nil"/>
              <w:tr2bl w:val="nil"/>
            </w:tcBorders>
            <w:vAlign w:val="center"/>
          </w:tcPr>
          <w:p w14:paraId="23C14395">
            <w:pPr>
              <w:adjustRightInd w:val="0"/>
              <w:snapToGrid w:val="0"/>
              <w:spacing w:line="240" w:lineRule="auto"/>
              <w:ind w:firstLine="0"/>
              <w:jc w:val="center"/>
              <w:rPr>
                <w:sz w:val="21"/>
                <w:szCs w:val="21"/>
              </w:rPr>
            </w:pPr>
          </w:p>
        </w:tc>
        <w:tc>
          <w:tcPr>
            <w:tcW w:w="1070" w:type="dxa"/>
            <w:vMerge w:val="continue"/>
            <w:tcBorders>
              <w:tl2br w:val="nil"/>
              <w:tr2bl w:val="nil"/>
            </w:tcBorders>
            <w:vAlign w:val="center"/>
          </w:tcPr>
          <w:p w14:paraId="504DEB83">
            <w:pPr>
              <w:adjustRightInd w:val="0"/>
              <w:snapToGrid w:val="0"/>
              <w:spacing w:line="240" w:lineRule="auto"/>
              <w:ind w:firstLine="0"/>
              <w:jc w:val="center"/>
              <w:rPr>
                <w:sz w:val="21"/>
                <w:szCs w:val="21"/>
              </w:rPr>
            </w:pPr>
          </w:p>
        </w:tc>
      </w:tr>
      <w:tr w14:paraId="770B9E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79" w:type="dxa"/>
            <w:bottom w:w="28" w:type="dxa"/>
            <w:right w:w="79" w:type="dxa"/>
          </w:tblCellMar>
        </w:tblPrEx>
        <w:trPr>
          <w:trHeight w:val="454" w:hRule="atLeast"/>
          <w:jc w:val="center"/>
        </w:trPr>
        <w:tc>
          <w:tcPr>
            <w:tcW w:w="487" w:type="dxa"/>
            <w:tcBorders>
              <w:tl2br w:val="nil"/>
              <w:tr2bl w:val="nil"/>
            </w:tcBorders>
            <w:vAlign w:val="center"/>
          </w:tcPr>
          <w:p w14:paraId="3DD955EB">
            <w:pPr>
              <w:adjustRightInd w:val="0"/>
              <w:snapToGrid w:val="0"/>
              <w:spacing w:line="240" w:lineRule="auto"/>
              <w:ind w:firstLine="0"/>
              <w:jc w:val="center"/>
              <w:rPr>
                <w:sz w:val="21"/>
                <w:szCs w:val="21"/>
              </w:rPr>
            </w:pPr>
            <w:r>
              <w:rPr>
                <w:sz w:val="21"/>
                <w:szCs w:val="21"/>
              </w:rPr>
              <w:t>9</w:t>
            </w:r>
          </w:p>
        </w:tc>
        <w:tc>
          <w:tcPr>
            <w:tcW w:w="4016" w:type="dxa"/>
            <w:gridSpan w:val="2"/>
            <w:tcBorders>
              <w:tl2br w:val="nil"/>
              <w:tr2bl w:val="nil"/>
            </w:tcBorders>
            <w:vAlign w:val="center"/>
          </w:tcPr>
          <w:p w14:paraId="4BEDFC03">
            <w:pPr>
              <w:adjustRightInd w:val="0"/>
              <w:snapToGrid w:val="0"/>
              <w:spacing w:line="240" w:lineRule="auto"/>
              <w:ind w:firstLine="0"/>
              <w:jc w:val="center"/>
              <w:rPr>
                <w:sz w:val="21"/>
                <w:szCs w:val="21"/>
              </w:rPr>
            </w:pPr>
            <w:r>
              <w:rPr>
                <w:sz w:val="21"/>
                <w:szCs w:val="21"/>
              </w:rPr>
              <w:t>锚杆拉力</w:t>
            </w:r>
          </w:p>
        </w:tc>
        <w:tc>
          <w:tcPr>
            <w:tcW w:w="2358" w:type="dxa"/>
            <w:gridSpan w:val="2"/>
            <w:vMerge w:val="continue"/>
            <w:tcBorders>
              <w:tl2br w:val="nil"/>
              <w:tr2bl w:val="nil"/>
            </w:tcBorders>
            <w:vAlign w:val="center"/>
          </w:tcPr>
          <w:p w14:paraId="326845F6">
            <w:pPr>
              <w:adjustRightInd w:val="0"/>
              <w:snapToGrid w:val="0"/>
              <w:spacing w:line="240" w:lineRule="auto"/>
              <w:ind w:firstLine="0"/>
              <w:jc w:val="center"/>
              <w:rPr>
                <w:sz w:val="21"/>
                <w:szCs w:val="21"/>
              </w:rPr>
            </w:pPr>
          </w:p>
        </w:tc>
        <w:tc>
          <w:tcPr>
            <w:tcW w:w="1035" w:type="dxa"/>
            <w:vMerge w:val="continue"/>
            <w:tcBorders>
              <w:tl2br w:val="nil"/>
              <w:tr2bl w:val="nil"/>
            </w:tcBorders>
            <w:vAlign w:val="center"/>
          </w:tcPr>
          <w:p w14:paraId="41C9D5A6">
            <w:pPr>
              <w:adjustRightInd w:val="0"/>
              <w:snapToGrid w:val="0"/>
              <w:spacing w:line="240" w:lineRule="auto"/>
              <w:ind w:firstLine="0"/>
              <w:jc w:val="center"/>
              <w:rPr>
                <w:sz w:val="21"/>
                <w:szCs w:val="21"/>
              </w:rPr>
            </w:pPr>
          </w:p>
        </w:tc>
        <w:tc>
          <w:tcPr>
            <w:tcW w:w="2325" w:type="dxa"/>
            <w:gridSpan w:val="2"/>
            <w:vMerge w:val="continue"/>
            <w:tcBorders>
              <w:tl2br w:val="nil"/>
              <w:tr2bl w:val="nil"/>
            </w:tcBorders>
            <w:vAlign w:val="center"/>
          </w:tcPr>
          <w:p w14:paraId="7A0B3468">
            <w:pPr>
              <w:adjustRightInd w:val="0"/>
              <w:snapToGrid w:val="0"/>
              <w:spacing w:line="240" w:lineRule="auto"/>
              <w:ind w:firstLine="0"/>
              <w:jc w:val="center"/>
              <w:rPr>
                <w:sz w:val="21"/>
                <w:szCs w:val="21"/>
              </w:rPr>
            </w:pPr>
          </w:p>
        </w:tc>
        <w:tc>
          <w:tcPr>
            <w:tcW w:w="1095" w:type="dxa"/>
            <w:vMerge w:val="continue"/>
            <w:tcBorders>
              <w:tl2br w:val="nil"/>
              <w:tr2bl w:val="nil"/>
            </w:tcBorders>
            <w:vAlign w:val="center"/>
          </w:tcPr>
          <w:p w14:paraId="35E535D8">
            <w:pPr>
              <w:adjustRightInd w:val="0"/>
              <w:snapToGrid w:val="0"/>
              <w:spacing w:line="240" w:lineRule="auto"/>
              <w:ind w:firstLine="0"/>
              <w:jc w:val="center"/>
              <w:rPr>
                <w:sz w:val="21"/>
                <w:szCs w:val="21"/>
              </w:rPr>
            </w:pPr>
          </w:p>
        </w:tc>
        <w:tc>
          <w:tcPr>
            <w:tcW w:w="2400" w:type="dxa"/>
            <w:gridSpan w:val="2"/>
            <w:vMerge w:val="continue"/>
            <w:tcBorders>
              <w:tl2br w:val="nil"/>
              <w:tr2bl w:val="nil"/>
            </w:tcBorders>
            <w:vAlign w:val="center"/>
          </w:tcPr>
          <w:p w14:paraId="30D42A2E">
            <w:pPr>
              <w:adjustRightInd w:val="0"/>
              <w:snapToGrid w:val="0"/>
              <w:spacing w:line="240" w:lineRule="auto"/>
              <w:ind w:firstLine="0"/>
              <w:jc w:val="center"/>
              <w:rPr>
                <w:sz w:val="21"/>
                <w:szCs w:val="21"/>
              </w:rPr>
            </w:pPr>
          </w:p>
        </w:tc>
        <w:tc>
          <w:tcPr>
            <w:tcW w:w="1070" w:type="dxa"/>
            <w:vMerge w:val="continue"/>
            <w:tcBorders>
              <w:tl2br w:val="nil"/>
              <w:tr2bl w:val="nil"/>
            </w:tcBorders>
            <w:vAlign w:val="center"/>
          </w:tcPr>
          <w:p w14:paraId="260AF5A0">
            <w:pPr>
              <w:adjustRightInd w:val="0"/>
              <w:snapToGrid w:val="0"/>
              <w:spacing w:line="240" w:lineRule="auto"/>
              <w:ind w:firstLine="0"/>
              <w:jc w:val="center"/>
              <w:rPr>
                <w:sz w:val="21"/>
                <w:szCs w:val="21"/>
              </w:rPr>
            </w:pPr>
          </w:p>
        </w:tc>
      </w:tr>
      <w:tr w14:paraId="65BC61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79" w:type="dxa"/>
            <w:bottom w:w="28" w:type="dxa"/>
            <w:right w:w="79" w:type="dxa"/>
          </w:tblCellMar>
        </w:tblPrEx>
        <w:trPr>
          <w:trHeight w:val="454" w:hRule="atLeast"/>
          <w:jc w:val="center"/>
        </w:trPr>
        <w:tc>
          <w:tcPr>
            <w:tcW w:w="487" w:type="dxa"/>
            <w:tcBorders>
              <w:tl2br w:val="nil"/>
              <w:tr2bl w:val="nil"/>
            </w:tcBorders>
            <w:vAlign w:val="center"/>
          </w:tcPr>
          <w:p w14:paraId="78B9F60D">
            <w:pPr>
              <w:adjustRightInd w:val="0"/>
              <w:snapToGrid w:val="0"/>
              <w:spacing w:line="240" w:lineRule="auto"/>
              <w:ind w:firstLine="0"/>
              <w:jc w:val="center"/>
              <w:rPr>
                <w:sz w:val="21"/>
                <w:szCs w:val="21"/>
              </w:rPr>
            </w:pPr>
            <w:r>
              <w:rPr>
                <w:sz w:val="21"/>
                <w:szCs w:val="21"/>
              </w:rPr>
              <w:t>10</w:t>
            </w:r>
          </w:p>
        </w:tc>
        <w:tc>
          <w:tcPr>
            <w:tcW w:w="4016" w:type="dxa"/>
            <w:gridSpan w:val="2"/>
            <w:tcBorders>
              <w:tl2br w:val="nil"/>
              <w:tr2bl w:val="nil"/>
            </w:tcBorders>
            <w:vAlign w:val="center"/>
          </w:tcPr>
          <w:p w14:paraId="5F31A6EE">
            <w:pPr>
              <w:adjustRightInd w:val="0"/>
              <w:snapToGrid w:val="0"/>
              <w:spacing w:line="240" w:lineRule="auto"/>
              <w:ind w:firstLine="0"/>
              <w:jc w:val="center"/>
              <w:rPr>
                <w:sz w:val="21"/>
                <w:szCs w:val="21"/>
              </w:rPr>
            </w:pPr>
            <w:r>
              <w:rPr>
                <w:sz w:val="21"/>
                <w:szCs w:val="21"/>
              </w:rPr>
              <w:t>土压力</w:t>
            </w:r>
          </w:p>
        </w:tc>
        <w:tc>
          <w:tcPr>
            <w:tcW w:w="2358" w:type="dxa"/>
            <w:gridSpan w:val="2"/>
            <w:vMerge w:val="continue"/>
            <w:tcBorders>
              <w:tl2br w:val="nil"/>
              <w:tr2bl w:val="nil"/>
            </w:tcBorders>
            <w:vAlign w:val="center"/>
          </w:tcPr>
          <w:p w14:paraId="533A8403">
            <w:pPr>
              <w:adjustRightInd w:val="0"/>
              <w:snapToGrid w:val="0"/>
              <w:spacing w:line="240" w:lineRule="auto"/>
              <w:ind w:firstLine="0"/>
              <w:jc w:val="center"/>
              <w:rPr>
                <w:sz w:val="21"/>
                <w:szCs w:val="21"/>
              </w:rPr>
            </w:pPr>
          </w:p>
        </w:tc>
        <w:tc>
          <w:tcPr>
            <w:tcW w:w="1035" w:type="dxa"/>
            <w:vMerge w:val="continue"/>
            <w:tcBorders>
              <w:tl2br w:val="nil"/>
              <w:tr2bl w:val="nil"/>
            </w:tcBorders>
            <w:vAlign w:val="center"/>
          </w:tcPr>
          <w:p w14:paraId="4D8E8669">
            <w:pPr>
              <w:adjustRightInd w:val="0"/>
              <w:snapToGrid w:val="0"/>
              <w:spacing w:line="240" w:lineRule="auto"/>
              <w:ind w:firstLine="0"/>
              <w:jc w:val="center"/>
              <w:rPr>
                <w:sz w:val="21"/>
                <w:szCs w:val="21"/>
              </w:rPr>
            </w:pPr>
          </w:p>
        </w:tc>
        <w:tc>
          <w:tcPr>
            <w:tcW w:w="2325" w:type="dxa"/>
            <w:gridSpan w:val="2"/>
            <w:vMerge w:val="continue"/>
            <w:tcBorders>
              <w:tl2br w:val="nil"/>
              <w:tr2bl w:val="nil"/>
            </w:tcBorders>
            <w:vAlign w:val="center"/>
          </w:tcPr>
          <w:p w14:paraId="7205F620">
            <w:pPr>
              <w:adjustRightInd w:val="0"/>
              <w:snapToGrid w:val="0"/>
              <w:spacing w:line="240" w:lineRule="auto"/>
              <w:ind w:firstLine="0"/>
              <w:jc w:val="center"/>
              <w:rPr>
                <w:sz w:val="21"/>
                <w:szCs w:val="21"/>
              </w:rPr>
            </w:pPr>
          </w:p>
        </w:tc>
        <w:tc>
          <w:tcPr>
            <w:tcW w:w="1095" w:type="dxa"/>
            <w:vMerge w:val="continue"/>
            <w:tcBorders>
              <w:tl2br w:val="nil"/>
              <w:tr2bl w:val="nil"/>
            </w:tcBorders>
            <w:vAlign w:val="center"/>
          </w:tcPr>
          <w:p w14:paraId="1D3155A5">
            <w:pPr>
              <w:adjustRightInd w:val="0"/>
              <w:snapToGrid w:val="0"/>
              <w:spacing w:line="240" w:lineRule="auto"/>
              <w:ind w:firstLine="0"/>
              <w:jc w:val="center"/>
              <w:rPr>
                <w:sz w:val="21"/>
                <w:szCs w:val="21"/>
              </w:rPr>
            </w:pPr>
          </w:p>
        </w:tc>
        <w:tc>
          <w:tcPr>
            <w:tcW w:w="2400" w:type="dxa"/>
            <w:gridSpan w:val="2"/>
            <w:vMerge w:val="continue"/>
            <w:tcBorders>
              <w:tl2br w:val="nil"/>
              <w:tr2bl w:val="nil"/>
            </w:tcBorders>
            <w:vAlign w:val="center"/>
          </w:tcPr>
          <w:p w14:paraId="1C5B5349">
            <w:pPr>
              <w:adjustRightInd w:val="0"/>
              <w:snapToGrid w:val="0"/>
              <w:spacing w:line="240" w:lineRule="auto"/>
              <w:ind w:firstLine="0"/>
              <w:jc w:val="center"/>
              <w:rPr>
                <w:sz w:val="21"/>
                <w:szCs w:val="21"/>
              </w:rPr>
            </w:pPr>
          </w:p>
        </w:tc>
        <w:tc>
          <w:tcPr>
            <w:tcW w:w="1070" w:type="dxa"/>
            <w:vMerge w:val="continue"/>
            <w:tcBorders>
              <w:tl2br w:val="nil"/>
              <w:tr2bl w:val="nil"/>
            </w:tcBorders>
            <w:vAlign w:val="center"/>
          </w:tcPr>
          <w:p w14:paraId="12D7395A">
            <w:pPr>
              <w:adjustRightInd w:val="0"/>
              <w:snapToGrid w:val="0"/>
              <w:spacing w:line="240" w:lineRule="auto"/>
              <w:ind w:firstLine="0"/>
              <w:jc w:val="center"/>
              <w:rPr>
                <w:sz w:val="21"/>
                <w:szCs w:val="21"/>
              </w:rPr>
            </w:pPr>
          </w:p>
        </w:tc>
      </w:tr>
      <w:tr w14:paraId="37CBEC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79" w:type="dxa"/>
            <w:bottom w:w="28" w:type="dxa"/>
            <w:right w:w="79" w:type="dxa"/>
          </w:tblCellMar>
        </w:tblPrEx>
        <w:trPr>
          <w:trHeight w:val="454" w:hRule="atLeast"/>
          <w:jc w:val="center"/>
        </w:trPr>
        <w:tc>
          <w:tcPr>
            <w:tcW w:w="487" w:type="dxa"/>
            <w:tcBorders>
              <w:tl2br w:val="nil"/>
              <w:tr2bl w:val="nil"/>
            </w:tcBorders>
            <w:vAlign w:val="center"/>
          </w:tcPr>
          <w:p w14:paraId="384B12BC">
            <w:pPr>
              <w:adjustRightInd w:val="0"/>
              <w:snapToGrid w:val="0"/>
              <w:spacing w:line="240" w:lineRule="auto"/>
              <w:ind w:firstLine="0"/>
              <w:jc w:val="center"/>
              <w:rPr>
                <w:sz w:val="21"/>
                <w:szCs w:val="21"/>
              </w:rPr>
            </w:pPr>
            <w:r>
              <w:rPr>
                <w:sz w:val="21"/>
                <w:szCs w:val="21"/>
              </w:rPr>
              <w:t>11</w:t>
            </w:r>
          </w:p>
        </w:tc>
        <w:tc>
          <w:tcPr>
            <w:tcW w:w="4016" w:type="dxa"/>
            <w:gridSpan w:val="2"/>
            <w:tcBorders>
              <w:tl2br w:val="nil"/>
              <w:tr2bl w:val="nil"/>
            </w:tcBorders>
            <w:vAlign w:val="center"/>
          </w:tcPr>
          <w:p w14:paraId="099611D6">
            <w:pPr>
              <w:adjustRightInd w:val="0"/>
              <w:snapToGrid w:val="0"/>
              <w:spacing w:line="240" w:lineRule="auto"/>
              <w:ind w:firstLine="0"/>
              <w:jc w:val="center"/>
              <w:rPr>
                <w:sz w:val="21"/>
                <w:szCs w:val="21"/>
              </w:rPr>
            </w:pPr>
            <w:r>
              <w:rPr>
                <w:sz w:val="21"/>
                <w:szCs w:val="21"/>
              </w:rPr>
              <w:t>孔隙水压力</w:t>
            </w:r>
          </w:p>
        </w:tc>
        <w:tc>
          <w:tcPr>
            <w:tcW w:w="2358" w:type="dxa"/>
            <w:gridSpan w:val="2"/>
            <w:vMerge w:val="continue"/>
            <w:tcBorders>
              <w:tl2br w:val="nil"/>
              <w:tr2bl w:val="nil"/>
            </w:tcBorders>
            <w:vAlign w:val="center"/>
          </w:tcPr>
          <w:p w14:paraId="39377EFF">
            <w:pPr>
              <w:adjustRightInd w:val="0"/>
              <w:snapToGrid w:val="0"/>
              <w:spacing w:line="240" w:lineRule="auto"/>
              <w:ind w:firstLine="0"/>
              <w:jc w:val="center"/>
              <w:rPr>
                <w:sz w:val="21"/>
                <w:szCs w:val="21"/>
              </w:rPr>
            </w:pPr>
          </w:p>
        </w:tc>
        <w:tc>
          <w:tcPr>
            <w:tcW w:w="1035" w:type="dxa"/>
            <w:vMerge w:val="continue"/>
            <w:tcBorders>
              <w:tl2br w:val="nil"/>
              <w:tr2bl w:val="nil"/>
            </w:tcBorders>
            <w:vAlign w:val="center"/>
          </w:tcPr>
          <w:p w14:paraId="27C1BF00">
            <w:pPr>
              <w:adjustRightInd w:val="0"/>
              <w:snapToGrid w:val="0"/>
              <w:spacing w:line="240" w:lineRule="auto"/>
              <w:ind w:firstLine="0"/>
              <w:jc w:val="center"/>
              <w:rPr>
                <w:sz w:val="21"/>
                <w:szCs w:val="21"/>
              </w:rPr>
            </w:pPr>
          </w:p>
        </w:tc>
        <w:tc>
          <w:tcPr>
            <w:tcW w:w="2325" w:type="dxa"/>
            <w:gridSpan w:val="2"/>
            <w:vMerge w:val="continue"/>
            <w:tcBorders>
              <w:tl2br w:val="nil"/>
              <w:tr2bl w:val="nil"/>
            </w:tcBorders>
            <w:vAlign w:val="center"/>
          </w:tcPr>
          <w:p w14:paraId="20795F0B">
            <w:pPr>
              <w:adjustRightInd w:val="0"/>
              <w:snapToGrid w:val="0"/>
              <w:spacing w:line="240" w:lineRule="auto"/>
              <w:ind w:firstLine="0"/>
              <w:jc w:val="center"/>
              <w:rPr>
                <w:sz w:val="21"/>
                <w:szCs w:val="21"/>
              </w:rPr>
            </w:pPr>
          </w:p>
        </w:tc>
        <w:tc>
          <w:tcPr>
            <w:tcW w:w="1095" w:type="dxa"/>
            <w:vMerge w:val="continue"/>
            <w:tcBorders>
              <w:tl2br w:val="nil"/>
              <w:tr2bl w:val="nil"/>
            </w:tcBorders>
            <w:vAlign w:val="center"/>
          </w:tcPr>
          <w:p w14:paraId="17B5220B">
            <w:pPr>
              <w:adjustRightInd w:val="0"/>
              <w:snapToGrid w:val="0"/>
              <w:spacing w:line="240" w:lineRule="auto"/>
              <w:ind w:firstLine="0"/>
              <w:jc w:val="center"/>
              <w:rPr>
                <w:sz w:val="21"/>
                <w:szCs w:val="21"/>
              </w:rPr>
            </w:pPr>
          </w:p>
        </w:tc>
        <w:tc>
          <w:tcPr>
            <w:tcW w:w="2400" w:type="dxa"/>
            <w:gridSpan w:val="2"/>
            <w:vMerge w:val="continue"/>
            <w:tcBorders>
              <w:tl2br w:val="nil"/>
              <w:tr2bl w:val="nil"/>
            </w:tcBorders>
            <w:vAlign w:val="center"/>
          </w:tcPr>
          <w:p w14:paraId="71B271FE">
            <w:pPr>
              <w:adjustRightInd w:val="0"/>
              <w:snapToGrid w:val="0"/>
              <w:spacing w:line="240" w:lineRule="auto"/>
              <w:ind w:firstLine="0"/>
              <w:jc w:val="center"/>
              <w:rPr>
                <w:sz w:val="21"/>
                <w:szCs w:val="21"/>
              </w:rPr>
            </w:pPr>
          </w:p>
        </w:tc>
        <w:tc>
          <w:tcPr>
            <w:tcW w:w="1070" w:type="dxa"/>
            <w:vMerge w:val="continue"/>
            <w:tcBorders>
              <w:tl2br w:val="nil"/>
              <w:tr2bl w:val="nil"/>
            </w:tcBorders>
            <w:vAlign w:val="center"/>
          </w:tcPr>
          <w:p w14:paraId="51CD6522">
            <w:pPr>
              <w:adjustRightInd w:val="0"/>
              <w:snapToGrid w:val="0"/>
              <w:spacing w:line="240" w:lineRule="auto"/>
              <w:ind w:firstLine="0"/>
              <w:jc w:val="center"/>
              <w:rPr>
                <w:sz w:val="21"/>
                <w:szCs w:val="21"/>
              </w:rPr>
            </w:pPr>
          </w:p>
        </w:tc>
      </w:tr>
    </w:tbl>
    <w:p w14:paraId="1A66806E">
      <w:pPr>
        <w:spacing w:line="240" w:lineRule="auto"/>
        <w:ind w:firstLine="0"/>
        <w:rPr>
          <w:sz w:val="21"/>
          <w:szCs w:val="21"/>
        </w:rPr>
      </w:pPr>
      <w:r>
        <w:rPr>
          <w:sz w:val="21"/>
          <w:szCs w:val="21"/>
        </w:rPr>
        <w:t>注：1　</w:t>
      </w:r>
      <w:r>
        <w:rPr>
          <w:i/>
          <w:sz w:val="21"/>
          <w:szCs w:val="21"/>
        </w:rPr>
        <w:t xml:space="preserve">h </w:t>
      </w:r>
      <w:r>
        <w:rPr>
          <w:sz w:val="21"/>
          <w:szCs w:val="21"/>
        </w:rPr>
        <w:t>——基坑设计开挖深度；</w:t>
      </w:r>
      <w:r>
        <w:rPr>
          <w:i/>
          <w:sz w:val="21"/>
          <w:szCs w:val="21"/>
        </w:rPr>
        <w:t xml:space="preserve">f </w:t>
      </w:r>
      <w:r>
        <w:rPr>
          <w:sz w:val="21"/>
          <w:szCs w:val="21"/>
        </w:rPr>
        <w:t>—— 设计极限值；</w:t>
      </w:r>
    </w:p>
    <w:p w14:paraId="7E12C0AD">
      <w:pPr>
        <w:spacing w:line="240" w:lineRule="auto"/>
        <w:ind w:left="439" w:leftChars="183" w:firstLine="0"/>
        <w:rPr>
          <w:sz w:val="21"/>
          <w:szCs w:val="21"/>
        </w:rPr>
      </w:pPr>
      <w:r>
        <w:rPr>
          <w:sz w:val="21"/>
          <w:szCs w:val="21"/>
        </w:rPr>
        <w:t>2　累计值取绝对值和相对基坑深度（</w:t>
      </w:r>
      <w:r>
        <w:rPr>
          <w:i/>
          <w:sz w:val="21"/>
          <w:szCs w:val="21"/>
        </w:rPr>
        <w:t>h</w:t>
      </w:r>
      <w:r>
        <w:rPr>
          <w:sz w:val="21"/>
          <w:szCs w:val="21"/>
        </w:rPr>
        <w:t>）控制值两者的小值；</w:t>
      </w:r>
    </w:p>
    <w:p w14:paraId="6D1B48E7">
      <w:pPr>
        <w:pStyle w:val="6"/>
        <w:jc w:val="left"/>
        <w:rPr>
          <w:rFonts w:ascii="Times New Roman" w:hAnsi="Times New Roman" w:eastAsia="新宋体"/>
          <w:sz w:val="32"/>
          <w:szCs w:val="32"/>
        </w:rPr>
      </w:pPr>
      <w:r>
        <w:rPr>
          <w:rFonts w:ascii="Times New Roman" w:hAnsi="Times New Roman"/>
          <w:sz w:val="21"/>
          <w:szCs w:val="21"/>
        </w:rPr>
        <w:t>3　当监测项目的变化速率连续3d超过报警值的50%，应报警。</w:t>
      </w:r>
    </w:p>
    <w:p w14:paraId="4CD8D167">
      <w:pPr>
        <w:pStyle w:val="6"/>
        <w:ind w:firstLine="488"/>
        <w:jc w:val="center"/>
        <w:outlineLvl w:val="0"/>
        <w:rPr>
          <w:rFonts w:ascii="Times New Roman" w:hAnsi="Times New Roman" w:eastAsiaTheme="majorEastAsia"/>
          <w:b/>
          <w:bCs/>
          <w:sz w:val="30"/>
          <w:szCs w:val="30"/>
          <w:lang w:val="zh-CN"/>
        </w:rPr>
        <w:sectPr>
          <w:pgSz w:w="16838" w:h="11906" w:orient="landscape"/>
          <w:pgMar w:top="1701" w:right="1984" w:bottom="1701" w:left="1701" w:header="1701" w:footer="1417" w:gutter="0"/>
          <w:cols w:space="0" w:num="1"/>
          <w:docGrid w:type="lines" w:linePitch="340" w:charSpace="0"/>
        </w:sectPr>
      </w:pPr>
    </w:p>
    <w:p w14:paraId="75F3648A">
      <w:pPr>
        <w:pStyle w:val="20"/>
        <w:ind w:firstLine="420"/>
        <w:rPr>
          <w:rFonts w:ascii="Times New Roman"/>
        </w:rPr>
      </w:pPr>
    </w:p>
    <w:p w14:paraId="053226E7">
      <w:pPr>
        <w:pStyle w:val="19"/>
        <w:widowControl w:val="0"/>
        <w:spacing w:before="328" w:beforeLines="100" w:after="328" w:afterLines="100" w:line="360" w:lineRule="auto"/>
        <w:jc w:val="center"/>
        <w:outlineLvl w:val="0"/>
        <w:rPr>
          <w:rFonts w:ascii="Times New Roman" w:eastAsia="宋体"/>
          <w:b/>
          <w:sz w:val="30"/>
          <w:szCs w:val="30"/>
        </w:rPr>
      </w:pPr>
      <w:bookmarkStart w:id="724" w:name="_Toc31810"/>
      <w:bookmarkStart w:id="725" w:name="_Toc19924"/>
      <w:bookmarkStart w:id="726" w:name="_Toc23506"/>
      <w:bookmarkStart w:id="727" w:name="_Toc27323"/>
      <w:bookmarkStart w:id="728" w:name="_Toc14075"/>
      <w:bookmarkStart w:id="729" w:name="_Toc11003"/>
      <w:bookmarkStart w:id="730" w:name="_Toc193392102"/>
      <w:bookmarkStart w:id="731" w:name="_Toc28603"/>
      <w:bookmarkStart w:id="732" w:name="_Toc13898"/>
      <w:bookmarkStart w:id="733" w:name="_Toc22966"/>
      <w:bookmarkStart w:id="734" w:name="_Toc6781"/>
      <w:r>
        <w:rPr>
          <w:rFonts w:ascii="Times New Roman" w:eastAsia="宋体"/>
          <w:b/>
          <w:sz w:val="30"/>
          <w:szCs w:val="30"/>
        </w:rPr>
        <w:t>用词说明</w:t>
      </w:r>
      <w:bookmarkEnd w:id="724"/>
      <w:bookmarkEnd w:id="725"/>
      <w:bookmarkEnd w:id="726"/>
      <w:bookmarkEnd w:id="727"/>
      <w:bookmarkEnd w:id="728"/>
      <w:bookmarkEnd w:id="729"/>
      <w:bookmarkEnd w:id="730"/>
      <w:bookmarkEnd w:id="731"/>
      <w:bookmarkEnd w:id="732"/>
      <w:bookmarkEnd w:id="733"/>
      <w:bookmarkEnd w:id="734"/>
    </w:p>
    <w:p w14:paraId="0C0A69C7">
      <w:pPr>
        <w:pStyle w:val="20"/>
        <w:widowControl w:val="0"/>
        <w:tabs>
          <w:tab w:val="center" w:pos="4201"/>
          <w:tab w:val="right" w:leader="dot" w:pos="9298"/>
        </w:tabs>
        <w:spacing w:line="360" w:lineRule="auto"/>
        <w:ind w:firstLine="480"/>
        <w:rPr>
          <w:rFonts w:ascii="Times New Roman"/>
          <w:sz w:val="24"/>
          <w:szCs w:val="24"/>
        </w:rPr>
      </w:pPr>
      <w:r>
        <w:rPr>
          <w:rFonts w:ascii="Times New Roman"/>
          <w:sz w:val="24"/>
          <w:szCs w:val="24"/>
        </w:rPr>
        <w:t>为便于在执行本规程条款时区别对待，对要求严格程度不同的用词说明如下：</w:t>
      </w:r>
    </w:p>
    <w:p w14:paraId="76F9395E">
      <w:pPr>
        <w:pStyle w:val="20"/>
        <w:widowControl w:val="0"/>
        <w:tabs>
          <w:tab w:val="center" w:pos="4201"/>
          <w:tab w:val="right" w:leader="dot" w:pos="9298"/>
        </w:tabs>
        <w:spacing w:line="360" w:lineRule="auto"/>
        <w:ind w:firstLine="482"/>
        <w:rPr>
          <w:rFonts w:ascii="Times New Roman"/>
          <w:sz w:val="24"/>
          <w:szCs w:val="24"/>
        </w:rPr>
      </w:pPr>
      <w:bookmarkStart w:id="735" w:name="_Toc13050"/>
      <w:bookmarkStart w:id="736" w:name="_Toc174"/>
      <w:bookmarkStart w:id="737" w:name="_Toc24959"/>
      <w:r>
        <w:rPr>
          <w:rFonts w:ascii="Times New Roman"/>
          <w:b/>
          <w:bCs/>
          <w:sz w:val="24"/>
          <w:szCs w:val="24"/>
        </w:rPr>
        <w:t>1　</w:t>
      </w:r>
      <w:r>
        <w:rPr>
          <w:rFonts w:ascii="Times New Roman"/>
          <w:sz w:val="24"/>
          <w:szCs w:val="24"/>
        </w:rPr>
        <w:t>表示很严格，非这样做不可的：</w:t>
      </w:r>
      <w:bookmarkEnd w:id="735"/>
      <w:bookmarkEnd w:id="736"/>
      <w:bookmarkEnd w:id="737"/>
    </w:p>
    <w:p w14:paraId="6BD241CD">
      <w:pPr>
        <w:pStyle w:val="20"/>
        <w:widowControl w:val="0"/>
        <w:tabs>
          <w:tab w:val="center" w:pos="4201"/>
          <w:tab w:val="right" w:leader="dot" w:pos="9298"/>
        </w:tabs>
        <w:spacing w:line="360" w:lineRule="auto"/>
        <w:ind w:firstLine="878" w:firstLineChars="366"/>
        <w:rPr>
          <w:rFonts w:ascii="Times New Roman"/>
          <w:sz w:val="24"/>
          <w:szCs w:val="24"/>
        </w:rPr>
      </w:pPr>
      <w:r>
        <w:rPr>
          <w:rFonts w:ascii="Times New Roman"/>
          <w:sz w:val="24"/>
          <w:szCs w:val="24"/>
        </w:rPr>
        <w:t>正面词采用“必须”，反面词采用“严禁”；</w:t>
      </w:r>
    </w:p>
    <w:p w14:paraId="685E2B20">
      <w:pPr>
        <w:pStyle w:val="20"/>
        <w:widowControl w:val="0"/>
        <w:tabs>
          <w:tab w:val="center" w:pos="4201"/>
          <w:tab w:val="right" w:leader="dot" w:pos="9298"/>
        </w:tabs>
        <w:spacing w:line="360" w:lineRule="auto"/>
        <w:ind w:firstLine="482"/>
        <w:rPr>
          <w:rFonts w:ascii="Times New Roman"/>
          <w:sz w:val="24"/>
          <w:szCs w:val="24"/>
        </w:rPr>
      </w:pPr>
      <w:bookmarkStart w:id="738" w:name="_Toc21126"/>
      <w:bookmarkStart w:id="739" w:name="_Toc25315"/>
      <w:bookmarkStart w:id="740" w:name="_Toc1656"/>
      <w:r>
        <w:rPr>
          <w:rFonts w:ascii="Times New Roman"/>
          <w:b/>
          <w:bCs/>
          <w:sz w:val="24"/>
          <w:szCs w:val="24"/>
        </w:rPr>
        <w:t>2　</w:t>
      </w:r>
      <w:r>
        <w:rPr>
          <w:rFonts w:ascii="Times New Roman"/>
          <w:sz w:val="24"/>
          <w:szCs w:val="24"/>
        </w:rPr>
        <w:t>表示严格，在正常情况下均应这样做的：</w:t>
      </w:r>
      <w:bookmarkEnd w:id="738"/>
      <w:bookmarkEnd w:id="739"/>
      <w:bookmarkEnd w:id="740"/>
    </w:p>
    <w:p w14:paraId="476A23B9">
      <w:pPr>
        <w:pStyle w:val="20"/>
        <w:widowControl w:val="0"/>
        <w:tabs>
          <w:tab w:val="center" w:pos="4201"/>
          <w:tab w:val="right" w:leader="dot" w:pos="9298"/>
        </w:tabs>
        <w:spacing w:line="360" w:lineRule="auto"/>
        <w:ind w:firstLine="878" w:firstLineChars="366"/>
        <w:rPr>
          <w:rFonts w:ascii="Times New Roman"/>
          <w:sz w:val="24"/>
          <w:szCs w:val="24"/>
        </w:rPr>
      </w:pPr>
      <w:r>
        <w:rPr>
          <w:rFonts w:ascii="Times New Roman"/>
          <w:sz w:val="24"/>
          <w:szCs w:val="24"/>
        </w:rPr>
        <w:t>正面词采用“应”，反面词采用“不应”或“不得”；</w:t>
      </w:r>
    </w:p>
    <w:p w14:paraId="2C3129CD">
      <w:pPr>
        <w:pStyle w:val="20"/>
        <w:widowControl w:val="0"/>
        <w:tabs>
          <w:tab w:val="center" w:pos="4201"/>
          <w:tab w:val="right" w:leader="dot" w:pos="9298"/>
        </w:tabs>
        <w:spacing w:line="360" w:lineRule="auto"/>
        <w:ind w:firstLine="482"/>
        <w:rPr>
          <w:rFonts w:ascii="Times New Roman"/>
          <w:sz w:val="24"/>
          <w:szCs w:val="24"/>
        </w:rPr>
      </w:pPr>
      <w:bookmarkStart w:id="741" w:name="_Toc1746"/>
      <w:bookmarkStart w:id="742" w:name="_Toc30535"/>
      <w:bookmarkStart w:id="743" w:name="_Toc10558"/>
      <w:r>
        <w:rPr>
          <w:rFonts w:ascii="Times New Roman"/>
          <w:b/>
          <w:bCs/>
          <w:sz w:val="24"/>
          <w:szCs w:val="24"/>
        </w:rPr>
        <w:t>3　</w:t>
      </w:r>
      <w:r>
        <w:rPr>
          <w:rFonts w:ascii="Times New Roman"/>
          <w:sz w:val="24"/>
          <w:szCs w:val="24"/>
        </w:rPr>
        <w:t>表示允许稍有选择，在条件许可时首先应这样做的：</w:t>
      </w:r>
      <w:bookmarkEnd w:id="741"/>
      <w:bookmarkEnd w:id="742"/>
      <w:bookmarkEnd w:id="743"/>
    </w:p>
    <w:p w14:paraId="21D1AE82">
      <w:pPr>
        <w:pStyle w:val="20"/>
        <w:widowControl w:val="0"/>
        <w:tabs>
          <w:tab w:val="center" w:pos="4201"/>
          <w:tab w:val="right" w:leader="dot" w:pos="9298"/>
        </w:tabs>
        <w:spacing w:line="360" w:lineRule="auto"/>
        <w:ind w:firstLine="878" w:firstLineChars="366"/>
        <w:rPr>
          <w:rFonts w:ascii="Times New Roman"/>
          <w:sz w:val="24"/>
          <w:szCs w:val="24"/>
        </w:rPr>
      </w:pPr>
      <w:r>
        <w:rPr>
          <w:rFonts w:ascii="Times New Roman"/>
          <w:sz w:val="24"/>
          <w:szCs w:val="24"/>
        </w:rPr>
        <w:t>正面词采用“宜”，反面词采用“不宜”；</w:t>
      </w:r>
    </w:p>
    <w:p w14:paraId="22612A4E">
      <w:pPr>
        <w:ind w:firstLine="482" w:firstLineChars="200"/>
        <w:jc w:val="left"/>
        <w:rPr>
          <w:bCs/>
        </w:rPr>
      </w:pPr>
      <w:bookmarkStart w:id="744" w:name="_Toc29823"/>
      <w:bookmarkStart w:id="745" w:name="_Toc29155"/>
      <w:bookmarkStart w:id="746" w:name="_Toc1338"/>
      <w:r>
        <w:rPr>
          <w:b/>
          <w:bCs/>
        </w:rPr>
        <w:t>4　</w:t>
      </w:r>
      <w:r>
        <w:t>表示有选择，在一定条件下可以这样做的，采用“可”。</w:t>
      </w:r>
      <w:bookmarkEnd w:id="744"/>
      <w:bookmarkEnd w:id="745"/>
      <w:bookmarkEnd w:id="746"/>
    </w:p>
    <w:p w14:paraId="2250E217">
      <w:pPr>
        <w:rPr>
          <w:b/>
          <w:bCs/>
        </w:rPr>
      </w:pPr>
      <w:bookmarkStart w:id="747" w:name="13.2__地基与基础工程"/>
      <w:bookmarkEnd w:id="747"/>
      <w:bookmarkStart w:id="748" w:name="_bookmark81"/>
      <w:bookmarkEnd w:id="748"/>
    </w:p>
    <w:p w14:paraId="06600E2C">
      <w:pPr>
        <w:pStyle w:val="19"/>
        <w:widowControl w:val="0"/>
        <w:spacing w:beforeLines="0" w:afterLines="0"/>
        <w:jc w:val="center"/>
        <w:outlineLvl w:val="0"/>
        <w:rPr>
          <w:rFonts w:ascii="Times New Roman" w:eastAsia="宋体"/>
          <w:b/>
          <w:bCs/>
          <w:szCs w:val="21"/>
        </w:rPr>
      </w:pPr>
      <w:r>
        <w:rPr>
          <w:rFonts w:ascii="Times New Roman"/>
          <w:b/>
          <w:bCs/>
          <w:color w:val="000000"/>
          <w:sz w:val="24"/>
          <w:szCs w:val="24"/>
        </w:rPr>
        <w:br w:type="page"/>
      </w:r>
      <w:bookmarkStart w:id="749" w:name="_Toc23450"/>
      <w:bookmarkStart w:id="750" w:name="_Toc25581"/>
    </w:p>
    <w:p w14:paraId="2490D693"/>
    <w:p w14:paraId="1402932A">
      <w:pPr>
        <w:pStyle w:val="19"/>
        <w:widowControl w:val="0"/>
        <w:spacing w:before="328" w:beforeLines="100" w:after="328" w:afterLines="100" w:line="360" w:lineRule="auto"/>
        <w:jc w:val="center"/>
        <w:outlineLvl w:val="0"/>
        <w:rPr>
          <w:rFonts w:ascii="Times New Roman" w:eastAsia="宋体"/>
          <w:b/>
          <w:sz w:val="30"/>
          <w:szCs w:val="30"/>
        </w:rPr>
      </w:pPr>
      <w:bookmarkStart w:id="751" w:name="_Toc29300"/>
      <w:bookmarkStart w:id="752" w:name="_Toc20766"/>
      <w:bookmarkStart w:id="753" w:name="_Toc9350"/>
      <w:bookmarkStart w:id="754" w:name="_Toc9203"/>
      <w:bookmarkStart w:id="755" w:name="_Toc3044"/>
      <w:bookmarkStart w:id="756" w:name="_Toc25302"/>
      <w:bookmarkStart w:id="757" w:name="_Toc193392103"/>
      <w:bookmarkStart w:id="758" w:name="_Toc1442"/>
      <w:bookmarkStart w:id="759" w:name="_Toc676"/>
      <w:bookmarkStart w:id="760" w:name="_Toc16295"/>
      <w:r>
        <w:rPr>
          <w:rFonts w:ascii="Times New Roman" w:eastAsia="宋体"/>
          <w:b/>
          <w:sz w:val="30"/>
          <w:szCs w:val="30"/>
        </w:rPr>
        <w:t>引用标准名录</w:t>
      </w:r>
      <w:bookmarkEnd w:id="749"/>
      <w:bookmarkEnd w:id="750"/>
      <w:bookmarkEnd w:id="751"/>
      <w:bookmarkEnd w:id="752"/>
      <w:bookmarkEnd w:id="753"/>
      <w:bookmarkEnd w:id="754"/>
      <w:bookmarkEnd w:id="755"/>
      <w:bookmarkEnd w:id="756"/>
      <w:bookmarkEnd w:id="757"/>
      <w:bookmarkEnd w:id="758"/>
      <w:bookmarkEnd w:id="759"/>
      <w:bookmarkEnd w:id="760"/>
    </w:p>
    <w:p w14:paraId="655D5D82">
      <w:pPr>
        <w:ind w:firstLine="480" w:firstLineChars="200"/>
        <w:jc w:val="left"/>
      </w:pPr>
      <w:r>
        <w:t>本规程引用下列标准。其中，注日期的，仅该日期对应的版本适用本规程；不注日期的，其最新版适用于本规程。</w:t>
      </w:r>
    </w:p>
    <w:p w14:paraId="40FAD52A">
      <w:pPr>
        <w:pStyle w:val="20"/>
        <w:widowControl w:val="0"/>
        <w:spacing w:line="360" w:lineRule="auto"/>
        <w:ind w:firstLine="480"/>
        <w:rPr>
          <w:rFonts w:ascii="Times New Roman"/>
          <w:sz w:val="24"/>
          <w:szCs w:val="24"/>
        </w:rPr>
      </w:pPr>
      <w:r>
        <w:rPr>
          <w:rFonts w:ascii="Times New Roman"/>
          <w:bCs/>
          <w:sz w:val="24"/>
          <w:szCs w:val="24"/>
        </w:rPr>
        <w:t>《混凝土结构设计规范》GB 50010</w:t>
      </w:r>
    </w:p>
    <w:p w14:paraId="2D0760A2">
      <w:pPr>
        <w:pStyle w:val="20"/>
        <w:widowControl w:val="0"/>
        <w:spacing w:line="360" w:lineRule="auto"/>
        <w:ind w:firstLine="480"/>
        <w:rPr>
          <w:rFonts w:ascii="Times New Roman"/>
          <w:bCs/>
          <w:sz w:val="24"/>
          <w:szCs w:val="24"/>
        </w:rPr>
      </w:pPr>
      <w:r>
        <w:rPr>
          <w:rFonts w:ascii="Times New Roman"/>
          <w:bCs/>
          <w:sz w:val="24"/>
          <w:szCs w:val="24"/>
        </w:rPr>
        <w:t>《钢结构设计规范》GB 50017</w:t>
      </w:r>
    </w:p>
    <w:p w14:paraId="650D372A">
      <w:pPr>
        <w:pStyle w:val="20"/>
        <w:widowControl w:val="0"/>
        <w:spacing w:line="360" w:lineRule="auto"/>
        <w:ind w:firstLine="480"/>
        <w:rPr>
          <w:rFonts w:ascii="Times New Roman"/>
          <w:sz w:val="24"/>
          <w:szCs w:val="24"/>
        </w:rPr>
      </w:pPr>
      <w:r>
        <w:rPr>
          <w:rFonts w:ascii="Times New Roman"/>
          <w:sz w:val="24"/>
          <w:szCs w:val="24"/>
        </w:rPr>
        <w:t>《岩土工程勘察规范》GB 50021</w:t>
      </w:r>
    </w:p>
    <w:p w14:paraId="498A6BA9">
      <w:pPr>
        <w:pStyle w:val="20"/>
        <w:widowControl w:val="0"/>
        <w:spacing w:line="360" w:lineRule="auto"/>
        <w:ind w:firstLine="480"/>
        <w:rPr>
          <w:rFonts w:ascii="Times New Roman"/>
          <w:sz w:val="24"/>
          <w:szCs w:val="24"/>
        </w:rPr>
      </w:pPr>
      <w:r>
        <w:rPr>
          <w:rFonts w:ascii="Times New Roman"/>
          <w:sz w:val="24"/>
          <w:szCs w:val="24"/>
        </w:rPr>
        <w:t>《湿陷性黄土地区建筑标准》GB 50025</w:t>
      </w:r>
    </w:p>
    <w:p w14:paraId="2F726197">
      <w:pPr>
        <w:pStyle w:val="20"/>
        <w:widowControl w:val="0"/>
        <w:spacing w:line="360" w:lineRule="auto"/>
        <w:ind w:firstLine="480"/>
        <w:rPr>
          <w:rFonts w:ascii="Times New Roman"/>
          <w:sz w:val="24"/>
          <w:szCs w:val="24"/>
        </w:rPr>
      </w:pPr>
      <w:r>
        <w:rPr>
          <w:rFonts w:ascii="Times New Roman"/>
          <w:sz w:val="24"/>
          <w:szCs w:val="24"/>
        </w:rPr>
        <w:t>《建筑地基基础工程施工质量验收标准》GB 50202</w:t>
      </w:r>
    </w:p>
    <w:p w14:paraId="579F81BE">
      <w:pPr>
        <w:pStyle w:val="20"/>
        <w:widowControl w:val="0"/>
        <w:spacing w:line="360" w:lineRule="auto"/>
        <w:ind w:firstLine="480"/>
        <w:rPr>
          <w:rFonts w:ascii="Times New Roman"/>
          <w:sz w:val="24"/>
          <w:szCs w:val="24"/>
        </w:rPr>
      </w:pPr>
      <w:r>
        <w:rPr>
          <w:rFonts w:ascii="Times New Roman"/>
          <w:sz w:val="24"/>
          <w:szCs w:val="24"/>
        </w:rPr>
        <w:t>《混凝土结构工程施工质量验收规范》GB 50204</w:t>
      </w:r>
    </w:p>
    <w:p w14:paraId="495B306B">
      <w:pPr>
        <w:pStyle w:val="20"/>
        <w:widowControl w:val="0"/>
        <w:spacing w:line="360" w:lineRule="auto"/>
        <w:ind w:firstLine="480"/>
        <w:rPr>
          <w:rFonts w:ascii="Times New Roman"/>
          <w:sz w:val="24"/>
          <w:szCs w:val="24"/>
        </w:rPr>
      </w:pPr>
      <w:r>
        <w:rPr>
          <w:rFonts w:ascii="Times New Roman"/>
          <w:sz w:val="24"/>
          <w:szCs w:val="24"/>
        </w:rPr>
        <w:t>《城市轨道交通岩土工程勘察规范》GB 50307</w:t>
      </w:r>
    </w:p>
    <w:p w14:paraId="756FC1A2">
      <w:pPr>
        <w:pStyle w:val="20"/>
        <w:widowControl w:val="0"/>
        <w:spacing w:line="360" w:lineRule="auto"/>
        <w:ind w:firstLine="480"/>
        <w:rPr>
          <w:rFonts w:ascii="Times New Roman"/>
          <w:sz w:val="24"/>
          <w:szCs w:val="24"/>
        </w:rPr>
      </w:pPr>
      <w:r>
        <w:rPr>
          <w:rFonts w:ascii="Times New Roman"/>
          <w:sz w:val="24"/>
          <w:szCs w:val="24"/>
        </w:rPr>
        <w:t>《建筑边坡工程技术规范》GB 50330</w:t>
      </w:r>
    </w:p>
    <w:p w14:paraId="3563CA95">
      <w:pPr>
        <w:pStyle w:val="20"/>
        <w:widowControl w:val="0"/>
        <w:spacing w:line="360" w:lineRule="auto"/>
        <w:ind w:firstLine="480"/>
        <w:rPr>
          <w:rFonts w:ascii="Times New Roman"/>
          <w:sz w:val="24"/>
          <w:szCs w:val="24"/>
        </w:rPr>
      </w:pPr>
      <w:r>
        <w:rPr>
          <w:rFonts w:ascii="Times New Roman"/>
          <w:sz w:val="24"/>
          <w:szCs w:val="24"/>
        </w:rPr>
        <w:t>《建筑基坑工程监测技术标准》GB 50497</w:t>
      </w:r>
    </w:p>
    <w:p w14:paraId="410D6B1E">
      <w:pPr>
        <w:pStyle w:val="20"/>
        <w:widowControl w:val="0"/>
        <w:spacing w:line="360" w:lineRule="auto"/>
        <w:ind w:firstLine="480"/>
        <w:rPr>
          <w:rFonts w:ascii="Times New Roman"/>
          <w:sz w:val="24"/>
        </w:rPr>
      </w:pPr>
      <w:r>
        <w:rPr>
          <w:rFonts w:ascii="Times New Roman"/>
          <w:sz w:val="24"/>
        </w:rPr>
        <w:t>《钢结构焊接规范》GB 50661</w:t>
      </w:r>
    </w:p>
    <w:p w14:paraId="3A41B03B">
      <w:pPr>
        <w:pStyle w:val="20"/>
        <w:widowControl w:val="0"/>
        <w:spacing w:line="360" w:lineRule="auto"/>
        <w:ind w:firstLine="480"/>
        <w:rPr>
          <w:rFonts w:ascii="Times New Roman"/>
          <w:sz w:val="24"/>
          <w:szCs w:val="24"/>
        </w:rPr>
      </w:pPr>
      <w:r>
        <w:rPr>
          <w:rFonts w:ascii="Times New Roman"/>
          <w:sz w:val="24"/>
          <w:szCs w:val="24"/>
        </w:rPr>
        <w:t>《复合土钉墙基坑支护技术规范》GB 50739</w:t>
      </w:r>
    </w:p>
    <w:p w14:paraId="55D716BB">
      <w:pPr>
        <w:pStyle w:val="20"/>
        <w:widowControl w:val="0"/>
        <w:spacing w:line="360" w:lineRule="auto"/>
        <w:ind w:firstLine="480"/>
        <w:rPr>
          <w:rFonts w:ascii="Times New Roman"/>
          <w:sz w:val="24"/>
          <w:szCs w:val="24"/>
        </w:rPr>
      </w:pPr>
      <w:r>
        <w:rPr>
          <w:rFonts w:ascii="Times New Roman"/>
          <w:sz w:val="24"/>
          <w:szCs w:val="24"/>
        </w:rPr>
        <w:t>《复合地基技术规范》GB/T 50783</w:t>
      </w:r>
    </w:p>
    <w:p w14:paraId="3AD49B64">
      <w:pPr>
        <w:pStyle w:val="20"/>
        <w:widowControl w:val="0"/>
        <w:spacing w:line="360" w:lineRule="auto"/>
        <w:ind w:firstLine="480"/>
        <w:rPr>
          <w:rFonts w:ascii="Times New Roman"/>
          <w:sz w:val="24"/>
          <w:szCs w:val="24"/>
        </w:rPr>
      </w:pPr>
      <w:r>
        <w:rPr>
          <w:rFonts w:ascii="Times New Roman"/>
          <w:sz w:val="24"/>
          <w:szCs w:val="24"/>
        </w:rPr>
        <w:t>《城市综合管廊工程技术规范》GB 50838</w:t>
      </w:r>
    </w:p>
    <w:p w14:paraId="2E26053C">
      <w:pPr>
        <w:pStyle w:val="20"/>
        <w:widowControl w:val="0"/>
        <w:spacing w:line="360" w:lineRule="auto"/>
        <w:ind w:firstLine="480"/>
        <w:rPr>
          <w:rFonts w:ascii="Times New Roman"/>
          <w:sz w:val="24"/>
          <w:szCs w:val="24"/>
        </w:rPr>
      </w:pPr>
      <w:r>
        <w:rPr>
          <w:rFonts w:ascii="Times New Roman"/>
          <w:sz w:val="24"/>
          <w:szCs w:val="24"/>
        </w:rPr>
        <w:t>《城市轨道交通岩土工程监测技术规范》GB 50911</w:t>
      </w:r>
    </w:p>
    <w:p w14:paraId="54867501">
      <w:pPr>
        <w:pStyle w:val="20"/>
        <w:widowControl w:val="0"/>
        <w:spacing w:line="360" w:lineRule="auto"/>
        <w:ind w:firstLine="480"/>
        <w:rPr>
          <w:rFonts w:ascii="Times New Roman"/>
          <w:sz w:val="24"/>
          <w:szCs w:val="24"/>
        </w:rPr>
      </w:pPr>
      <w:r>
        <w:rPr>
          <w:rFonts w:ascii="Times New Roman"/>
          <w:sz w:val="24"/>
          <w:szCs w:val="24"/>
        </w:rPr>
        <w:t>《建筑地基基础工程施工规范》GB 51004</w:t>
      </w:r>
    </w:p>
    <w:p w14:paraId="75196160">
      <w:pPr>
        <w:pStyle w:val="20"/>
        <w:widowControl w:val="0"/>
        <w:spacing w:line="360" w:lineRule="auto"/>
        <w:ind w:firstLine="480"/>
        <w:rPr>
          <w:rFonts w:ascii="Times New Roman"/>
          <w:sz w:val="24"/>
          <w:szCs w:val="24"/>
        </w:rPr>
      </w:pPr>
      <w:r>
        <w:rPr>
          <w:rFonts w:ascii="Times New Roman"/>
          <w:sz w:val="24"/>
          <w:szCs w:val="24"/>
        </w:rPr>
        <w:t>《城市地下综合管廊运行维护及安全技术标准》GB 51354</w:t>
      </w:r>
    </w:p>
    <w:p w14:paraId="7ADFD284">
      <w:pPr>
        <w:pStyle w:val="20"/>
        <w:widowControl w:val="0"/>
        <w:spacing w:line="360" w:lineRule="auto"/>
        <w:ind w:firstLine="480"/>
        <w:rPr>
          <w:rFonts w:ascii="Times New Roman"/>
          <w:sz w:val="24"/>
          <w:szCs w:val="24"/>
        </w:rPr>
      </w:pPr>
      <w:r>
        <w:rPr>
          <w:rFonts w:ascii="Times New Roman"/>
          <w:sz w:val="24"/>
          <w:szCs w:val="24"/>
        </w:rPr>
        <w:t>《工程结构通用规范》GB 55001</w:t>
      </w:r>
    </w:p>
    <w:p w14:paraId="27ECB5BD">
      <w:pPr>
        <w:pStyle w:val="20"/>
        <w:widowControl w:val="0"/>
        <w:spacing w:line="360" w:lineRule="auto"/>
        <w:ind w:firstLine="480"/>
        <w:rPr>
          <w:rFonts w:ascii="Times New Roman"/>
          <w:sz w:val="24"/>
          <w:szCs w:val="24"/>
        </w:rPr>
      </w:pPr>
      <w:r>
        <w:rPr>
          <w:rFonts w:ascii="Times New Roman"/>
          <w:sz w:val="24"/>
          <w:szCs w:val="24"/>
        </w:rPr>
        <w:t>《建筑与市政地基基础通用规范》GB 55003</w:t>
      </w:r>
    </w:p>
    <w:p w14:paraId="115E1975">
      <w:pPr>
        <w:pStyle w:val="20"/>
        <w:widowControl w:val="0"/>
        <w:spacing w:line="360" w:lineRule="auto"/>
        <w:ind w:firstLine="480"/>
        <w:rPr>
          <w:rFonts w:ascii="Times New Roman"/>
          <w:sz w:val="24"/>
          <w:szCs w:val="24"/>
        </w:rPr>
      </w:pPr>
      <w:r>
        <w:rPr>
          <w:rFonts w:ascii="Times New Roman"/>
          <w:sz w:val="24"/>
          <w:szCs w:val="24"/>
        </w:rPr>
        <w:t>《钢结构通用规范》GB 55006</w:t>
      </w:r>
    </w:p>
    <w:p w14:paraId="59A31F68">
      <w:pPr>
        <w:pStyle w:val="20"/>
        <w:widowControl w:val="0"/>
        <w:spacing w:line="360" w:lineRule="auto"/>
        <w:ind w:firstLine="480"/>
        <w:rPr>
          <w:rFonts w:ascii="Times New Roman"/>
          <w:sz w:val="24"/>
          <w:szCs w:val="24"/>
        </w:rPr>
      </w:pPr>
      <w:r>
        <w:rPr>
          <w:rFonts w:ascii="Times New Roman"/>
          <w:sz w:val="24"/>
          <w:szCs w:val="24"/>
        </w:rPr>
        <w:t>《混凝土结构通用规范》GB 55008</w:t>
      </w:r>
    </w:p>
    <w:p w14:paraId="4F51A859">
      <w:pPr>
        <w:pStyle w:val="20"/>
        <w:widowControl w:val="0"/>
        <w:spacing w:line="360" w:lineRule="auto"/>
        <w:ind w:firstLine="480"/>
        <w:rPr>
          <w:rFonts w:ascii="Times New Roman"/>
          <w:sz w:val="24"/>
          <w:szCs w:val="24"/>
        </w:rPr>
      </w:pPr>
      <w:r>
        <w:rPr>
          <w:rFonts w:ascii="Times New Roman"/>
          <w:sz w:val="24"/>
          <w:szCs w:val="24"/>
        </w:rPr>
        <w:t>《工程勘察通用规范》GB 55017</w:t>
      </w:r>
    </w:p>
    <w:p w14:paraId="1226E0DD">
      <w:pPr>
        <w:pStyle w:val="20"/>
        <w:widowControl w:val="0"/>
        <w:spacing w:line="360" w:lineRule="auto"/>
        <w:ind w:firstLine="480"/>
        <w:rPr>
          <w:rFonts w:ascii="Times New Roman"/>
          <w:sz w:val="24"/>
          <w:szCs w:val="24"/>
        </w:rPr>
      </w:pPr>
      <w:r>
        <w:rPr>
          <w:rFonts w:ascii="Times New Roman"/>
          <w:sz w:val="24"/>
          <w:szCs w:val="24"/>
        </w:rPr>
        <w:t>《工程测量通用规范》GB 55018</w:t>
      </w:r>
    </w:p>
    <w:p w14:paraId="66B2C0FE">
      <w:pPr>
        <w:pStyle w:val="20"/>
        <w:widowControl w:val="0"/>
        <w:spacing w:line="360" w:lineRule="auto"/>
        <w:ind w:firstLine="480"/>
        <w:rPr>
          <w:rFonts w:ascii="Times New Roman"/>
          <w:sz w:val="24"/>
          <w:szCs w:val="24"/>
        </w:rPr>
      </w:pPr>
      <w:r>
        <w:rPr>
          <w:rFonts w:ascii="Times New Roman"/>
          <w:sz w:val="24"/>
          <w:szCs w:val="24"/>
        </w:rPr>
        <w:t>《建筑施工场界环境噪声排放标准》GB 12523</w:t>
      </w:r>
    </w:p>
    <w:p w14:paraId="20DB4AFE">
      <w:pPr>
        <w:pStyle w:val="20"/>
        <w:widowControl w:val="0"/>
        <w:spacing w:line="360" w:lineRule="auto"/>
        <w:ind w:firstLine="480"/>
        <w:rPr>
          <w:rFonts w:ascii="Times New Roman"/>
          <w:bCs/>
          <w:sz w:val="24"/>
          <w:szCs w:val="24"/>
        </w:rPr>
      </w:pPr>
      <w:r>
        <w:rPr>
          <w:rFonts w:ascii="Times New Roman"/>
          <w:bCs/>
          <w:sz w:val="24"/>
          <w:szCs w:val="24"/>
        </w:rPr>
        <w:t>《热轧钢板桩》GB/T 20933</w:t>
      </w:r>
    </w:p>
    <w:p w14:paraId="2A57B0F4">
      <w:pPr>
        <w:pStyle w:val="20"/>
        <w:widowControl w:val="0"/>
        <w:spacing w:line="360" w:lineRule="auto"/>
        <w:ind w:firstLine="480"/>
        <w:rPr>
          <w:rFonts w:ascii="Times New Roman"/>
          <w:sz w:val="24"/>
          <w:szCs w:val="24"/>
        </w:rPr>
      </w:pPr>
      <w:r>
        <w:rPr>
          <w:rFonts w:ascii="Times New Roman"/>
          <w:bCs/>
          <w:sz w:val="24"/>
          <w:szCs w:val="24"/>
        </w:rPr>
        <w:t>《冷弯钢板桩》GB/T 29654</w:t>
      </w:r>
    </w:p>
    <w:p w14:paraId="3A7940EC">
      <w:pPr>
        <w:pStyle w:val="20"/>
        <w:widowControl w:val="0"/>
        <w:spacing w:line="360" w:lineRule="auto"/>
        <w:ind w:firstLine="480"/>
        <w:rPr>
          <w:rFonts w:ascii="Times New Roman"/>
          <w:sz w:val="24"/>
          <w:szCs w:val="24"/>
        </w:rPr>
      </w:pPr>
      <w:r>
        <w:rPr>
          <w:rFonts w:ascii="Times New Roman"/>
          <w:sz w:val="24"/>
          <w:szCs w:val="24"/>
        </w:rPr>
        <w:t>《建筑变形测量规范》JGJ 8</w:t>
      </w:r>
    </w:p>
    <w:p w14:paraId="55114FED">
      <w:pPr>
        <w:pStyle w:val="20"/>
        <w:widowControl w:val="0"/>
        <w:spacing w:line="360" w:lineRule="auto"/>
        <w:ind w:firstLine="480"/>
        <w:rPr>
          <w:rFonts w:ascii="Times New Roman"/>
          <w:sz w:val="24"/>
          <w:szCs w:val="24"/>
        </w:rPr>
      </w:pPr>
      <w:r>
        <w:rPr>
          <w:rFonts w:ascii="Times New Roman"/>
          <w:sz w:val="24"/>
          <w:szCs w:val="24"/>
        </w:rPr>
        <w:t>《钢筋焊接及验收规程》JGJ 18</w:t>
      </w:r>
    </w:p>
    <w:p w14:paraId="5E728EC6">
      <w:pPr>
        <w:pStyle w:val="20"/>
        <w:widowControl w:val="0"/>
        <w:spacing w:line="360" w:lineRule="auto"/>
        <w:ind w:firstLine="480"/>
        <w:rPr>
          <w:rFonts w:ascii="Times New Roman"/>
          <w:sz w:val="24"/>
          <w:szCs w:val="24"/>
        </w:rPr>
      </w:pPr>
      <w:r>
        <w:rPr>
          <w:rFonts w:ascii="Times New Roman"/>
          <w:sz w:val="24"/>
          <w:szCs w:val="24"/>
        </w:rPr>
        <w:t>《建筑机械使用安全技术规程》JGJ 33</w:t>
      </w:r>
    </w:p>
    <w:p w14:paraId="1ED908D1">
      <w:pPr>
        <w:pStyle w:val="20"/>
        <w:widowControl w:val="0"/>
        <w:spacing w:line="360" w:lineRule="auto"/>
        <w:ind w:firstLine="480"/>
        <w:rPr>
          <w:rFonts w:ascii="Times New Roman"/>
          <w:sz w:val="24"/>
          <w:szCs w:val="24"/>
        </w:rPr>
      </w:pPr>
      <w:r>
        <w:rPr>
          <w:rFonts w:ascii="Times New Roman"/>
          <w:sz w:val="24"/>
          <w:szCs w:val="24"/>
        </w:rPr>
        <w:t>《施工现场临时用电安全技术规范》JGJ 46</w:t>
      </w:r>
    </w:p>
    <w:p w14:paraId="63006C46">
      <w:pPr>
        <w:pStyle w:val="20"/>
        <w:widowControl w:val="0"/>
        <w:spacing w:line="360" w:lineRule="auto"/>
        <w:ind w:firstLine="480"/>
        <w:rPr>
          <w:rFonts w:ascii="Times New Roman"/>
          <w:sz w:val="24"/>
          <w:szCs w:val="24"/>
        </w:rPr>
      </w:pPr>
      <w:r>
        <w:rPr>
          <w:rFonts w:ascii="Times New Roman"/>
          <w:sz w:val="24"/>
          <w:szCs w:val="24"/>
        </w:rPr>
        <w:t>《建筑施工安全检查标准》JGJ 59</w:t>
      </w:r>
    </w:p>
    <w:p w14:paraId="787B9726">
      <w:pPr>
        <w:pStyle w:val="20"/>
        <w:widowControl w:val="0"/>
        <w:spacing w:line="360" w:lineRule="auto"/>
        <w:ind w:firstLine="480"/>
        <w:rPr>
          <w:rFonts w:ascii="Times New Roman"/>
          <w:sz w:val="24"/>
          <w:szCs w:val="24"/>
        </w:rPr>
      </w:pPr>
      <w:r>
        <w:rPr>
          <w:rFonts w:ascii="Times New Roman"/>
          <w:sz w:val="24"/>
          <w:szCs w:val="24"/>
        </w:rPr>
        <w:t>《建筑地基处理技术规范》JGJ 79</w:t>
      </w:r>
    </w:p>
    <w:p w14:paraId="37EEEB29">
      <w:pPr>
        <w:pStyle w:val="20"/>
        <w:widowControl w:val="0"/>
        <w:spacing w:line="360" w:lineRule="auto"/>
        <w:ind w:firstLine="480"/>
        <w:rPr>
          <w:rFonts w:ascii="Times New Roman"/>
          <w:sz w:val="24"/>
          <w:szCs w:val="24"/>
        </w:rPr>
      </w:pPr>
      <w:r>
        <w:rPr>
          <w:rFonts w:ascii="Times New Roman"/>
          <w:sz w:val="24"/>
          <w:szCs w:val="24"/>
        </w:rPr>
        <w:t>《建筑桩基技术规范》JGJ 94</w:t>
      </w:r>
    </w:p>
    <w:p w14:paraId="2E33842C">
      <w:pPr>
        <w:pStyle w:val="20"/>
        <w:widowControl w:val="0"/>
        <w:spacing w:line="360" w:lineRule="auto"/>
        <w:ind w:firstLine="480"/>
        <w:rPr>
          <w:rFonts w:ascii="Times New Roman"/>
          <w:sz w:val="24"/>
          <w:szCs w:val="24"/>
        </w:rPr>
      </w:pPr>
      <w:r>
        <w:rPr>
          <w:rFonts w:ascii="Times New Roman"/>
          <w:sz w:val="24"/>
          <w:szCs w:val="24"/>
        </w:rPr>
        <w:t>《建筑基桩检测技术规范》JGJ 106</w:t>
      </w:r>
    </w:p>
    <w:p w14:paraId="22AB017F">
      <w:pPr>
        <w:pStyle w:val="20"/>
        <w:widowControl w:val="0"/>
        <w:spacing w:line="360" w:lineRule="auto"/>
        <w:ind w:firstLine="480"/>
        <w:rPr>
          <w:rFonts w:ascii="Times New Roman"/>
          <w:sz w:val="24"/>
          <w:szCs w:val="24"/>
        </w:rPr>
      </w:pPr>
      <w:r>
        <w:rPr>
          <w:rFonts w:ascii="Times New Roman"/>
          <w:sz w:val="24"/>
          <w:szCs w:val="24"/>
        </w:rPr>
        <w:t>《钢筋机械连接技术规程》JGJ 107</w:t>
      </w:r>
    </w:p>
    <w:p w14:paraId="1D6496E8">
      <w:pPr>
        <w:pStyle w:val="20"/>
        <w:widowControl w:val="0"/>
        <w:spacing w:line="360" w:lineRule="auto"/>
        <w:ind w:firstLine="480"/>
        <w:rPr>
          <w:rFonts w:ascii="Times New Roman"/>
          <w:sz w:val="24"/>
          <w:szCs w:val="24"/>
        </w:rPr>
      </w:pPr>
      <w:r>
        <w:rPr>
          <w:rFonts w:ascii="Times New Roman"/>
          <w:sz w:val="24"/>
          <w:szCs w:val="24"/>
        </w:rPr>
        <w:t>《建筑基坑支护技术规程》JGJ 120</w:t>
      </w:r>
    </w:p>
    <w:p w14:paraId="7CEE5824">
      <w:pPr>
        <w:pStyle w:val="20"/>
        <w:widowControl w:val="0"/>
        <w:spacing w:line="360" w:lineRule="auto"/>
        <w:ind w:firstLine="480"/>
        <w:rPr>
          <w:rFonts w:ascii="Times New Roman"/>
          <w:bCs/>
          <w:color w:val="000000"/>
          <w:sz w:val="24"/>
          <w:szCs w:val="24"/>
        </w:rPr>
      </w:pPr>
      <w:r>
        <w:rPr>
          <w:rFonts w:ascii="Times New Roman"/>
          <w:bCs/>
          <w:color w:val="000000"/>
          <w:sz w:val="24"/>
          <w:szCs w:val="24"/>
        </w:rPr>
        <w:t>《型钢水泥土搅拌墙技术规程》JGJ/T 199</w:t>
      </w:r>
    </w:p>
    <w:p w14:paraId="08B0B9C5">
      <w:pPr>
        <w:pStyle w:val="20"/>
        <w:widowControl w:val="0"/>
        <w:spacing w:line="360" w:lineRule="auto"/>
        <w:ind w:firstLine="480"/>
        <w:rPr>
          <w:rFonts w:ascii="Times New Roman"/>
          <w:bCs/>
          <w:color w:val="000000"/>
          <w:sz w:val="24"/>
          <w:szCs w:val="24"/>
        </w:rPr>
      </w:pPr>
      <w:r>
        <w:rPr>
          <w:rFonts w:ascii="Times New Roman"/>
          <w:bCs/>
          <w:color w:val="000000"/>
          <w:sz w:val="24"/>
          <w:szCs w:val="24"/>
        </w:rPr>
        <w:t>《渠式切割水泥土连续墙技术规程》JGJ/T 303</w:t>
      </w:r>
    </w:p>
    <w:p w14:paraId="3C84DD13">
      <w:pPr>
        <w:pStyle w:val="20"/>
        <w:widowControl w:val="0"/>
        <w:spacing w:line="360" w:lineRule="auto"/>
        <w:ind w:firstLine="480"/>
        <w:rPr>
          <w:rFonts w:ascii="Times New Roman"/>
          <w:sz w:val="24"/>
          <w:szCs w:val="24"/>
        </w:rPr>
      </w:pPr>
      <w:r>
        <w:rPr>
          <w:rFonts w:ascii="Times New Roman"/>
          <w:sz w:val="24"/>
          <w:szCs w:val="24"/>
        </w:rPr>
        <w:t>《建筑深基坑工程施工安全技术规范》JGJ 311</w:t>
      </w:r>
    </w:p>
    <w:p w14:paraId="466BF5C2">
      <w:pPr>
        <w:pStyle w:val="20"/>
        <w:widowControl w:val="0"/>
        <w:spacing w:line="360" w:lineRule="auto"/>
        <w:ind w:firstLine="480"/>
        <w:rPr>
          <w:rFonts w:ascii="Times New Roman"/>
          <w:sz w:val="24"/>
          <w:szCs w:val="24"/>
        </w:rPr>
      </w:pPr>
      <w:r>
        <w:rPr>
          <w:rFonts w:ascii="Times New Roman"/>
          <w:sz w:val="24"/>
          <w:szCs w:val="24"/>
        </w:rPr>
        <w:t>《建筑地基检测技术规范》JGJ 340</w:t>
      </w:r>
    </w:p>
    <w:p w14:paraId="1A7037D2">
      <w:pPr>
        <w:pStyle w:val="20"/>
        <w:widowControl w:val="0"/>
        <w:spacing w:line="360" w:lineRule="auto"/>
        <w:ind w:firstLine="480"/>
        <w:rPr>
          <w:rFonts w:ascii="Times New Roman"/>
          <w:sz w:val="24"/>
          <w:szCs w:val="24"/>
        </w:rPr>
      </w:pPr>
      <w:r>
        <w:rPr>
          <w:rFonts w:ascii="Times New Roman"/>
          <w:sz w:val="24"/>
          <w:szCs w:val="24"/>
        </w:rPr>
        <w:t>《城市综合管廊施工及验收规程》T/CECS 895</w:t>
      </w:r>
    </w:p>
    <w:p w14:paraId="48295286">
      <w:pPr>
        <w:pStyle w:val="20"/>
        <w:widowControl w:val="0"/>
        <w:spacing w:line="360" w:lineRule="auto"/>
        <w:ind w:firstLine="480"/>
        <w:rPr>
          <w:rFonts w:ascii="Times New Roman"/>
          <w:sz w:val="24"/>
          <w:szCs w:val="24"/>
        </w:rPr>
      </w:pPr>
      <w:r>
        <w:rPr>
          <w:rFonts w:ascii="Times New Roman"/>
          <w:sz w:val="24"/>
          <w:szCs w:val="24"/>
        </w:rPr>
        <w:t>《城市综合管廊岩土工程勘察标准》T/CECS 1324</w:t>
      </w:r>
    </w:p>
    <w:p w14:paraId="7FB7647B">
      <w:pPr>
        <w:pStyle w:val="6"/>
        <w:jc w:val="center"/>
        <w:rPr>
          <w:rFonts w:ascii="Times New Roman" w:hAnsi="Times New Roman" w:eastAsia="新宋体"/>
          <w:sz w:val="32"/>
          <w:szCs w:val="32"/>
        </w:rPr>
      </w:pPr>
      <w:r>
        <w:rPr>
          <w:rFonts w:ascii="Times New Roman" w:hAnsi="Times New Roman"/>
          <w:sz w:val="24"/>
          <w:szCs w:val="24"/>
        </w:rPr>
        <w:br w:type="page"/>
      </w:r>
    </w:p>
    <w:p w14:paraId="592A609A">
      <w:pPr>
        <w:pStyle w:val="6"/>
        <w:ind w:firstLine="0"/>
        <w:jc w:val="center"/>
        <w:rPr>
          <w:rFonts w:ascii="Times New Roman" w:hAnsi="Times New Roman" w:eastAsia="新宋体"/>
          <w:sz w:val="32"/>
          <w:szCs w:val="32"/>
        </w:rPr>
      </w:pPr>
    </w:p>
    <w:p w14:paraId="1F41F03B">
      <w:pPr>
        <w:pStyle w:val="6"/>
        <w:ind w:firstLine="0"/>
        <w:jc w:val="center"/>
        <w:rPr>
          <w:rFonts w:ascii="Times New Roman" w:hAnsi="Times New Roman"/>
          <w:b/>
          <w:sz w:val="36"/>
          <w:szCs w:val="32"/>
        </w:rPr>
      </w:pPr>
      <w:r>
        <w:rPr>
          <w:rFonts w:ascii="Times New Roman" w:hAnsi="Times New Roman"/>
          <w:b/>
          <w:sz w:val="32"/>
          <w:szCs w:val="32"/>
        </w:rPr>
        <w:t>中国工程建设标准化协会标准</w:t>
      </w:r>
    </w:p>
    <w:p w14:paraId="255525B9">
      <w:pPr>
        <w:ind w:firstLine="0"/>
        <w:jc w:val="center"/>
        <w:rPr>
          <w:rFonts w:eastAsia="黑体"/>
          <w:b/>
          <w:bCs/>
          <w:sz w:val="36"/>
          <w:szCs w:val="36"/>
        </w:rPr>
      </w:pPr>
    </w:p>
    <w:p w14:paraId="01FC6078">
      <w:pPr>
        <w:ind w:firstLine="0"/>
        <w:jc w:val="center"/>
        <w:rPr>
          <w:b/>
          <w:bCs/>
          <w:sz w:val="56"/>
          <w:szCs w:val="36"/>
        </w:rPr>
      </w:pPr>
      <w:bookmarkStart w:id="761" w:name="_Toc31498"/>
      <w:bookmarkStart w:id="762" w:name="_Toc16047"/>
      <w:bookmarkStart w:id="763" w:name="_Toc29936"/>
      <w:bookmarkStart w:id="764" w:name="_Toc30597"/>
      <w:bookmarkStart w:id="765" w:name="_Toc29005"/>
      <w:bookmarkStart w:id="766" w:name="_Toc15350"/>
      <w:bookmarkStart w:id="767" w:name="_Toc22503"/>
      <w:bookmarkStart w:id="768" w:name="_Toc22591"/>
      <w:bookmarkStart w:id="769" w:name="_Toc11531"/>
      <w:bookmarkStart w:id="770" w:name="_Toc4304"/>
      <w:bookmarkStart w:id="771" w:name="_Toc21204"/>
      <w:r>
        <w:rPr>
          <w:b/>
          <w:sz w:val="44"/>
        </w:rPr>
        <w:t>城市</w:t>
      </w:r>
      <w:r>
        <w:rPr>
          <w:rFonts w:hint="eastAsia"/>
          <w:b/>
          <w:sz w:val="44"/>
          <w:lang w:val="en-US" w:eastAsia="zh-CN"/>
        </w:rPr>
        <w:t>地下</w:t>
      </w:r>
      <w:r>
        <w:rPr>
          <w:b/>
          <w:sz w:val="44"/>
        </w:rPr>
        <w:t>综合管廊岩土工程技术规程</w:t>
      </w:r>
      <w:bookmarkEnd w:id="761"/>
      <w:bookmarkEnd w:id="762"/>
      <w:bookmarkEnd w:id="763"/>
      <w:bookmarkEnd w:id="764"/>
      <w:bookmarkEnd w:id="765"/>
      <w:bookmarkEnd w:id="766"/>
      <w:bookmarkEnd w:id="767"/>
      <w:bookmarkEnd w:id="768"/>
      <w:bookmarkEnd w:id="769"/>
      <w:bookmarkEnd w:id="770"/>
      <w:bookmarkEnd w:id="771"/>
    </w:p>
    <w:p w14:paraId="0CF0604F">
      <w:bookmarkStart w:id="772" w:name="_Toc7101"/>
      <w:bookmarkStart w:id="773" w:name="_Toc12233"/>
      <w:bookmarkStart w:id="774" w:name="_Toc644"/>
      <w:bookmarkStart w:id="775" w:name="_Toc323"/>
      <w:bookmarkStart w:id="776" w:name="_Toc14785"/>
      <w:bookmarkStart w:id="777" w:name="_Toc24336"/>
      <w:bookmarkStart w:id="778" w:name="_Toc23578"/>
      <w:bookmarkStart w:id="779" w:name="_Toc19323"/>
      <w:bookmarkStart w:id="780" w:name="_Toc32160"/>
      <w:bookmarkStart w:id="781" w:name="_Toc5315"/>
      <w:bookmarkStart w:id="782" w:name="_Toc27284"/>
    </w:p>
    <w:p w14:paraId="1DD60CB7">
      <w:pPr>
        <w:jc w:val="center"/>
        <w:rPr>
          <w:b/>
          <w:sz w:val="28"/>
        </w:rPr>
      </w:pPr>
      <w:r>
        <w:rPr>
          <w:b/>
          <w:sz w:val="28"/>
        </w:rPr>
        <w:t>T/CECS xxxx-202</w:t>
      </w:r>
      <w:bookmarkEnd w:id="772"/>
      <w:bookmarkEnd w:id="773"/>
      <w:r>
        <w:rPr>
          <w:b/>
          <w:sz w:val="28"/>
        </w:rPr>
        <w:t>5</w:t>
      </w:r>
      <w:bookmarkEnd w:id="774"/>
      <w:bookmarkEnd w:id="775"/>
      <w:bookmarkEnd w:id="776"/>
      <w:bookmarkEnd w:id="777"/>
      <w:bookmarkEnd w:id="778"/>
      <w:bookmarkEnd w:id="779"/>
      <w:bookmarkEnd w:id="780"/>
      <w:bookmarkEnd w:id="781"/>
      <w:bookmarkEnd w:id="782"/>
    </w:p>
    <w:p w14:paraId="506010F4"/>
    <w:p w14:paraId="795F2CAE"/>
    <w:p w14:paraId="7965275D"/>
    <w:p w14:paraId="25C69417">
      <w:pPr>
        <w:pStyle w:val="19"/>
        <w:widowControl w:val="0"/>
        <w:spacing w:before="328" w:beforeLines="100" w:after="328" w:afterLines="100" w:line="360" w:lineRule="auto"/>
        <w:jc w:val="center"/>
        <w:outlineLvl w:val="0"/>
        <w:rPr>
          <w:rFonts w:ascii="Times New Roman" w:eastAsia="宋体"/>
          <w:b/>
          <w:sz w:val="30"/>
          <w:szCs w:val="30"/>
        </w:rPr>
      </w:pPr>
      <w:bookmarkStart w:id="783" w:name="_Toc193392104"/>
      <w:bookmarkStart w:id="784" w:name="_Toc6034"/>
      <w:bookmarkStart w:id="785" w:name="_Toc20720"/>
      <w:bookmarkStart w:id="786" w:name="_Toc19757"/>
      <w:bookmarkStart w:id="787" w:name="_Toc22437"/>
      <w:bookmarkStart w:id="788" w:name="_Toc20662"/>
      <w:bookmarkStart w:id="789" w:name="_Toc30290"/>
      <w:bookmarkStart w:id="790" w:name="_Toc14359"/>
      <w:bookmarkStart w:id="791" w:name="_Toc24234"/>
      <w:bookmarkStart w:id="792" w:name="_Toc15561"/>
      <w:r>
        <w:rPr>
          <w:rFonts w:ascii="Times New Roman" w:eastAsia="宋体"/>
          <w:b/>
          <w:sz w:val="30"/>
          <w:szCs w:val="30"/>
        </w:rPr>
        <w:t>条文说明</w:t>
      </w:r>
      <w:bookmarkEnd w:id="783"/>
      <w:bookmarkEnd w:id="784"/>
      <w:bookmarkEnd w:id="785"/>
      <w:bookmarkEnd w:id="786"/>
      <w:bookmarkEnd w:id="787"/>
      <w:bookmarkEnd w:id="788"/>
      <w:bookmarkEnd w:id="789"/>
      <w:bookmarkEnd w:id="790"/>
      <w:bookmarkEnd w:id="791"/>
      <w:bookmarkEnd w:id="792"/>
    </w:p>
    <w:p w14:paraId="490F3DED">
      <w:pPr>
        <w:ind w:firstLine="569"/>
        <w:jc w:val="center"/>
        <w:rPr>
          <w:b/>
          <w:bCs/>
          <w:color w:val="auto"/>
          <w:sz w:val="28"/>
        </w:rPr>
      </w:pPr>
    </w:p>
    <w:p w14:paraId="5C36D790">
      <w:pPr>
        <w:rPr>
          <w:rStyle w:val="21"/>
          <w:rFonts w:ascii="Times New Roman"/>
          <w:b/>
          <w:bCs/>
          <w:sz w:val="30"/>
          <w:szCs w:val="30"/>
        </w:rPr>
      </w:pPr>
      <w:r>
        <w:rPr>
          <w:rStyle w:val="21"/>
          <w:rFonts w:ascii="Times New Roman"/>
          <w:b/>
          <w:bCs/>
          <w:sz w:val="30"/>
          <w:szCs w:val="30"/>
        </w:rPr>
        <w:br w:type="page"/>
      </w:r>
    </w:p>
    <w:p w14:paraId="193BC58F">
      <w:pPr>
        <w:rPr>
          <w:rStyle w:val="21"/>
          <w:rFonts w:ascii="Times New Roman"/>
          <w:b/>
          <w:bCs/>
          <w:sz w:val="30"/>
          <w:szCs w:val="30"/>
        </w:rPr>
        <w:sectPr>
          <w:pgSz w:w="11906" w:h="16838"/>
          <w:pgMar w:top="1984" w:right="1701" w:bottom="1701" w:left="1701" w:header="1701" w:footer="1417" w:gutter="0"/>
          <w:cols w:space="0" w:num="1"/>
          <w:docGrid w:type="lines" w:linePitch="328" w:charSpace="0"/>
        </w:sectPr>
      </w:pPr>
    </w:p>
    <w:p w14:paraId="3A8F2BD2">
      <w:pPr>
        <w:pStyle w:val="20"/>
        <w:ind w:firstLine="420"/>
        <w:rPr>
          <w:rFonts w:ascii="Times New Roman"/>
        </w:rPr>
      </w:pPr>
    </w:p>
    <w:p w14:paraId="53F58CCD">
      <w:pPr>
        <w:spacing w:line="240" w:lineRule="auto"/>
        <w:ind w:firstLine="0"/>
        <w:jc w:val="center"/>
        <w:outlineLvl w:val="0"/>
        <w:rPr>
          <w:b/>
          <w:bCs/>
          <w:sz w:val="30"/>
          <w:szCs w:val="30"/>
        </w:rPr>
      </w:pPr>
      <w:bookmarkStart w:id="793" w:name="_Toc25157"/>
      <w:bookmarkStart w:id="794" w:name="_Toc2368"/>
      <w:bookmarkStart w:id="795" w:name="_Toc3811"/>
      <w:bookmarkStart w:id="796" w:name="_Toc193392105"/>
      <w:bookmarkStart w:id="797" w:name="_Toc871"/>
      <w:bookmarkStart w:id="798" w:name="_Toc26827"/>
      <w:bookmarkStart w:id="799" w:name="_Toc28649"/>
      <w:bookmarkStart w:id="800" w:name="_Toc4180"/>
      <w:r>
        <w:rPr>
          <w:b/>
          <w:bCs/>
          <w:sz w:val="30"/>
          <w:szCs w:val="30"/>
        </w:rPr>
        <w:t>制定说明</w:t>
      </w:r>
      <w:bookmarkEnd w:id="793"/>
      <w:bookmarkEnd w:id="794"/>
      <w:bookmarkEnd w:id="795"/>
      <w:bookmarkEnd w:id="796"/>
      <w:bookmarkEnd w:id="797"/>
      <w:bookmarkEnd w:id="798"/>
      <w:bookmarkEnd w:id="799"/>
      <w:bookmarkEnd w:id="800"/>
    </w:p>
    <w:p w14:paraId="505AD7BA"/>
    <w:p w14:paraId="699F9702"/>
    <w:p w14:paraId="33806352">
      <w:pPr>
        <w:ind w:firstLine="480" w:firstLineChars="200"/>
      </w:pPr>
      <w:r>
        <w:t>《城市综合管廊岩土工程技术规程》制定过程中，编制组进行了大量的调查研究，认真总结了我国工程建设岩土工程相关领域的实践经验，同时参考了国内外先进的技术法规、技术标准。</w:t>
      </w:r>
    </w:p>
    <w:p w14:paraId="2A7EF664">
      <w:pPr>
        <w:ind w:firstLine="480" w:firstLineChars="200"/>
      </w:pPr>
      <w:r>
        <w:t>为便于广大技术和管理人员在使用本</w:t>
      </w:r>
      <w:r>
        <w:rPr>
          <w:rFonts w:hint="eastAsia"/>
        </w:rPr>
        <w:t>规程</w:t>
      </w:r>
      <w:r>
        <w:t>时能正确理解和执行条款规定，《城市综合管廊岩土工程技术规程》编制组按章、节、条顺序编制了本</w:t>
      </w:r>
      <w:r>
        <w:rPr>
          <w:rFonts w:hint="eastAsia"/>
        </w:rPr>
        <w:t>规程</w:t>
      </w:r>
      <w:r>
        <w:t>的条文说明，对条款规定的目的、依据以及执行中需注意的有关事项等进行了说明。</w:t>
      </w:r>
    </w:p>
    <w:p w14:paraId="599B565B">
      <w:pPr>
        <w:ind w:firstLine="480" w:firstLineChars="200"/>
      </w:pPr>
      <w:r>
        <w:t>本条文说明不具备与</w:t>
      </w:r>
      <w:r>
        <w:rPr>
          <w:rFonts w:hint="eastAsia"/>
        </w:rPr>
        <w:t>规程</w:t>
      </w:r>
      <w:r>
        <w:t>正文及附录同等的法律效力，仅供使用者作为理解和把握</w:t>
      </w:r>
      <w:r>
        <w:rPr>
          <w:rFonts w:hint="eastAsia"/>
        </w:rPr>
        <w:t>条文</w:t>
      </w:r>
      <w:r>
        <w:t>规定的参考。</w:t>
      </w:r>
    </w:p>
    <w:p w14:paraId="2C2EC16A">
      <w:pPr>
        <w:pStyle w:val="20"/>
        <w:widowControl w:val="0"/>
        <w:tabs>
          <w:tab w:val="center" w:pos="4201"/>
          <w:tab w:val="right" w:leader="dot" w:pos="9298"/>
        </w:tabs>
        <w:spacing w:line="360" w:lineRule="auto"/>
        <w:ind w:firstLine="480"/>
        <w:rPr>
          <w:rFonts w:ascii="Times New Roman"/>
          <w:sz w:val="24"/>
          <w:szCs w:val="24"/>
        </w:rPr>
      </w:pPr>
    </w:p>
    <w:p w14:paraId="673F0E96">
      <w:pPr>
        <w:pStyle w:val="20"/>
        <w:widowControl w:val="0"/>
        <w:tabs>
          <w:tab w:val="center" w:pos="4201"/>
          <w:tab w:val="right" w:leader="dot" w:pos="9298"/>
        </w:tabs>
        <w:spacing w:line="360" w:lineRule="auto"/>
        <w:ind w:firstLine="480"/>
        <w:rPr>
          <w:rFonts w:ascii="Times New Roman"/>
          <w:sz w:val="24"/>
          <w:szCs w:val="24"/>
        </w:rPr>
      </w:pPr>
    </w:p>
    <w:p w14:paraId="7ADE9746">
      <w:pPr>
        <w:spacing w:line="240" w:lineRule="auto"/>
        <w:ind w:firstLine="0"/>
        <w:jc w:val="center"/>
        <w:rPr>
          <w:b/>
          <w:bCs/>
          <w:sz w:val="21"/>
          <w:szCs w:val="21"/>
        </w:rPr>
      </w:pPr>
    </w:p>
    <w:p w14:paraId="1BDBE849">
      <w:pPr>
        <w:spacing w:line="240" w:lineRule="auto"/>
        <w:ind w:firstLine="0"/>
        <w:jc w:val="center"/>
        <w:rPr>
          <w:b/>
          <w:bCs/>
          <w:sz w:val="21"/>
          <w:szCs w:val="21"/>
        </w:rPr>
        <w:sectPr>
          <w:pgSz w:w="11906" w:h="16838"/>
          <w:pgMar w:top="1984" w:right="1701" w:bottom="1701" w:left="1701" w:header="1701" w:footer="1417" w:gutter="0"/>
          <w:cols w:space="0" w:num="1"/>
          <w:docGrid w:type="lines" w:linePitch="328" w:charSpace="0"/>
        </w:sectPr>
      </w:pPr>
    </w:p>
    <w:p w14:paraId="3E6ACA9A">
      <w:pPr>
        <w:spacing w:line="240" w:lineRule="auto"/>
        <w:ind w:firstLine="0"/>
        <w:jc w:val="center"/>
        <w:rPr>
          <w:b/>
          <w:bCs/>
          <w:sz w:val="21"/>
          <w:szCs w:val="21"/>
        </w:rPr>
      </w:pPr>
    </w:p>
    <w:p w14:paraId="1F9D0F53">
      <w:pPr>
        <w:spacing w:line="240" w:lineRule="auto"/>
        <w:ind w:firstLine="0"/>
        <w:jc w:val="center"/>
        <w:rPr>
          <w:b/>
          <w:bCs/>
          <w:sz w:val="21"/>
          <w:szCs w:val="21"/>
        </w:rPr>
      </w:pPr>
    </w:p>
    <w:p w14:paraId="70C315E8">
      <w:pPr>
        <w:spacing w:line="240" w:lineRule="auto"/>
        <w:ind w:firstLine="0"/>
        <w:jc w:val="center"/>
        <w:rPr>
          <w:rFonts w:ascii="仿宋" w:hAnsi="仿宋" w:eastAsia="仿宋"/>
          <w:b/>
          <w:bCs/>
          <w:sz w:val="32"/>
          <w:szCs w:val="30"/>
        </w:rPr>
      </w:pPr>
      <w:r>
        <w:rPr>
          <w:rFonts w:ascii="仿宋" w:hAnsi="仿宋" w:eastAsia="仿宋"/>
          <w:b/>
          <w:bCs/>
          <w:sz w:val="32"/>
          <w:szCs w:val="30"/>
        </w:rPr>
        <w:t>目　　次</w:t>
      </w:r>
    </w:p>
    <w:p w14:paraId="42800F7A">
      <w:pPr>
        <w:spacing w:line="240" w:lineRule="auto"/>
        <w:ind w:firstLine="0"/>
        <w:jc w:val="center"/>
        <w:rPr>
          <w:b/>
          <w:bCs/>
          <w:sz w:val="21"/>
          <w:szCs w:val="21"/>
        </w:rPr>
      </w:pPr>
    </w:p>
    <w:p w14:paraId="3956A08C">
      <w:pPr>
        <w:pStyle w:val="10"/>
        <w:tabs>
          <w:tab w:val="right" w:leader="dot" w:pos="8494"/>
        </w:tabs>
        <w:rPr>
          <w:rFonts w:eastAsiaTheme="minorEastAsia"/>
          <w:color w:val="auto"/>
          <w:kern w:val="2"/>
          <w:sz w:val="21"/>
          <w:szCs w:val="22"/>
        </w:rPr>
      </w:pPr>
      <w:r>
        <w:rPr>
          <w:rStyle w:val="21"/>
          <w:rFonts w:ascii="Times New Roman" w:eastAsia="宋体"/>
          <w:b/>
          <w:sz w:val="30"/>
          <w:szCs w:val="30"/>
        </w:rPr>
        <w:fldChar w:fldCharType="begin"/>
      </w:r>
      <w:r>
        <w:rPr>
          <w:rStyle w:val="21"/>
          <w:rFonts w:ascii="Times New Roman" w:eastAsia="宋体"/>
          <w:b/>
          <w:bCs/>
          <w:sz w:val="30"/>
          <w:szCs w:val="30"/>
        </w:rPr>
        <w:instrText xml:space="preserve">TOC \o "1-2" \h \u </w:instrText>
      </w:r>
      <w:r>
        <w:rPr>
          <w:rStyle w:val="21"/>
          <w:rFonts w:ascii="Times New Roman" w:eastAsia="宋体"/>
          <w:b/>
          <w:sz w:val="30"/>
          <w:szCs w:val="30"/>
        </w:rPr>
        <w:fldChar w:fldCharType="separate"/>
      </w:r>
    </w:p>
    <w:p w14:paraId="12980005">
      <w:pPr>
        <w:pStyle w:val="10"/>
        <w:tabs>
          <w:tab w:val="right" w:leader="dot" w:pos="8494"/>
        </w:tabs>
        <w:rPr>
          <w:b/>
          <w:color w:val="auto"/>
          <w:kern w:val="2"/>
          <w:sz w:val="21"/>
          <w:szCs w:val="22"/>
        </w:rPr>
      </w:pPr>
      <w:r>
        <w:fldChar w:fldCharType="begin"/>
      </w:r>
      <w:r>
        <w:instrText xml:space="preserve"> HYPERLINK \l "_Toc193392106" </w:instrText>
      </w:r>
      <w:r>
        <w:fldChar w:fldCharType="separate"/>
      </w:r>
      <w:r>
        <w:rPr>
          <w:rStyle w:val="16"/>
          <w:b/>
        </w:rPr>
        <w:t>1　总　　则</w:t>
      </w:r>
      <w:r>
        <w:rPr>
          <w:b/>
        </w:rPr>
        <w:tab/>
      </w:r>
      <w:r>
        <w:rPr>
          <w:b/>
        </w:rPr>
        <w:fldChar w:fldCharType="begin"/>
      </w:r>
      <w:r>
        <w:rPr>
          <w:b/>
        </w:rPr>
        <w:instrText xml:space="preserve"> PAGEREF _Toc193392106 \h </w:instrText>
      </w:r>
      <w:r>
        <w:rPr>
          <w:b/>
        </w:rPr>
        <w:fldChar w:fldCharType="separate"/>
      </w:r>
      <w:r>
        <w:rPr>
          <w:b/>
        </w:rPr>
        <w:t>99</w:t>
      </w:r>
      <w:r>
        <w:rPr>
          <w:b/>
        </w:rPr>
        <w:fldChar w:fldCharType="end"/>
      </w:r>
      <w:r>
        <w:rPr>
          <w:b/>
        </w:rPr>
        <w:fldChar w:fldCharType="end"/>
      </w:r>
    </w:p>
    <w:p w14:paraId="054D57CE">
      <w:pPr>
        <w:pStyle w:val="10"/>
        <w:tabs>
          <w:tab w:val="right" w:leader="dot" w:pos="8494"/>
        </w:tabs>
        <w:rPr>
          <w:b/>
          <w:color w:val="auto"/>
          <w:kern w:val="2"/>
          <w:sz w:val="21"/>
          <w:szCs w:val="22"/>
        </w:rPr>
      </w:pPr>
      <w:r>
        <w:fldChar w:fldCharType="begin"/>
      </w:r>
      <w:r>
        <w:instrText xml:space="preserve"> HYPERLINK \l "_Toc193392107" </w:instrText>
      </w:r>
      <w:r>
        <w:fldChar w:fldCharType="separate"/>
      </w:r>
      <w:r>
        <w:rPr>
          <w:rStyle w:val="16"/>
          <w:b/>
        </w:rPr>
        <w:t>2　术语和符号</w:t>
      </w:r>
      <w:r>
        <w:rPr>
          <w:b/>
        </w:rPr>
        <w:tab/>
      </w:r>
      <w:r>
        <w:rPr>
          <w:b/>
        </w:rPr>
        <w:fldChar w:fldCharType="begin"/>
      </w:r>
      <w:r>
        <w:rPr>
          <w:b/>
        </w:rPr>
        <w:instrText xml:space="preserve"> PAGEREF _Toc193392107 \h </w:instrText>
      </w:r>
      <w:r>
        <w:rPr>
          <w:b/>
        </w:rPr>
        <w:fldChar w:fldCharType="separate"/>
      </w:r>
      <w:r>
        <w:rPr>
          <w:b/>
        </w:rPr>
        <w:t>100</w:t>
      </w:r>
      <w:r>
        <w:rPr>
          <w:b/>
        </w:rPr>
        <w:fldChar w:fldCharType="end"/>
      </w:r>
      <w:r>
        <w:rPr>
          <w:b/>
        </w:rPr>
        <w:fldChar w:fldCharType="end"/>
      </w:r>
    </w:p>
    <w:p w14:paraId="3B7AEFAA">
      <w:pPr>
        <w:pStyle w:val="10"/>
        <w:tabs>
          <w:tab w:val="right" w:leader="dot" w:pos="8494"/>
        </w:tabs>
        <w:rPr>
          <w:b/>
          <w:color w:val="auto"/>
          <w:kern w:val="2"/>
          <w:sz w:val="21"/>
          <w:szCs w:val="22"/>
        </w:rPr>
      </w:pPr>
      <w:r>
        <w:fldChar w:fldCharType="begin"/>
      </w:r>
      <w:r>
        <w:instrText xml:space="preserve"> HYPERLINK \l "_Toc193392108" </w:instrText>
      </w:r>
      <w:r>
        <w:fldChar w:fldCharType="separate"/>
      </w:r>
      <w:r>
        <w:rPr>
          <w:rStyle w:val="16"/>
          <w:b/>
        </w:rPr>
        <w:t>3　基本规定</w:t>
      </w:r>
      <w:r>
        <w:rPr>
          <w:b/>
        </w:rPr>
        <w:tab/>
      </w:r>
      <w:r>
        <w:rPr>
          <w:b/>
        </w:rPr>
        <w:fldChar w:fldCharType="begin"/>
      </w:r>
      <w:r>
        <w:rPr>
          <w:b/>
        </w:rPr>
        <w:instrText xml:space="preserve"> PAGEREF _Toc193392108 \h </w:instrText>
      </w:r>
      <w:r>
        <w:rPr>
          <w:b/>
        </w:rPr>
        <w:fldChar w:fldCharType="separate"/>
      </w:r>
      <w:r>
        <w:rPr>
          <w:b/>
        </w:rPr>
        <w:t>101</w:t>
      </w:r>
      <w:r>
        <w:rPr>
          <w:b/>
        </w:rPr>
        <w:fldChar w:fldCharType="end"/>
      </w:r>
      <w:r>
        <w:rPr>
          <w:b/>
        </w:rPr>
        <w:fldChar w:fldCharType="end"/>
      </w:r>
    </w:p>
    <w:p w14:paraId="3C221F80">
      <w:pPr>
        <w:pStyle w:val="11"/>
        <w:tabs>
          <w:tab w:val="right" w:leader="dot" w:pos="8494"/>
        </w:tabs>
        <w:ind w:left="480"/>
        <w:rPr>
          <w:color w:val="auto"/>
          <w:kern w:val="2"/>
          <w:sz w:val="21"/>
          <w:szCs w:val="22"/>
        </w:rPr>
      </w:pPr>
      <w:r>
        <w:fldChar w:fldCharType="begin"/>
      </w:r>
      <w:r>
        <w:instrText xml:space="preserve"> HYPERLINK \l "_Toc193392109" </w:instrText>
      </w:r>
      <w:r>
        <w:fldChar w:fldCharType="separate"/>
      </w:r>
      <w:r>
        <w:rPr>
          <w:rStyle w:val="16"/>
          <w:bCs/>
        </w:rPr>
        <w:t>3.1　岩土工程勘察</w:t>
      </w:r>
      <w:r>
        <w:tab/>
      </w:r>
      <w:r>
        <w:fldChar w:fldCharType="begin"/>
      </w:r>
      <w:r>
        <w:instrText xml:space="preserve"> PAGEREF _Toc193392109 \h </w:instrText>
      </w:r>
      <w:r>
        <w:fldChar w:fldCharType="separate"/>
      </w:r>
      <w:r>
        <w:t>101</w:t>
      </w:r>
      <w:r>
        <w:fldChar w:fldCharType="end"/>
      </w:r>
      <w:r>
        <w:fldChar w:fldCharType="end"/>
      </w:r>
    </w:p>
    <w:p w14:paraId="220A28EF">
      <w:pPr>
        <w:pStyle w:val="11"/>
        <w:tabs>
          <w:tab w:val="right" w:leader="dot" w:pos="8494"/>
        </w:tabs>
        <w:ind w:left="480"/>
        <w:rPr>
          <w:color w:val="auto"/>
          <w:kern w:val="2"/>
          <w:sz w:val="21"/>
          <w:szCs w:val="22"/>
        </w:rPr>
      </w:pPr>
      <w:r>
        <w:fldChar w:fldCharType="begin"/>
      </w:r>
      <w:r>
        <w:instrText xml:space="preserve"> HYPERLINK \l "_Toc193392110" </w:instrText>
      </w:r>
      <w:r>
        <w:fldChar w:fldCharType="separate"/>
      </w:r>
      <w:r>
        <w:rPr>
          <w:rStyle w:val="16"/>
          <w:bCs/>
        </w:rPr>
        <w:t>3.3　岩土工程施工</w:t>
      </w:r>
      <w:r>
        <w:tab/>
      </w:r>
      <w:r>
        <w:fldChar w:fldCharType="begin"/>
      </w:r>
      <w:r>
        <w:instrText xml:space="preserve"> PAGEREF _Toc193392110 \h </w:instrText>
      </w:r>
      <w:r>
        <w:fldChar w:fldCharType="separate"/>
      </w:r>
      <w:r>
        <w:t>101</w:t>
      </w:r>
      <w:r>
        <w:fldChar w:fldCharType="end"/>
      </w:r>
      <w:r>
        <w:fldChar w:fldCharType="end"/>
      </w:r>
    </w:p>
    <w:p w14:paraId="50077436">
      <w:pPr>
        <w:pStyle w:val="10"/>
        <w:tabs>
          <w:tab w:val="right" w:leader="dot" w:pos="8494"/>
        </w:tabs>
        <w:rPr>
          <w:b/>
          <w:color w:val="auto"/>
          <w:kern w:val="2"/>
          <w:sz w:val="21"/>
          <w:szCs w:val="22"/>
        </w:rPr>
      </w:pPr>
      <w:r>
        <w:fldChar w:fldCharType="begin"/>
      </w:r>
      <w:r>
        <w:instrText xml:space="preserve"> HYPERLINK \l "_Toc193392111" </w:instrText>
      </w:r>
      <w:r>
        <w:fldChar w:fldCharType="separate"/>
      </w:r>
      <w:r>
        <w:rPr>
          <w:rStyle w:val="16"/>
          <w:b/>
        </w:rPr>
        <w:t>4　岩土工程勘察</w:t>
      </w:r>
      <w:r>
        <w:rPr>
          <w:b/>
        </w:rPr>
        <w:tab/>
      </w:r>
      <w:r>
        <w:rPr>
          <w:b/>
        </w:rPr>
        <w:fldChar w:fldCharType="begin"/>
      </w:r>
      <w:r>
        <w:rPr>
          <w:b/>
        </w:rPr>
        <w:instrText xml:space="preserve"> PAGEREF _Toc193392111 \h </w:instrText>
      </w:r>
      <w:r>
        <w:rPr>
          <w:b/>
        </w:rPr>
        <w:fldChar w:fldCharType="separate"/>
      </w:r>
      <w:r>
        <w:rPr>
          <w:b/>
        </w:rPr>
        <w:t>102</w:t>
      </w:r>
      <w:r>
        <w:rPr>
          <w:b/>
        </w:rPr>
        <w:fldChar w:fldCharType="end"/>
      </w:r>
      <w:r>
        <w:rPr>
          <w:b/>
        </w:rPr>
        <w:fldChar w:fldCharType="end"/>
      </w:r>
    </w:p>
    <w:p w14:paraId="05AF2E97">
      <w:pPr>
        <w:pStyle w:val="11"/>
        <w:tabs>
          <w:tab w:val="right" w:leader="dot" w:pos="8494"/>
        </w:tabs>
        <w:ind w:left="480"/>
        <w:rPr>
          <w:color w:val="auto"/>
          <w:kern w:val="2"/>
          <w:sz w:val="21"/>
          <w:szCs w:val="22"/>
        </w:rPr>
      </w:pPr>
      <w:r>
        <w:fldChar w:fldCharType="begin"/>
      </w:r>
      <w:r>
        <w:instrText xml:space="preserve"> HYPERLINK \l "_Toc193392112" </w:instrText>
      </w:r>
      <w:r>
        <w:fldChar w:fldCharType="separate"/>
      </w:r>
      <w:r>
        <w:rPr>
          <w:rStyle w:val="16"/>
          <w:bCs/>
        </w:rPr>
        <w:t>4.1　一般规定</w:t>
      </w:r>
      <w:r>
        <w:tab/>
      </w:r>
      <w:r>
        <w:fldChar w:fldCharType="begin"/>
      </w:r>
      <w:r>
        <w:instrText xml:space="preserve"> PAGEREF _Toc193392112 \h </w:instrText>
      </w:r>
      <w:r>
        <w:fldChar w:fldCharType="separate"/>
      </w:r>
      <w:r>
        <w:t>102</w:t>
      </w:r>
      <w:r>
        <w:fldChar w:fldCharType="end"/>
      </w:r>
      <w:r>
        <w:fldChar w:fldCharType="end"/>
      </w:r>
    </w:p>
    <w:p w14:paraId="7BC99512">
      <w:pPr>
        <w:pStyle w:val="11"/>
        <w:tabs>
          <w:tab w:val="right" w:leader="dot" w:pos="8494"/>
        </w:tabs>
        <w:ind w:left="480"/>
        <w:rPr>
          <w:color w:val="auto"/>
          <w:kern w:val="2"/>
          <w:sz w:val="21"/>
          <w:szCs w:val="22"/>
        </w:rPr>
      </w:pPr>
      <w:r>
        <w:fldChar w:fldCharType="begin"/>
      </w:r>
      <w:r>
        <w:instrText xml:space="preserve"> HYPERLINK \l "_Toc193392113" </w:instrText>
      </w:r>
      <w:r>
        <w:fldChar w:fldCharType="separate"/>
      </w:r>
      <w:r>
        <w:rPr>
          <w:rStyle w:val="16"/>
          <w:bCs/>
        </w:rPr>
        <w:t>4.2　可行性研究勘察</w:t>
      </w:r>
      <w:r>
        <w:tab/>
      </w:r>
      <w:r>
        <w:fldChar w:fldCharType="begin"/>
      </w:r>
      <w:r>
        <w:instrText xml:space="preserve"> PAGEREF _Toc193392113 \h </w:instrText>
      </w:r>
      <w:r>
        <w:fldChar w:fldCharType="separate"/>
      </w:r>
      <w:r>
        <w:t>102</w:t>
      </w:r>
      <w:r>
        <w:fldChar w:fldCharType="end"/>
      </w:r>
      <w:r>
        <w:fldChar w:fldCharType="end"/>
      </w:r>
    </w:p>
    <w:p w14:paraId="03A182F3">
      <w:pPr>
        <w:pStyle w:val="11"/>
        <w:tabs>
          <w:tab w:val="right" w:leader="dot" w:pos="8494"/>
        </w:tabs>
        <w:ind w:left="480"/>
        <w:rPr>
          <w:color w:val="auto"/>
          <w:kern w:val="2"/>
          <w:sz w:val="21"/>
          <w:szCs w:val="22"/>
        </w:rPr>
      </w:pPr>
      <w:r>
        <w:fldChar w:fldCharType="begin"/>
      </w:r>
      <w:r>
        <w:instrText xml:space="preserve"> HYPERLINK \l "_Toc193392114" </w:instrText>
      </w:r>
      <w:r>
        <w:fldChar w:fldCharType="separate"/>
      </w:r>
      <w:r>
        <w:rPr>
          <w:rStyle w:val="16"/>
          <w:bCs/>
        </w:rPr>
        <w:t>4.4　详细勘察</w:t>
      </w:r>
      <w:r>
        <w:tab/>
      </w:r>
      <w:r>
        <w:fldChar w:fldCharType="begin"/>
      </w:r>
      <w:r>
        <w:instrText xml:space="preserve"> PAGEREF _Toc193392114 \h </w:instrText>
      </w:r>
      <w:r>
        <w:fldChar w:fldCharType="separate"/>
      </w:r>
      <w:r>
        <w:t>102</w:t>
      </w:r>
      <w:r>
        <w:fldChar w:fldCharType="end"/>
      </w:r>
      <w:r>
        <w:fldChar w:fldCharType="end"/>
      </w:r>
    </w:p>
    <w:p w14:paraId="6450EF9D">
      <w:pPr>
        <w:pStyle w:val="10"/>
        <w:tabs>
          <w:tab w:val="right" w:leader="dot" w:pos="8494"/>
        </w:tabs>
        <w:rPr>
          <w:b/>
          <w:color w:val="auto"/>
          <w:kern w:val="2"/>
          <w:sz w:val="21"/>
          <w:szCs w:val="22"/>
        </w:rPr>
      </w:pPr>
      <w:r>
        <w:fldChar w:fldCharType="begin"/>
      </w:r>
      <w:r>
        <w:instrText xml:space="preserve"> HYPERLINK \l "_Toc193392115" </w:instrText>
      </w:r>
      <w:r>
        <w:fldChar w:fldCharType="separate"/>
      </w:r>
      <w:r>
        <w:rPr>
          <w:rStyle w:val="16"/>
          <w:b/>
        </w:rPr>
        <w:t>5　岩土工程设计</w:t>
      </w:r>
      <w:r>
        <w:rPr>
          <w:b/>
        </w:rPr>
        <w:tab/>
      </w:r>
      <w:r>
        <w:rPr>
          <w:b/>
        </w:rPr>
        <w:fldChar w:fldCharType="begin"/>
      </w:r>
      <w:r>
        <w:rPr>
          <w:b/>
        </w:rPr>
        <w:instrText xml:space="preserve"> PAGEREF _Toc193392115 \h </w:instrText>
      </w:r>
      <w:r>
        <w:rPr>
          <w:b/>
        </w:rPr>
        <w:fldChar w:fldCharType="separate"/>
      </w:r>
      <w:r>
        <w:rPr>
          <w:b/>
        </w:rPr>
        <w:t>104</w:t>
      </w:r>
      <w:r>
        <w:rPr>
          <w:b/>
        </w:rPr>
        <w:fldChar w:fldCharType="end"/>
      </w:r>
      <w:r>
        <w:rPr>
          <w:b/>
        </w:rPr>
        <w:fldChar w:fldCharType="end"/>
      </w:r>
    </w:p>
    <w:p w14:paraId="6F24A816">
      <w:pPr>
        <w:pStyle w:val="11"/>
        <w:tabs>
          <w:tab w:val="right" w:leader="dot" w:pos="8494"/>
        </w:tabs>
        <w:ind w:left="480"/>
        <w:rPr>
          <w:color w:val="auto"/>
          <w:kern w:val="2"/>
          <w:sz w:val="21"/>
          <w:szCs w:val="22"/>
        </w:rPr>
      </w:pPr>
      <w:r>
        <w:fldChar w:fldCharType="begin"/>
      </w:r>
      <w:r>
        <w:instrText xml:space="preserve"> HYPERLINK \l "_Toc193392116" </w:instrText>
      </w:r>
      <w:r>
        <w:fldChar w:fldCharType="separate"/>
      </w:r>
      <w:r>
        <w:rPr>
          <w:rStyle w:val="16"/>
          <w:bCs/>
        </w:rPr>
        <w:t>5.1　一般规定</w:t>
      </w:r>
      <w:r>
        <w:tab/>
      </w:r>
      <w:r>
        <w:fldChar w:fldCharType="begin"/>
      </w:r>
      <w:r>
        <w:instrText xml:space="preserve"> PAGEREF _Toc193392116 \h </w:instrText>
      </w:r>
      <w:r>
        <w:fldChar w:fldCharType="separate"/>
      </w:r>
      <w:r>
        <w:t>104</w:t>
      </w:r>
      <w:r>
        <w:fldChar w:fldCharType="end"/>
      </w:r>
      <w:r>
        <w:fldChar w:fldCharType="end"/>
      </w:r>
    </w:p>
    <w:p w14:paraId="737F1CDA">
      <w:pPr>
        <w:pStyle w:val="11"/>
        <w:tabs>
          <w:tab w:val="right" w:leader="dot" w:pos="8494"/>
        </w:tabs>
        <w:ind w:left="480"/>
        <w:rPr>
          <w:color w:val="auto"/>
          <w:kern w:val="2"/>
          <w:sz w:val="21"/>
          <w:szCs w:val="22"/>
        </w:rPr>
      </w:pPr>
      <w:r>
        <w:fldChar w:fldCharType="begin"/>
      </w:r>
      <w:r>
        <w:instrText xml:space="preserve"> HYPERLINK \l "_Toc193392117" </w:instrText>
      </w:r>
      <w:r>
        <w:fldChar w:fldCharType="separate"/>
      </w:r>
      <w:r>
        <w:rPr>
          <w:rStyle w:val="16"/>
          <w:bCs/>
        </w:rPr>
        <w:t>5.2　综合管廊明挖段岩土工程设计</w:t>
      </w:r>
      <w:r>
        <w:tab/>
      </w:r>
      <w:r>
        <w:fldChar w:fldCharType="begin"/>
      </w:r>
      <w:r>
        <w:instrText xml:space="preserve"> PAGEREF _Toc193392117 \h </w:instrText>
      </w:r>
      <w:r>
        <w:fldChar w:fldCharType="separate"/>
      </w:r>
      <w:r>
        <w:t>106</w:t>
      </w:r>
      <w:r>
        <w:fldChar w:fldCharType="end"/>
      </w:r>
      <w:r>
        <w:fldChar w:fldCharType="end"/>
      </w:r>
    </w:p>
    <w:p w14:paraId="52E9631D">
      <w:pPr>
        <w:pStyle w:val="10"/>
        <w:tabs>
          <w:tab w:val="right" w:leader="dot" w:pos="8494"/>
        </w:tabs>
        <w:rPr>
          <w:b/>
          <w:color w:val="auto"/>
          <w:kern w:val="2"/>
          <w:sz w:val="21"/>
          <w:szCs w:val="22"/>
        </w:rPr>
      </w:pPr>
      <w:r>
        <w:fldChar w:fldCharType="begin"/>
      </w:r>
      <w:r>
        <w:instrText xml:space="preserve"> HYPERLINK \l "_Toc193392118" </w:instrText>
      </w:r>
      <w:r>
        <w:fldChar w:fldCharType="separate"/>
      </w:r>
      <w:r>
        <w:rPr>
          <w:rStyle w:val="16"/>
          <w:b/>
        </w:rPr>
        <w:t>6　岩土工程施工</w:t>
      </w:r>
      <w:r>
        <w:rPr>
          <w:b/>
        </w:rPr>
        <w:tab/>
      </w:r>
      <w:r>
        <w:rPr>
          <w:b/>
        </w:rPr>
        <w:fldChar w:fldCharType="begin"/>
      </w:r>
      <w:r>
        <w:rPr>
          <w:b/>
        </w:rPr>
        <w:instrText xml:space="preserve"> PAGEREF _Toc193392118 \h </w:instrText>
      </w:r>
      <w:r>
        <w:rPr>
          <w:b/>
        </w:rPr>
        <w:fldChar w:fldCharType="separate"/>
      </w:r>
      <w:r>
        <w:rPr>
          <w:b/>
        </w:rPr>
        <w:t>107</w:t>
      </w:r>
      <w:r>
        <w:rPr>
          <w:b/>
        </w:rPr>
        <w:fldChar w:fldCharType="end"/>
      </w:r>
      <w:r>
        <w:rPr>
          <w:b/>
        </w:rPr>
        <w:fldChar w:fldCharType="end"/>
      </w:r>
    </w:p>
    <w:p w14:paraId="5413ACED">
      <w:pPr>
        <w:pStyle w:val="11"/>
        <w:tabs>
          <w:tab w:val="right" w:leader="dot" w:pos="8494"/>
        </w:tabs>
        <w:ind w:left="480"/>
        <w:rPr>
          <w:color w:val="auto"/>
          <w:kern w:val="2"/>
          <w:sz w:val="21"/>
          <w:szCs w:val="22"/>
        </w:rPr>
      </w:pPr>
      <w:r>
        <w:fldChar w:fldCharType="begin"/>
      </w:r>
      <w:r>
        <w:instrText xml:space="preserve"> HYPERLINK \l "_Toc193392119" </w:instrText>
      </w:r>
      <w:r>
        <w:fldChar w:fldCharType="separate"/>
      </w:r>
      <w:r>
        <w:rPr>
          <w:rStyle w:val="16"/>
          <w:bCs/>
        </w:rPr>
        <w:t>6.1　一般规定</w:t>
      </w:r>
      <w:r>
        <w:tab/>
      </w:r>
      <w:r>
        <w:fldChar w:fldCharType="begin"/>
      </w:r>
      <w:r>
        <w:instrText xml:space="preserve"> PAGEREF _Toc193392119 \h </w:instrText>
      </w:r>
      <w:r>
        <w:fldChar w:fldCharType="separate"/>
      </w:r>
      <w:r>
        <w:t>107</w:t>
      </w:r>
      <w:r>
        <w:fldChar w:fldCharType="end"/>
      </w:r>
      <w:r>
        <w:fldChar w:fldCharType="end"/>
      </w:r>
    </w:p>
    <w:p w14:paraId="6D5181E5">
      <w:pPr>
        <w:pStyle w:val="11"/>
        <w:tabs>
          <w:tab w:val="right" w:leader="dot" w:pos="8494"/>
        </w:tabs>
        <w:ind w:left="480"/>
        <w:rPr>
          <w:color w:val="auto"/>
          <w:kern w:val="2"/>
          <w:sz w:val="21"/>
          <w:szCs w:val="22"/>
        </w:rPr>
      </w:pPr>
      <w:r>
        <w:fldChar w:fldCharType="begin"/>
      </w:r>
      <w:r>
        <w:instrText xml:space="preserve"> HYPERLINK \l "_Toc193392120" </w:instrText>
      </w:r>
      <w:r>
        <w:fldChar w:fldCharType="separate"/>
      </w:r>
      <w:r>
        <w:rPr>
          <w:rStyle w:val="16"/>
          <w:bCs/>
        </w:rPr>
        <w:t>6.2　基坑支护施工</w:t>
      </w:r>
      <w:r>
        <w:tab/>
      </w:r>
      <w:r>
        <w:fldChar w:fldCharType="begin"/>
      </w:r>
      <w:r>
        <w:instrText xml:space="preserve"> PAGEREF _Toc193392120 \h </w:instrText>
      </w:r>
      <w:r>
        <w:fldChar w:fldCharType="separate"/>
      </w:r>
      <w:r>
        <w:t>107</w:t>
      </w:r>
      <w:r>
        <w:fldChar w:fldCharType="end"/>
      </w:r>
      <w:r>
        <w:fldChar w:fldCharType="end"/>
      </w:r>
    </w:p>
    <w:p w14:paraId="2C2E1741">
      <w:pPr>
        <w:pStyle w:val="11"/>
        <w:tabs>
          <w:tab w:val="right" w:leader="dot" w:pos="8494"/>
        </w:tabs>
        <w:ind w:left="480"/>
        <w:rPr>
          <w:color w:val="auto"/>
          <w:kern w:val="2"/>
          <w:sz w:val="21"/>
          <w:szCs w:val="22"/>
        </w:rPr>
      </w:pPr>
      <w:r>
        <w:fldChar w:fldCharType="begin"/>
      </w:r>
      <w:r>
        <w:instrText xml:space="preserve"> HYPERLINK \l "_Toc193392121" </w:instrText>
      </w:r>
      <w:r>
        <w:fldChar w:fldCharType="separate"/>
      </w:r>
      <w:r>
        <w:rPr>
          <w:rStyle w:val="16"/>
          <w:bCs/>
        </w:rPr>
        <w:t>6.3　地基处理施工</w:t>
      </w:r>
      <w:r>
        <w:tab/>
      </w:r>
      <w:r>
        <w:fldChar w:fldCharType="begin"/>
      </w:r>
      <w:r>
        <w:instrText xml:space="preserve"> PAGEREF _Toc193392121 \h </w:instrText>
      </w:r>
      <w:r>
        <w:fldChar w:fldCharType="separate"/>
      </w:r>
      <w:r>
        <w:t>111</w:t>
      </w:r>
      <w:r>
        <w:fldChar w:fldCharType="end"/>
      </w:r>
      <w:r>
        <w:fldChar w:fldCharType="end"/>
      </w:r>
    </w:p>
    <w:p w14:paraId="29612019">
      <w:pPr>
        <w:pStyle w:val="11"/>
        <w:tabs>
          <w:tab w:val="right" w:leader="dot" w:pos="8494"/>
        </w:tabs>
        <w:ind w:left="480"/>
        <w:rPr>
          <w:color w:val="auto"/>
          <w:kern w:val="2"/>
          <w:sz w:val="21"/>
          <w:szCs w:val="22"/>
        </w:rPr>
      </w:pPr>
      <w:r>
        <w:fldChar w:fldCharType="begin"/>
      </w:r>
      <w:r>
        <w:instrText xml:space="preserve"> HYPERLINK \l "_Toc193392122" </w:instrText>
      </w:r>
      <w:r>
        <w:fldChar w:fldCharType="separate"/>
      </w:r>
      <w:r>
        <w:rPr>
          <w:rStyle w:val="16"/>
          <w:bCs/>
        </w:rPr>
        <w:t>6.4　地下水控制施工</w:t>
      </w:r>
      <w:r>
        <w:tab/>
      </w:r>
      <w:r>
        <w:fldChar w:fldCharType="begin"/>
      </w:r>
      <w:r>
        <w:instrText xml:space="preserve"> PAGEREF _Toc193392122 \h </w:instrText>
      </w:r>
      <w:r>
        <w:fldChar w:fldCharType="separate"/>
      </w:r>
      <w:r>
        <w:t>112</w:t>
      </w:r>
      <w:r>
        <w:fldChar w:fldCharType="end"/>
      </w:r>
      <w:r>
        <w:fldChar w:fldCharType="end"/>
      </w:r>
    </w:p>
    <w:p w14:paraId="5E291A87">
      <w:pPr>
        <w:pStyle w:val="11"/>
        <w:tabs>
          <w:tab w:val="right" w:leader="dot" w:pos="8494"/>
        </w:tabs>
        <w:ind w:left="480"/>
        <w:rPr>
          <w:color w:val="auto"/>
          <w:kern w:val="2"/>
          <w:sz w:val="21"/>
          <w:szCs w:val="22"/>
        </w:rPr>
      </w:pPr>
      <w:r>
        <w:fldChar w:fldCharType="begin"/>
      </w:r>
      <w:r>
        <w:instrText xml:space="preserve"> HYPERLINK \l "_Toc193392123" </w:instrText>
      </w:r>
      <w:r>
        <w:fldChar w:fldCharType="separate"/>
      </w:r>
      <w:r>
        <w:rPr>
          <w:rStyle w:val="16"/>
          <w:bCs/>
        </w:rPr>
        <w:t>6.5　土方施工</w:t>
      </w:r>
      <w:r>
        <w:tab/>
      </w:r>
      <w:r>
        <w:fldChar w:fldCharType="begin"/>
      </w:r>
      <w:r>
        <w:instrText xml:space="preserve"> PAGEREF _Toc193392123 \h </w:instrText>
      </w:r>
      <w:r>
        <w:fldChar w:fldCharType="separate"/>
      </w:r>
      <w:r>
        <w:t>113</w:t>
      </w:r>
      <w:r>
        <w:fldChar w:fldCharType="end"/>
      </w:r>
      <w:r>
        <w:fldChar w:fldCharType="end"/>
      </w:r>
    </w:p>
    <w:p w14:paraId="354EE8F8">
      <w:pPr>
        <w:pStyle w:val="10"/>
        <w:tabs>
          <w:tab w:val="right" w:leader="dot" w:pos="8494"/>
        </w:tabs>
        <w:rPr>
          <w:b/>
          <w:color w:val="auto"/>
          <w:kern w:val="2"/>
          <w:sz w:val="21"/>
          <w:szCs w:val="22"/>
        </w:rPr>
      </w:pPr>
      <w:r>
        <w:fldChar w:fldCharType="begin"/>
      </w:r>
      <w:r>
        <w:instrText xml:space="preserve"> HYPERLINK \l "_Toc193392124" </w:instrText>
      </w:r>
      <w:r>
        <w:fldChar w:fldCharType="separate"/>
      </w:r>
      <w:r>
        <w:rPr>
          <w:rStyle w:val="16"/>
          <w:b/>
        </w:rPr>
        <w:t>7　岩土工程监测</w:t>
      </w:r>
      <w:r>
        <w:rPr>
          <w:b/>
        </w:rPr>
        <w:tab/>
      </w:r>
      <w:r>
        <w:rPr>
          <w:b/>
        </w:rPr>
        <w:fldChar w:fldCharType="begin"/>
      </w:r>
      <w:r>
        <w:rPr>
          <w:b/>
        </w:rPr>
        <w:instrText xml:space="preserve"> PAGEREF _Toc193392124 \h </w:instrText>
      </w:r>
      <w:r>
        <w:rPr>
          <w:b/>
        </w:rPr>
        <w:fldChar w:fldCharType="separate"/>
      </w:r>
      <w:r>
        <w:rPr>
          <w:b/>
        </w:rPr>
        <w:t>114</w:t>
      </w:r>
      <w:r>
        <w:rPr>
          <w:b/>
        </w:rPr>
        <w:fldChar w:fldCharType="end"/>
      </w:r>
      <w:r>
        <w:rPr>
          <w:b/>
        </w:rPr>
        <w:fldChar w:fldCharType="end"/>
      </w:r>
    </w:p>
    <w:p w14:paraId="395FBAA1">
      <w:pPr>
        <w:pStyle w:val="11"/>
        <w:tabs>
          <w:tab w:val="right" w:leader="dot" w:pos="8494"/>
        </w:tabs>
        <w:ind w:left="480"/>
        <w:rPr>
          <w:color w:val="auto"/>
          <w:kern w:val="2"/>
          <w:sz w:val="21"/>
          <w:szCs w:val="22"/>
        </w:rPr>
      </w:pPr>
      <w:r>
        <w:fldChar w:fldCharType="begin"/>
      </w:r>
      <w:r>
        <w:instrText xml:space="preserve"> HYPERLINK \l "_Toc193392125" </w:instrText>
      </w:r>
      <w:r>
        <w:fldChar w:fldCharType="separate"/>
      </w:r>
      <w:r>
        <w:rPr>
          <w:rStyle w:val="16"/>
          <w:bCs/>
        </w:rPr>
        <w:t>7.1　一般规定</w:t>
      </w:r>
      <w:r>
        <w:tab/>
      </w:r>
      <w:r>
        <w:fldChar w:fldCharType="begin"/>
      </w:r>
      <w:r>
        <w:instrText xml:space="preserve"> PAGEREF _Toc193392125 \h </w:instrText>
      </w:r>
      <w:r>
        <w:fldChar w:fldCharType="separate"/>
      </w:r>
      <w:r>
        <w:t>114</w:t>
      </w:r>
      <w:r>
        <w:fldChar w:fldCharType="end"/>
      </w:r>
      <w:r>
        <w:fldChar w:fldCharType="end"/>
      </w:r>
    </w:p>
    <w:p w14:paraId="78B3B87F">
      <w:pPr>
        <w:pStyle w:val="11"/>
        <w:tabs>
          <w:tab w:val="right" w:leader="dot" w:pos="8494"/>
        </w:tabs>
        <w:ind w:left="480"/>
        <w:rPr>
          <w:color w:val="auto"/>
          <w:kern w:val="2"/>
          <w:sz w:val="21"/>
          <w:szCs w:val="22"/>
        </w:rPr>
      </w:pPr>
      <w:r>
        <w:fldChar w:fldCharType="begin"/>
      </w:r>
      <w:r>
        <w:instrText xml:space="preserve"> HYPERLINK \l "_Toc193392126" </w:instrText>
      </w:r>
      <w:r>
        <w:fldChar w:fldCharType="separate"/>
      </w:r>
      <w:r>
        <w:rPr>
          <w:rStyle w:val="16"/>
          <w:bCs/>
        </w:rPr>
        <w:t>7.2　监测项目</w:t>
      </w:r>
      <w:r>
        <w:tab/>
      </w:r>
      <w:r>
        <w:fldChar w:fldCharType="begin"/>
      </w:r>
      <w:r>
        <w:instrText xml:space="preserve"> PAGEREF _Toc193392126 \h </w:instrText>
      </w:r>
      <w:r>
        <w:fldChar w:fldCharType="separate"/>
      </w:r>
      <w:r>
        <w:t>114</w:t>
      </w:r>
      <w:r>
        <w:fldChar w:fldCharType="end"/>
      </w:r>
      <w:r>
        <w:fldChar w:fldCharType="end"/>
      </w:r>
    </w:p>
    <w:p w14:paraId="605AE67D">
      <w:pPr>
        <w:pStyle w:val="11"/>
        <w:tabs>
          <w:tab w:val="right" w:leader="dot" w:pos="8494"/>
        </w:tabs>
        <w:ind w:left="480"/>
        <w:rPr>
          <w:color w:val="auto"/>
          <w:kern w:val="2"/>
          <w:sz w:val="21"/>
          <w:szCs w:val="22"/>
        </w:rPr>
      </w:pPr>
      <w:r>
        <w:fldChar w:fldCharType="begin"/>
      </w:r>
      <w:r>
        <w:instrText xml:space="preserve"> HYPERLINK \l "_Toc193392127" </w:instrText>
      </w:r>
      <w:r>
        <w:fldChar w:fldCharType="separate"/>
      </w:r>
      <w:r>
        <w:rPr>
          <w:rStyle w:val="16"/>
          <w:bCs/>
        </w:rPr>
        <w:t>7.3　监测点布置</w:t>
      </w:r>
      <w:r>
        <w:tab/>
      </w:r>
      <w:r>
        <w:fldChar w:fldCharType="begin"/>
      </w:r>
      <w:r>
        <w:instrText xml:space="preserve"> PAGEREF _Toc193392127 \h </w:instrText>
      </w:r>
      <w:r>
        <w:fldChar w:fldCharType="separate"/>
      </w:r>
      <w:r>
        <w:t>115</w:t>
      </w:r>
      <w:r>
        <w:fldChar w:fldCharType="end"/>
      </w:r>
      <w:r>
        <w:fldChar w:fldCharType="end"/>
      </w:r>
    </w:p>
    <w:p w14:paraId="60AE795D">
      <w:pPr>
        <w:pStyle w:val="11"/>
        <w:tabs>
          <w:tab w:val="right" w:leader="dot" w:pos="8494"/>
        </w:tabs>
        <w:ind w:left="480"/>
        <w:rPr>
          <w:color w:val="auto"/>
          <w:kern w:val="2"/>
          <w:sz w:val="21"/>
          <w:szCs w:val="22"/>
        </w:rPr>
      </w:pPr>
      <w:r>
        <w:fldChar w:fldCharType="begin"/>
      </w:r>
      <w:r>
        <w:instrText xml:space="preserve"> HYPERLINK \l "_Toc193392128" </w:instrText>
      </w:r>
      <w:r>
        <w:fldChar w:fldCharType="separate"/>
      </w:r>
      <w:r>
        <w:rPr>
          <w:rStyle w:val="16"/>
          <w:bCs/>
        </w:rPr>
        <w:t>7.4　监测方法及监测频率</w:t>
      </w:r>
      <w:r>
        <w:tab/>
      </w:r>
      <w:r>
        <w:fldChar w:fldCharType="begin"/>
      </w:r>
      <w:r>
        <w:instrText xml:space="preserve"> PAGEREF _Toc193392128 \h </w:instrText>
      </w:r>
      <w:r>
        <w:fldChar w:fldCharType="separate"/>
      </w:r>
      <w:r>
        <w:t>115</w:t>
      </w:r>
      <w:r>
        <w:fldChar w:fldCharType="end"/>
      </w:r>
      <w:r>
        <w:fldChar w:fldCharType="end"/>
      </w:r>
    </w:p>
    <w:p w14:paraId="138EE084">
      <w:pPr>
        <w:pStyle w:val="11"/>
        <w:tabs>
          <w:tab w:val="right" w:leader="dot" w:pos="8494"/>
        </w:tabs>
        <w:ind w:left="480"/>
        <w:rPr>
          <w:color w:val="auto"/>
          <w:kern w:val="2"/>
          <w:sz w:val="21"/>
          <w:szCs w:val="22"/>
        </w:rPr>
      </w:pPr>
      <w:r>
        <w:fldChar w:fldCharType="begin"/>
      </w:r>
      <w:r>
        <w:instrText xml:space="preserve"> HYPERLINK \l "_Toc193392129" </w:instrText>
      </w:r>
      <w:r>
        <w:fldChar w:fldCharType="separate"/>
      </w:r>
      <w:r>
        <w:rPr>
          <w:rStyle w:val="16"/>
          <w:bCs/>
        </w:rPr>
        <w:t>7.5　监测预警值和控制值</w:t>
      </w:r>
      <w:r>
        <w:tab/>
      </w:r>
      <w:r>
        <w:fldChar w:fldCharType="begin"/>
      </w:r>
      <w:r>
        <w:instrText xml:space="preserve"> PAGEREF _Toc193392129 \h </w:instrText>
      </w:r>
      <w:r>
        <w:fldChar w:fldCharType="separate"/>
      </w:r>
      <w:r>
        <w:t>116</w:t>
      </w:r>
      <w:r>
        <w:fldChar w:fldCharType="end"/>
      </w:r>
      <w:r>
        <w:fldChar w:fldCharType="end"/>
      </w:r>
    </w:p>
    <w:p w14:paraId="4C1DF6E8">
      <w:pPr>
        <w:pStyle w:val="10"/>
        <w:tabs>
          <w:tab w:val="right" w:leader="dot" w:pos="8494"/>
        </w:tabs>
        <w:rPr>
          <w:b/>
          <w:color w:val="auto"/>
          <w:kern w:val="2"/>
          <w:sz w:val="21"/>
          <w:szCs w:val="22"/>
        </w:rPr>
      </w:pPr>
      <w:r>
        <w:fldChar w:fldCharType="begin"/>
      </w:r>
      <w:r>
        <w:instrText xml:space="preserve"> HYPERLINK \l "_Toc193392130" </w:instrText>
      </w:r>
      <w:r>
        <w:fldChar w:fldCharType="separate"/>
      </w:r>
      <w:r>
        <w:rPr>
          <w:rStyle w:val="16"/>
          <w:b/>
        </w:rPr>
        <w:t>8　岩土工程检验与检测</w:t>
      </w:r>
      <w:r>
        <w:rPr>
          <w:b/>
        </w:rPr>
        <w:tab/>
      </w:r>
      <w:r>
        <w:rPr>
          <w:b/>
        </w:rPr>
        <w:fldChar w:fldCharType="begin"/>
      </w:r>
      <w:r>
        <w:rPr>
          <w:b/>
        </w:rPr>
        <w:instrText xml:space="preserve"> PAGEREF _Toc193392130 \h </w:instrText>
      </w:r>
      <w:r>
        <w:rPr>
          <w:b/>
        </w:rPr>
        <w:fldChar w:fldCharType="separate"/>
      </w:r>
      <w:r>
        <w:rPr>
          <w:b/>
        </w:rPr>
        <w:t>117</w:t>
      </w:r>
      <w:r>
        <w:rPr>
          <w:b/>
        </w:rPr>
        <w:fldChar w:fldCharType="end"/>
      </w:r>
      <w:r>
        <w:rPr>
          <w:b/>
        </w:rPr>
        <w:fldChar w:fldCharType="end"/>
      </w:r>
    </w:p>
    <w:p w14:paraId="531EF247">
      <w:pPr>
        <w:pStyle w:val="11"/>
        <w:tabs>
          <w:tab w:val="right" w:leader="dot" w:pos="8494"/>
        </w:tabs>
        <w:ind w:left="480"/>
        <w:rPr>
          <w:color w:val="auto"/>
          <w:kern w:val="2"/>
          <w:sz w:val="21"/>
          <w:szCs w:val="22"/>
        </w:rPr>
      </w:pPr>
      <w:r>
        <w:fldChar w:fldCharType="begin"/>
      </w:r>
      <w:r>
        <w:instrText xml:space="preserve"> HYPERLINK \l "_Toc193392131" </w:instrText>
      </w:r>
      <w:r>
        <w:fldChar w:fldCharType="separate"/>
      </w:r>
      <w:r>
        <w:rPr>
          <w:rStyle w:val="16"/>
          <w:bCs/>
        </w:rPr>
        <w:t>8.1　一般规定</w:t>
      </w:r>
      <w:r>
        <w:tab/>
      </w:r>
      <w:r>
        <w:fldChar w:fldCharType="begin"/>
      </w:r>
      <w:r>
        <w:instrText xml:space="preserve"> PAGEREF _Toc193392131 \h </w:instrText>
      </w:r>
      <w:r>
        <w:fldChar w:fldCharType="separate"/>
      </w:r>
      <w:r>
        <w:t>117</w:t>
      </w:r>
      <w:r>
        <w:fldChar w:fldCharType="end"/>
      </w:r>
      <w:r>
        <w:fldChar w:fldCharType="end"/>
      </w:r>
    </w:p>
    <w:p w14:paraId="06A4A0D9">
      <w:pPr>
        <w:snapToGrid w:val="0"/>
        <w:ind w:firstLine="0"/>
        <w:rPr>
          <w:rStyle w:val="21"/>
          <w:rFonts w:ascii="Times New Roman"/>
          <w:b/>
          <w:bCs/>
          <w:sz w:val="30"/>
          <w:szCs w:val="30"/>
        </w:rPr>
      </w:pPr>
      <w:r>
        <w:rPr>
          <w:bCs/>
          <w:szCs w:val="30"/>
        </w:rPr>
        <w:fldChar w:fldCharType="end"/>
      </w:r>
    </w:p>
    <w:p w14:paraId="17CF9CA8">
      <w:pPr>
        <w:rPr>
          <w:rStyle w:val="21"/>
          <w:rFonts w:ascii="Times New Roman"/>
          <w:b/>
          <w:bCs/>
          <w:sz w:val="30"/>
          <w:szCs w:val="30"/>
        </w:rPr>
        <w:sectPr>
          <w:pgSz w:w="11906" w:h="16838"/>
          <w:pgMar w:top="1984" w:right="1701" w:bottom="1701" w:left="1701" w:header="1701" w:footer="1417" w:gutter="0"/>
          <w:cols w:space="0" w:num="1"/>
          <w:docGrid w:type="lines" w:linePitch="328" w:charSpace="0"/>
        </w:sectPr>
      </w:pPr>
    </w:p>
    <w:p w14:paraId="219D06AC">
      <w:pPr>
        <w:pStyle w:val="20"/>
        <w:widowControl w:val="0"/>
        <w:ind w:firstLine="0" w:firstLineChars="0"/>
        <w:jc w:val="center"/>
        <w:rPr>
          <w:rFonts w:ascii="Times New Roman"/>
        </w:rPr>
      </w:pPr>
    </w:p>
    <w:p w14:paraId="3220B317"/>
    <w:p w14:paraId="2B82A405">
      <w:pPr>
        <w:pStyle w:val="19"/>
        <w:widowControl w:val="0"/>
        <w:spacing w:before="328" w:beforeLines="100" w:after="328" w:afterLines="100" w:line="360" w:lineRule="auto"/>
        <w:jc w:val="center"/>
        <w:outlineLvl w:val="0"/>
        <w:rPr>
          <w:rFonts w:ascii="Times New Roman" w:eastAsia="宋体"/>
          <w:b/>
          <w:sz w:val="32"/>
          <w:szCs w:val="32"/>
        </w:rPr>
      </w:pPr>
      <w:bookmarkStart w:id="801" w:name="_Toc13451"/>
      <w:bookmarkStart w:id="802" w:name="_Toc25777"/>
      <w:bookmarkStart w:id="803" w:name="_Toc21919"/>
      <w:bookmarkStart w:id="804" w:name="_Toc8460"/>
      <w:bookmarkStart w:id="805" w:name="_Toc2458"/>
      <w:bookmarkStart w:id="806" w:name="_Toc11400"/>
      <w:bookmarkStart w:id="807" w:name="_Toc25730"/>
      <w:bookmarkStart w:id="808" w:name="_Toc193392106"/>
      <w:bookmarkStart w:id="809" w:name="_Toc15229"/>
      <w:bookmarkStart w:id="810" w:name="_Toc12412"/>
      <w:bookmarkStart w:id="811" w:name="_Toc29961"/>
      <w:bookmarkStart w:id="812" w:name="_Toc30633"/>
      <w:bookmarkStart w:id="813" w:name="_Toc10056"/>
      <w:r>
        <w:rPr>
          <w:rFonts w:ascii="Times New Roman" w:eastAsia="宋体"/>
          <w:b/>
          <w:sz w:val="32"/>
          <w:szCs w:val="32"/>
        </w:rPr>
        <w:t>1　总　　则</w:t>
      </w:r>
      <w:bookmarkEnd w:id="801"/>
      <w:bookmarkEnd w:id="802"/>
      <w:bookmarkEnd w:id="803"/>
      <w:bookmarkEnd w:id="804"/>
      <w:bookmarkEnd w:id="805"/>
      <w:bookmarkEnd w:id="806"/>
      <w:bookmarkEnd w:id="807"/>
      <w:bookmarkEnd w:id="808"/>
      <w:bookmarkEnd w:id="809"/>
      <w:bookmarkEnd w:id="810"/>
      <w:bookmarkEnd w:id="811"/>
      <w:bookmarkEnd w:id="812"/>
      <w:bookmarkEnd w:id="813"/>
    </w:p>
    <w:p w14:paraId="75EA284E"/>
    <w:p w14:paraId="34749F58">
      <w:pPr>
        <w:ind w:firstLine="0"/>
      </w:pPr>
      <w:r>
        <w:rPr>
          <w:b/>
          <w:bCs/>
        </w:rPr>
        <w:t>1.0.3　</w:t>
      </w:r>
      <w:r>
        <w:t>根据《建设工程勘察设计管理条例》（中华人民共和国国务院令第293号）第四条，从事建设工程勘察、设计活动，应当坚持先勘察、后设计、再施工的原则。</w:t>
      </w:r>
    </w:p>
    <w:p w14:paraId="1E2B287E">
      <w:pPr>
        <w:ind w:firstLine="0"/>
      </w:pPr>
      <w:r>
        <w:rPr>
          <w:b/>
          <w:bCs/>
        </w:rPr>
        <w:t>1.0.4　</w:t>
      </w:r>
      <w:r>
        <w:t>综合管廊工程建设应遵循“规划先行、适度超前、因地制宜、统筹兼顾”的原则，充分发挥综合管廊工程的综合效益。综合管廊岩土工程建设应与其原则相匹配，要综合考虑管廊的结构特点，结合周边环境条件，采用先进的岩土工程施工工艺和工法，确保工程及周边环境安全，保障管廊工程全生命周期建设与运维。</w:t>
      </w:r>
    </w:p>
    <w:p w14:paraId="19DEE279">
      <w:pPr>
        <w:ind w:firstLine="0"/>
      </w:pPr>
      <w:r>
        <w:rPr>
          <w:b/>
          <w:bCs/>
        </w:rPr>
        <w:t>1.0.5　</w:t>
      </w:r>
      <w:r>
        <w:t>各规范分工不同，本规程不能将综合管廊岩土工程勘察、设计和施工中的遇到的所有技术问题全部涵盖，岩土工程技术人员在进行工作时，还需遵守其他有关规范的规定。</w:t>
      </w:r>
    </w:p>
    <w:p w14:paraId="5C9A1BA9">
      <w:r>
        <w:br w:type="page"/>
      </w:r>
    </w:p>
    <w:p w14:paraId="0AA073E4"/>
    <w:p w14:paraId="0DE21FF7"/>
    <w:p w14:paraId="73431899">
      <w:pPr>
        <w:pStyle w:val="19"/>
        <w:widowControl w:val="0"/>
        <w:spacing w:before="328" w:beforeLines="100" w:after="328" w:afterLines="100" w:line="360" w:lineRule="auto"/>
        <w:jc w:val="center"/>
        <w:outlineLvl w:val="0"/>
        <w:rPr>
          <w:rFonts w:ascii="Times New Roman" w:eastAsia="宋体"/>
          <w:b/>
          <w:sz w:val="32"/>
          <w:szCs w:val="32"/>
        </w:rPr>
      </w:pPr>
      <w:bookmarkStart w:id="814" w:name="_Toc18488"/>
      <w:bookmarkStart w:id="815" w:name="_Toc26862"/>
      <w:bookmarkStart w:id="816" w:name="_Toc10898"/>
      <w:bookmarkStart w:id="817" w:name="_Toc7959"/>
      <w:bookmarkStart w:id="818" w:name="_Toc25671"/>
      <w:bookmarkStart w:id="819" w:name="_Toc25220"/>
      <w:bookmarkStart w:id="820" w:name="_Toc10378"/>
      <w:bookmarkStart w:id="821" w:name="_Toc19487"/>
      <w:bookmarkStart w:id="822" w:name="_Toc193392107"/>
      <w:bookmarkStart w:id="823" w:name="_Toc4201"/>
      <w:bookmarkStart w:id="824" w:name="_Toc16859"/>
      <w:bookmarkStart w:id="825" w:name="_Toc3063"/>
      <w:bookmarkStart w:id="826" w:name="_Toc24028"/>
      <w:r>
        <w:rPr>
          <w:rFonts w:ascii="Times New Roman" w:eastAsia="宋体"/>
          <w:b/>
          <w:sz w:val="32"/>
          <w:szCs w:val="32"/>
        </w:rPr>
        <w:t>2　术语和符号</w:t>
      </w:r>
      <w:bookmarkEnd w:id="814"/>
      <w:bookmarkEnd w:id="815"/>
      <w:bookmarkEnd w:id="816"/>
      <w:bookmarkEnd w:id="817"/>
      <w:bookmarkEnd w:id="818"/>
      <w:bookmarkEnd w:id="819"/>
      <w:bookmarkEnd w:id="820"/>
      <w:bookmarkEnd w:id="821"/>
      <w:bookmarkEnd w:id="822"/>
      <w:bookmarkEnd w:id="823"/>
      <w:bookmarkEnd w:id="824"/>
    </w:p>
    <w:bookmarkEnd w:id="825"/>
    <w:bookmarkEnd w:id="826"/>
    <w:p w14:paraId="5EAF86C7">
      <w:pPr>
        <w:ind w:firstLine="0"/>
      </w:pPr>
      <w:r>
        <w:rPr>
          <w:b/>
          <w:bCs/>
        </w:rPr>
        <w:t>2.1.1　</w:t>
      </w:r>
      <w:r>
        <w:t>本条术语定义来源于国家标准《城市综合管廊工程技术规范》GB 50838—2015。</w:t>
      </w:r>
    </w:p>
    <w:p w14:paraId="38857690">
      <w:pPr>
        <w:ind w:firstLine="0"/>
      </w:pPr>
      <w:r>
        <w:rPr>
          <w:b/>
          <w:bCs/>
        </w:rPr>
        <w:t>2.1.10　</w:t>
      </w:r>
      <w:r>
        <w:t>本条术语定义来源于《基坑工程轴力伺服混凝土支撑技术规程》T_ZCEAS 1001-2022。</w:t>
      </w:r>
    </w:p>
    <w:p w14:paraId="05F345C5">
      <w:pPr>
        <w:rPr>
          <w:rStyle w:val="21"/>
          <w:rFonts w:ascii="Times New Roman"/>
          <w:b/>
          <w:bCs/>
          <w:sz w:val="30"/>
          <w:szCs w:val="30"/>
        </w:rPr>
      </w:pPr>
      <w:r>
        <w:rPr>
          <w:rStyle w:val="21"/>
          <w:rFonts w:ascii="Times New Roman"/>
          <w:b/>
          <w:bCs/>
          <w:sz w:val="30"/>
          <w:szCs w:val="30"/>
        </w:rPr>
        <w:br w:type="page"/>
      </w:r>
    </w:p>
    <w:p w14:paraId="5ADD479A">
      <w:pPr>
        <w:ind w:firstLine="0"/>
      </w:pPr>
    </w:p>
    <w:p w14:paraId="3443A13A">
      <w:pPr>
        <w:pStyle w:val="19"/>
        <w:widowControl w:val="0"/>
        <w:spacing w:before="328" w:beforeLines="100" w:after="328" w:afterLines="100" w:line="360" w:lineRule="auto"/>
        <w:jc w:val="center"/>
        <w:outlineLvl w:val="0"/>
        <w:rPr>
          <w:rFonts w:ascii="Times New Roman" w:eastAsia="宋体"/>
          <w:b/>
          <w:sz w:val="32"/>
          <w:szCs w:val="32"/>
        </w:rPr>
      </w:pPr>
      <w:bookmarkStart w:id="827" w:name="_Toc5979"/>
      <w:bookmarkStart w:id="828" w:name="_Toc32383"/>
      <w:bookmarkStart w:id="829" w:name="_Toc31882"/>
      <w:bookmarkStart w:id="830" w:name="_Toc28572"/>
      <w:bookmarkStart w:id="831" w:name="_Toc22385"/>
      <w:bookmarkStart w:id="832" w:name="_Toc396"/>
      <w:bookmarkStart w:id="833" w:name="_Toc1666"/>
      <w:bookmarkStart w:id="834" w:name="_Toc20065"/>
      <w:bookmarkStart w:id="835" w:name="_Toc20037"/>
      <w:bookmarkStart w:id="836" w:name="_Toc813"/>
      <w:bookmarkStart w:id="837" w:name="_Toc193392108"/>
      <w:bookmarkStart w:id="838" w:name="_Toc22890"/>
      <w:bookmarkStart w:id="839" w:name="_Toc25717"/>
      <w:r>
        <w:rPr>
          <w:rFonts w:ascii="Times New Roman" w:eastAsia="宋体"/>
          <w:b/>
          <w:sz w:val="32"/>
          <w:szCs w:val="32"/>
        </w:rPr>
        <w:t>3　基本规定</w:t>
      </w:r>
      <w:bookmarkEnd w:id="827"/>
      <w:bookmarkEnd w:id="828"/>
      <w:bookmarkEnd w:id="829"/>
      <w:bookmarkEnd w:id="830"/>
      <w:bookmarkEnd w:id="831"/>
      <w:bookmarkEnd w:id="832"/>
      <w:bookmarkEnd w:id="833"/>
      <w:bookmarkEnd w:id="834"/>
      <w:bookmarkEnd w:id="835"/>
      <w:bookmarkEnd w:id="836"/>
      <w:bookmarkEnd w:id="837"/>
      <w:bookmarkEnd w:id="838"/>
      <w:bookmarkEnd w:id="839"/>
    </w:p>
    <w:p w14:paraId="4153DB2D">
      <w:pPr>
        <w:keepNext/>
        <w:spacing w:before="328" w:beforeLines="100" w:after="328" w:afterLines="100" w:line="240" w:lineRule="auto"/>
        <w:ind w:firstLine="0"/>
        <w:jc w:val="center"/>
        <w:outlineLvl w:val="1"/>
        <w:rPr>
          <w:rFonts w:eastAsia="黑体"/>
          <w:b/>
          <w:bCs/>
          <w:sz w:val="28"/>
          <w:szCs w:val="28"/>
        </w:rPr>
      </w:pPr>
      <w:bookmarkStart w:id="840" w:name="_Toc31940"/>
      <w:bookmarkStart w:id="841" w:name="_Toc14381"/>
      <w:bookmarkStart w:id="842" w:name="_Toc1551"/>
      <w:bookmarkStart w:id="843" w:name="_Toc19913"/>
      <w:bookmarkStart w:id="844" w:name="_Toc19925"/>
      <w:bookmarkStart w:id="845" w:name="_Toc16042"/>
      <w:bookmarkStart w:id="846" w:name="_Toc20264"/>
      <w:bookmarkStart w:id="847" w:name="_Toc23091"/>
      <w:bookmarkStart w:id="848" w:name="_Toc193392109"/>
      <w:bookmarkStart w:id="849" w:name="_Toc8441"/>
      <w:bookmarkStart w:id="850" w:name="_Toc21224"/>
      <w:bookmarkStart w:id="851" w:name="_Toc1797"/>
      <w:r>
        <w:rPr>
          <w:rFonts w:eastAsia="黑体"/>
          <w:b/>
          <w:bCs/>
          <w:sz w:val="28"/>
          <w:szCs w:val="28"/>
        </w:rPr>
        <w:t>3.1　岩土工程勘察</w:t>
      </w:r>
      <w:bookmarkEnd w:id="840"/>
      <w:bookmarkEnd w:id="841"/>
      <w:bookmarkEnd w:id="842"/>
      <w:bookmarkEnd w:id="843"/>
      <w:bookmarkEnd w:id="844"/>
      <w:bookmarkEnd w:id="845"/>
      <w:bookmarkEnd w:id="846"/>
      <w:bookmarkEnd w:id="847"/>
      <w:bookmarkEnd w:id="848"/>
      <w:bookmarkEnd w:id="849"/>
      <w:bookmarkEnd w:id="850"/>
      <w:bookmarkEnd w:id="851"/>
    </w:p>
    <w:p w14:paraId="46BAA2C5">
      <w:pPr>
        <w:ind w:firstLine="0"/>
      </w:pPr>
      <w:r>
        <w:rPr>
          <w:b/>
          <w:bCs/>
        </w:rPr>
        <w:t>3.1.1　</w:t>
      </w:r>
      <w:r>
        <w:t>根据《建设工程勘察设计管理条例》（中华人民共和国国务院令第293号）第四条，从事建设工程勘察、设计活动，应当坚持先勘察、后设计、再施工的原则。</w:t>
      </w:r>
    </w:p>
    <w:p w14:paraId="362F684E">
      <w:pPr>
        <w:ind w:firstLine="0"/>
      </w:pPr>
      <w:r>
        <w:rPr>
          <w:b/>
          <w:bCs/>
        </w:rPr>
        <w:t>3.1.2　</w:t>
      </w:r>
      <w:r>
        <w:t>城市综合管廊的施工工艺主要有明挖法、顶管法、盾构法、矿山法等，岩土工程勘察工作需结合施工方法进行。</w:t>
      </w:r>
    </w:p>
    <w:p w14:paraId="58516284">
      <w:pPr>
        <w:ind w:firstLine="0"/>
      </w:pPr>
      <w:r>
        <w:rPr>
          <w:b/>
          <w:bCs/>
        </w:rPr>
        <w:t>3.1.3　</w:t>
      </w:r>
      <w:r>
        <w:t>对中小型综合管廊工程，当设计方案基本稳定，场地及岩土条件简单，或已有资料丰富时，勘察工作可适当超前。</w:t>
      </w:r>
    </w:p>
    <w:p w14:paraId="37BC82E0">
      <w:pPr>
        <w:ind w:firstLine="0"/>
      </w:pPr>
      <w:r>
        <w:rPr>
          <w:b/>
          <w:bCs/>
        </w:rPr>
        <w:t>3.1.4　</w:t>
      </w:r>
      <w:r>
        <w:t>中国工程建设标准化协会在2023年9月1日发布了《城市综合管廊岩土工程勘察标准》T/CECS 1324-2023，指导和规范了综合管廊的勘察工作，本规程对综合管廊岩土工程勘察的具体技术细节不做过多赘述。</w:t>
      </w:r>
    </w:p>
    <w:p w14:paraId="54235BD5">
      <w:pPr>
        <w:keepNext/>
        <w:spacing w:before="328" w:beforeLines="100" w:after="328" w:afterLines="100" w:line="240" w:lineRule="auto"/>
        <w:ind w:firstLine="0"/>
        <w:jc w:val="center"/>
        <w:outlineLvl w:val="1"/>
        <w:rPr>
          <w:rFonts w:eastAsia="黑体"/>
          <w:b/>
          <w:bCs/>
          <w:sz w:val="28"/>
          <w:szCs w:val="28"/>
        </w:rPr>
      </w:pPr>
      <w:bookmarkStart w:id="852" w:name="_Toc2970"/>
      <w:bookmarkStart w:id="853" w:name="_Toc28704"/>
      <w:bookmarkStart w:id="854" w:name="_Toc31660"/>
      <w:bookmarkStart w:id="855" w:name="_Toc18715"/>
      <w:bookmarkStart w:id="856" w:name="_Toc193392110"/>
      <w:bookmarkStart w:id="857" w:name="_Toc12433"/>
      <w:bookmarkStart w:id="858" w:name="_Toc8732"/>
      <w:r>
        <w:rPr>
          <w:rFonts w:eastAsia="黑体"/>
          <w:b/>
          <w:bCs/>
          <w:sz w:val="28"/>
          <w:szCs w:val="28"/>
        </w:rPr>
        <w:t>3.3　岩土工程施工</w:t>
      </w:r>
      <w:bookmarkEnd w:id="852"/>
      <w:bookmarkEnd w:id="853"/>
      <w:bookmarkEnd w:id="854"/>
      <w:bookmarkEnd w:id="855"/>
      <w:bookmarkEnd w:id="856"/>
      <w:bookmarkEnd w:id="857"/>
      <w:bookmarkEnd w:id="858"/>
    </w:p>
    <w:p w14:paraId="48F98CF6">
      <w:pPr>
        <w:ind w:firstLine="0"/>
        <w:rPr>
          <w:b/>
          <w:bCs/>
          <w:color w:val="auto"/>
          <w:sz w:val="28"/>
        </w:rPr>
      </w:pPr>
      <w:r>
        <w:rPr>
          <w:b/>
          <w:bCs/>
        </w:rPr>
        <w:t>3.3.1　</w:t>
      </w:r>
      <w:r>
        <w:rPr>
          <w:bCs/>
        </w:rPr>
        <w:t>危险性较大的基坑工程是指开挖深度超过3m（含3m）的基坑（槽）的</w:t>
      </w:r>
      <w:r>
        <w:fldChar w:fldCharType="begin"/>
      </w:r>
      <w:r>
        <w:instrText xml:space="preserve"> HYPERLINK "https://baike.baidu.com/item/%E5%9C%9F%E6%96%B9%E5%BC%80%E6%8C%96/1165301?fromModule=lemma_inlink" \t "https://baike.baidu.com/item/%E5%8D%B1%E9%99%A9%E6%80%A7%E8%BE%83%E5%A4%A7%E7%9A%84%E5%88%86%E9%83%A8%E5%88%86%E9%A1%B9%E5%B7%A5%E7%A8%8B%E8%8C%83%E5%9B%B4/_blank" </w:instrText>
      </w:r>
      <w:r>
        <w:fldChar w:fldCharType="separate"/>
      </w:r>
      <w:r>
        <w:rPr>
          <w:bCs/>
        </w:rPr>
        <w:t>土方开挖</w:t>
      </w:r>
      <w:r>
        <w:rPr>
          <w:bCs/>
        </w:rPr>
        <w:fldChar w:fldCharType="end"/>
      </w:r>
      <w:r>
        <w:rPr>
          <w:bCs/>
        </w:rPr>
        <w:t>、支护、</w:t>
      </w:r>
      <w:r>
        <w:fldChar w:fldCharType="begin"/>
      </w:r>
      <w:r>
        <w:instrText xml:space="preserve"> HYPERLINK "https://baike.baidu.com/item/%E9%99%8D%E6%B0%B4%E5%B7%A5%E7%A8%8B/4824680?fromModule=lemma_inlink" \t "https://baike.baidu.com/item/%E5%8D%B1%E9%99%A9%E6%80%A7%E8%BE%83%E5%A4%A7%E7%9A%84%E5%88%86%E9%83%A8%E5%88%86%E9%A1%B9%E5%B7%A5%E7%A8%8B%E8%8C%83%E5%9B%B4/_blank" </w:instrText>
      </w:r>
      <w:r>
        <w:fldChar w:fldCharType="separate"/>
      </w:r>
      <w:r>
        <w:rPr>
          <w:bCs/>
        </w:rPr>
        <w:t>降水工程</w:t>
      </w:r>
      <w:r>
        <w:rPr>
          <w:bCs/>
        </w:rPr>
        <w:fldChar w:fldCharType="end"/>
      </w:r>
      <w:r>
        <w:rPr>
          <w:bCs/>
        </w:rPr>
        <w:t>；开挖深度虽未超过3m，但地质条件、</w:t>
      </w:r>
      <w:r>
        <w:fldChar w:fldCharType="begin"/>
      </w:r>
      <w:r>
        <w:instrText xml:space="preserve"> HYPERLINK "https://baike.baidu.com/item/%E5%91%A8%E5%9B%B4%E7%8E%AF%E5%A2%83/53441947?fromModule=lemma_inlink" \t "https://baike.baidu.com/item/%E5%8D%B1%E9%99%A9%E6%80%A7%E8%BE%83%E5%A4%A7%E7%9A%84%E5%88%86%E9%83%A8%E5%88%86%E9%A1%B9%E5%B7%A5%E7%A8%8B%E8%8C%83%E5%9B%B4/_blank" </w:instrText>
      </w:r>
      <w:r>
        <w:fldChar w:fldCharType="separate"/>
      </w:r>
      <w:r>
        <w:rPr>
          <w:bCs/>
        </w:rPr>
        <w:t>周围环境</w:t>
      </w:r>
      <w:r>
        <w:rPr>
          <w:bCs/>
        </w:rPr>
        <w:fldChar w:fldCharType="end"/>
      </w:r>
      <w:r>
        <w:rPr>
          <w:bCs/>
        </w:rPr>
        <w:t>和</w:t>
      </w:r>
      <w:r>
        <w:fldChar w:fldCharType="begin"/>
      </w:r>
      <w:r>
        <w:instrText xml:space="preserve"> HYPERLINK "https://baike.baidu.com/item/%E5%9C%B0%E4%B8%8B%E7%AE%A1%E7%BA%BF/1504969?fromModule=lemma_inlink" \t "https://baike.baidu.com/item/%E5%8D%B1%E9%99%A9%E6%80%A7%E8%BE%83%E5%A4%A7%E7%9A%84%E5%88%86%E9%83%A8%E5%88%86%E9%A1%B9%E5%B7%A5%E7%A8%8B%E8%8C%83%E5%9B%B4/_blank" </w:instrText>
      </w:r>
      <w:r>
        <w:fldChar w:fldCharType="separate"/>
      </w:r>
      <w:r>
        <w:rPr>
          <w:bCs/>
        </w:rPr>
        <w:t>地下管线</w:t>
      </w:r>
      <w:r>
        <w:rPr>
          <w:bCs/>
        </w:rPr>
        <w:fldChar w:fldCharType="end"/>
      </w:r>
      <w:r>
        <w:rPr>
          <w:bCs/>
        </w:rPr>
        <w:t>复杂，或影响毗邻建、构筑物安全的基坑（槽）的土方开挖、支护、降水工程。超过一定规模的危险性较大的基坑工程是指开挖深度超过5m（含5m）的基坑（槽）的土方开挖，支护，降水工程。</w:t>
      </w:r>
    </w:p>
    <w:p w14:paraId="1DB559AF">
      <w:pPr>
        <w:widowControl/>
        <w:spacing w:line="240" w:lineRule="auto"/>
        <w:ind w:firstLine="0"/>
        <w:jc w:val="left"/>
        <w:rPr>
          <w:color w:val="auto"/>
        </w:rPr>
      </w:pPr>
      <w:r>
        <w:br w:type="page"/>
      </w:r>
    </w:p>
    <w:p w14:paraId="170C7DDF">
      <w:pPr>
        <w:pStyle w:val="20"/>
        <w:widowControl w:val="0"/>
        <w:spacing w:line="360" w:lineRule="auto"/>
        <w:ind w:firstLine="480"/>
        <w:rPr>
          <w:rFonts w:ascii="Times New Roman"/>
          <w:sz w:val="24"/>
          <w:szCs w:val="24"/>
        </w:rPr>
      </w:pPr>
    </w:p>
    <w:p w14:paraId="571C75DE">
      <w:pPr>
        <w:pStyle w:val="19"/>
        <w:widowControl w:val="0"/>
        <w:spacing w:before="328" w:beforeLines="100" w:after="328" w:afterLines="100" w:line="360" w:lineRule="auto"/>
        <w:jc w:val="center"/>
        <w:outlineLvl w:val="0"/>
        <w:rPr>
          <w:rFonts w:ascii="Times New Roman" w:eastAsia="宋体"/>
          <w:b/>
          <w:sz w:val="32"/>
          <w:szCs w:val="32"/>
        </w:rPr>
      </w:pPr>
      <w:bookmarkStart w:id="859" w:name="_Toc31201"/>
      <w:bookmarkStart w:id="860" w:name="_Toc24588"/>
      <w:bookmarkStart w:id="861" w:name="_Toc193392111"/>
      <w:bookmarkStart w:id="862" w:name="_Toc11914"/>
      <w:bookmarkStart w:id="863" w:name="_Toc2468"/>
      <w:bookmarkStart w:id="864" w:name="_Toc29259"/>
      <w:bookmarkStart w:id="865" w:name="_Toc10727"/>
      <w:bookmarkStart w:id="866" w:name="_Toc11767"/>
      <w:r>
        <w:rPr>
          <w:rFonts w:ascii="Times New Roman" w:eastAsia="宋体"/>
          <w:b/>
          <w:sz w:val="32"/>
          <w:szCs w:val="32"/>
        </w:rPr>
        <w:t>4　岩土工程勘察</w:t>
      </w:r>
      <w:bookmarkEnd w:id="859"/>
      <w:bookmarkEnd w:id="860"/>
      <w:bookmarkEnd w:id="861"/>
      <w:bookmarkEnd w:id="862"/>
      <w:bookmarkEnd w:id="863"/>
      <w:bookmarkEnd w:id="864"/>
      <w:bookmarkEnd w:id="865"/>
      <w:bookmarkEnd w:id="866"/>
    </w:p>
    <w:p w14:paraId="0A6D04F9">
      <w:pPr>
        <w:keepNext/>
        <w:spacing w:before="328" w:beforeLines="100" w:after="328" w:afterLines="100" w:line="240" w:lineRule="auto"/>
        <w:ind w:firstLine="0"/>
        <w:jc w:val="center"/>
        <w:outlineLvl w:val="1"/>
        <w:rPr>
          <w:rFonts w:eastAsia="黑体"/>
          <w:b/>
          <w:bCs/>
          <w:sz w:val="28"/>
          <w:szCs w:val="28"/>
        </w:rPr>
      </w:pPr>
      <w:bookmarkStart w:id="867" w:name="_Toc28776"/>
      <w:bookmarkStart w:id="868" w:name="_Toc5311"/>
      <w:bookmarkStart w:id="869" w:name="_Toc3675"/>
      <w:bookmarkStart w:id="870" w:name="_Toc13375"/>
      <w:bookmarkStart w:id="871" w:name="_Toc25679"/>
      <w:bookmarkStart w:id="872" w:name="_Toc193392112"/>
      <w:bookmarkStart w:id="873" w:name="_Toc2404"/>
      <w:r>
        <w:rPr>
          <w:rFonts w:eastAsia="黑体"/>
          <w:b/>
          <w:bCs/>
          <w:sz w:val="28"/>
          <w:szCs w:val="28"/>
        </w:rPr>
        <w:t>4.1　一般规定</w:t>
      </w:r>
      <w:bookmarkEnd w:id="867"/>
      <w:bookmarkEnd w:id="868"/>
      <w:bookmarkEnd w:id="869"/>
      <w:bookmarkEnd w:id="870"/>
      <w:bookmarkEnd w:id="871"/>
      <w:bookmarkEnd w:id="872"/>
      <w:bookmarkEnd w:id="873"/>
    </w:p>
    <w:p w14:paraId="12C0254B">
      <w:pPr>
        <w:ind w:firstLine="0"/>
      </w:pPr>
      <w:r>
        <w:rPr>
          <w:b/>
          <w:bCs/>
        </w:rPr>
        <w:t>4.1.3　</w:t>
      </w:r>
      <w:r>
        <w:t>综合管廊一般设置于城市道路下方或人行道下方，施工方式多采用明挖或非开挖形式，综合管廊工程周边环境是管廊支护结构设计的重要依据之一。实际工程中因对工程周边环境因素缺乏准确了解或忽视而造成的工程事故时有发生，为了使支护设计具有针对性，勘察和设计时应查明工程周边环境，并按这些环境条件进行设计。</w:t>
      </w:r>
    </w:p>
    <w:p w14:paraId="351A403B">
      <w:pPr>
        <w:ind w:firstLine="0"/>
      </w:pPr>
      <w:r>
        <w:rPr>
          <w:b/>
          <w:bCs/>
        </w:rPr>
        <w:t>4.1.4　</w:t>
      </w:r>
      <w:r>
        <w:t>勘探点布置在综合管廊结构外侧，主要是为了避免勘探孔形成渗水通道，同时保证基坑侧壁岩土层取样，满足基坑稳定性分析的要求。</w:t>
      </w:r>
    </w:p>
    <w:p w14:paraId="63AAA391">
      <w:pPr>
        <w:ind w:firstLine="0"/>
      </w:pPr>
      <w:r>
        <w:rPr>
          <w:b/>
          <w:bCs/>
        </w:rPr>
        <w:t>4.1.6　</w:t>
      </w:r>
      <w:r>
        <w:t>综合管廊一般位于城市，勘察钻孔给城市居民生活留下隐患，必须封填。综合管廊施工时，钻孔可能形成地表水、地下水的渗水通道，影响施工作业，不同的施工工法应采取不同的封填方法。钻孔遗留物对非开挖法施工有较大影响，勘察报告书必须说明。</w:t>
      </w:r>
    </w:p>
    <w:p w14:paraId="446D8863">
      <w:pPr>
        <w:keepNext/>
        <w:spacing w:before="328" w:beforeLines="100" w:after="328" w:afterLines="100" w:line="240" w:lineRule="auto"/>
        <w:ind w:firstLine="0"/>
        <w:jc w:val="center"/>
        <w:outlineLvl w:val="1"/>
        <w:rPr>
          <w:rFonts w:eastAsia="黑体"/>
          <w:b/>
          <w:bCs/>
          <w:sz w:val="28"/>
          <w:szCs w:val="28"/>
        </w:rPr>
      </w:pPr>
      <w:bookmarkStart w:id="874" w:name="_Toc193392113"/>
      <w:bookmarkStart w:id="875" w:name="_Toc22417"/>
      <w:bookmarkStart w:id="876" w:name="_Toc30067"/>
      <w:bookmarkStart w:id="877" w:name="_Toc18685"/>
      <w:bookmarkStart w:id="878" w:name="_Toc5238"/>
      <w:bookmarkStart w:id="879" w:name="_Toc1889"/>
      <w:bookmarkStart w:id="880" w:name="_Toc24785"/>
      <w:r>
        <w:rPr>
          <w:rFonts w:eastAsia="黑体"/>
          <w:b/>
          <w:bCs/>
          <w:sz w:val="28"/>
          <w:szCs w:val="28"/>
        </w:rPr>
        <w:t>4.2　可行性研究勘察</w:t>
      </w:r>
      <w:bookmarkEnd w:id="874"/>
      <w:bookmarkEnd w:id="875"/>
      <w:bookmarkEnd w:id="876"/>
      <w:bookmarkEnd w:id="877"/>
      <w:bookmarkEnd w:id="878"/>
      <w:bookmarkEnd w:id="879"/>
      <w:bookmarkEnd w:id="880"/>
    </w:p>
    <w:p w14:paraId="6E940C55">
      <w:pPr>
        <w:ind w:firstLine="0"/>
      </w:pPr>
      <w:r>
        <w:rPr>
          <w:b/>
          <w:bCs/>
        </w:rPr>
        <w:t>4.2.1　</w:t>
      </w:r>
      <w:r>
        <w:t>综合管廊工程沿线工程地质条件、水文地质条件及周边环境对方案选择影响较大，通过搜集资料和现场调绘不能满足工程方案研究需要时，需通过必要的勘探手段予以查明。</w:t>
      </w:r>
    </w:p>
    <w:p w14:paraId="64588827">
      <w:pPr>
        <w:keepNext/>
        <w:spacing w:before="328" w:beforeLines="100" w:after="328" w:afterLines="100" w:line="240" w:lineRule="auto"/>
        <w:ind w:firstLine="0"/>
        <w:jc w:val="center"/>
        <w:outlineLvl w:val="1"/>
        <w:rPr>
          <w:rFonts w:eastAsia="黑体"/>
          <w:b/>
          <w:bCs/>
          <w:sz w:val="28"/>
          <w:szCs w:val="28"/>
        </w:rPr>
      </w:pPr>
      <w:bookmarkStart w:id="881" w:name="_Toc32584"/>
      <w:bookmarkStart w:id="882" w:name="_Toc26110"/>
      <w:bookmarkStart w:id="883" w:name="_Toc1254"/>
      <w:bookmarkStart w:id="884" w:name="_Toc193392114"/>
      <w:bookmarkStart w:id="885" w:name="_Toc15961"/>
      <w:bookmarkStart w:id="886" w:name="_Toc20413"/>
      <w:bookmarkStart w:id="887" w:name="_Toc29532"/>
      <w:r>
        <w:rPr>
          <w:rFonts w:eastAsia="黑体"/>
          <w:b/>
          <w:bCs/>
          <w:sz w:val="28"/>
          <w:szCs w:val="28"/>
        </w:rPr>
        <w:t>4.4　详细勘察</w:t>
      </w:r>
      <w:bookmarkEnd w:id="881"/>
      <w:bookmarkEnd w:id="882"/>
      <w:bookmarkEnd w:id="883"/>
      <w:bookmarkEnd w:id="884"/>
      <w:bookmarkEnd w:id="885"/>
      <w:bookmarkEnd w:id="886"/>
      <w:bookmarkEnd w:id="887"/>
    </w:p>
    <w:p w14:paraId="0B498B8D">
      <w:pPr>
        <w:ind w:firstLine="0"/>
      </w:pPr>
      <w:r>
        <w:rPr>
          <w:b/>
          <w:bCs/>
        </w:rPr>
        <w:t>4.4.4　</w:t>
      </w:r>
      <w:r>
        <w:t>本条明确规定了详细勘察阶段勘探孔的布置原则，说明了某些关键地段应增加勘探孔，并说明了横断面布置原则。</w:t>
      </w:r>
    </w:p>
    <w:p w14:paraId="0D083DDF">
      <w:pPr>
        <w:ind w:firstLine="0"/>
        <w:sectPr>
          <w:pgSz w:w="11906" w:h="16838"/>
          <w:pgMar w:top="1984" w:right="1701" w:bottom="1701" w:left="1701" w:header="1701" w:footer="1417" w:gutter="0"/>
          <w:cols w:space="0" w:num="1"/>
          <w:docGrid w:type="lines" w:linePitch="328" w:charSpace="0"/>
        </w:sectPr>
      </w:pPr>
      <w:r>
        <w:rPr>
          <w:b/>
          <w:bCs/>
        </w:rPr>
        <w:t>4.4.6　</w:t>
      </w:r>
      <w:r>
        <w:t>本条规定了需进行施工勘察的一般情况，施工勘察应针对所需解决的具体岩土工程问题，采用相应的勘察手段，并做出分析、评价和建议。</w:t>
      </w:r>
    </w:p>
    <w:p w14:paraId="13FD6CB0">
      <w:pPr>
        <w:ind w:firstLine="0"/>
      </w:pPr>
    </w:p>
    <w:p w14:paraId="4FB29FFC">
      <w:pPr>
        <w:pStyle w:val="19"/>
        <w:widowControl w:val="0"/>
        <w:spacing w:before="328" w:beforeLines="100" w:after="328" w:afterLines="100" w:line="360" w:lineRule="auto"/>
        <w:jc w:val="center"/>
        <w:outlineLvl w:val="0"/>
        <w:rPr>
          <w:rFonts w:ascii="Times New Roman" w:eastAsia="宋体"/>
          <w:b/>
          <w:sz w:val="32"/>
          <w:szCs w:val="32"/>
        </w:rPr>
      </w:pPr>
      <w:bookmarkStart w:id="888" w:name="_Toc32728"/>
      <w:bookmarkStart w:id="889" w:name="_Toc21070"/>
      <w:bookmarkStart w:id="890" w:name="_Toc12998"/>
      <w:bookmarkStart w:id="891" w:name="_Toc25184"/>
      <w:bookmarkStart w:id="892" w:name="_Toc10469"/>
      <w:bookmarkStart w:id="893" w:name="_Toc11412"/>
      <w:bookmarkStart w:id="894" w:name="_Toc193392115"/>
      <w:bookmarkStart w:id="895" w:name="_Toc7210"/>
      <w:bookmarkStart w:id="896" w:name="_Toc9650"/>
      <w:bookmarkStart w:id="897" w:name="_Toc14859"/>
      <w:bookmarkStart w:id="898" w:name="_Toc4443"/>
      <w:bookmarkStart w:id="899" w:name="_Toc7734"/>
      <w:bookmarkStart w:id="900" w:name="_Toc1265"/>
      <w:r>
        <w:rPr>
          <w:rFonts w:ascii="Times New Roman" w:eastAsia="宋体"/>
          <w:b/>
          <w:sz w:val="32"/>
          <w:szCs w:val="32"/>
        </w:rPr>
        <w:t>5　岩土工程设计</w:t>
      </w:r>
      <w:bookmarkEnd w:id="888"/>
      <w:bookmarkEnd w:id="889"/>
      <w:bookmarkEnd w:id="890"/>
      <w:bookmarkEnd w:id="891"/>
      <w:bookmarkEnd w:id="892"/>
      <w:bookmarkEnd w:id="893"/>
      <w:bookmarkEnd w:id="894"/>
      <w:bookmarkEnd w:id="895"/>
      <w:bookmarkEnd w:id="896"/>
      <w:bookmarkEnd w:id="897"/>
      <w:bookmarkEnd w:id="898"/>
      <w:bookmarkEnd w:id="899"/>
      <w:bookmarkEnd w:id="900"/>
    </w:p>
    <w:p w14:paraId="15DC9D20">
      <w:pPr>
        <w:keepNext/>
        <w:spacing w:before="328" w:beforeLines="100" w:after="328" w:afterLines="100" w:line="240" w:lineRule="auto"/>
        <w:ind w:firstLine="0"/>
        <w:jc w:val="center"/>
        <w:outlineLvl w:val="1"/>
        <w:rPr>
          <w:rFonts w:eastAsia="黑体"/>
          <w:b/>
          <w:bCs/>
          <w:sz w:val="28"/>
          <w:szCs w:val="28"/>
        </w:rPr>
      </w:pPr>
      <w:bookmarkStart w:id="901" w:name="_Toc2869"/>
      <w:bookmarkStart w:id="902" w:name="_Toc21270"/>
      <w:bookmarkStart w:id="903" w:name="_Toc17342"/>
      <w:bookmarkStart w:id="904" w:name="_Toc17322"/>
      <w:bookmarkStart w:id="905" w:name="_Toc12142"/>
      <w:bookmarkStart w:id="906" w:name="_Toc193392116"/>
      <w:bookmarkStart w:id="907" w:name="_Toc17130"/>
      <w:bookmarkStart w:id="908" w:name="_Toc6502"/>
      <w:bookmarkStart w:id="909" w:name="_Toc20050"/>
      <w:bookmarkStart w:id="910" w:name="_Toc17755"/>
      <w:bookmarkStart w:id="911" w:name="_Toc13370"/>
      <w:bookmarkStart w:id="912" w:name="_Toc4383"/>
      <w:r>
        <w:rPr>
          <w:rFonts w:eastAsia="黑体"/>
          <w:b/>
          <w:bCs/>
          <w:sz w:val="28"/>
          <w:szCs w:val="28"/>
        </w:rPr>
        <w:t>5.1　一般规定</w:t>
      </w:r>
      <w:bookmarkEnd w:id="901"/>
      <w:bookmarkEnd w:id="902"/>
      <w:bookmarkEnd w:id="903"/>
      <w:bookmarkEnd w:id="904"/>
      <w:bookmarkEnd w:id="905"/>
      <w:bookmarkEnd w:id="906"/>
      <w:bookmarkEnd w:id="907"/>
      <w:bookmarkEnd w:id="908"/>
      <w:bookmarkEnd w:id="909"/>
      <w:bookmarkEnd w:id="910"/>
      <w:bookmarkEnd w:id="911"/>
      <w:bookmarkEnd w:id="912"/>
    </w:p>
    <w:p w14:paraId="60D41FEE">
      <w:pPr>
        <w:ind w:firstLine="0"/>
      </w:pPr>
      <w:r>
        <w:rPr>
          <w:b/>
        </w:rPr>
        <w:t>5.1.1　</w:t>
      </w:r>
      <w:r>
        <w:t>现行国家标准《城市综合管廊工程技术规范》GB 50838-2015结构上的作用第8.3.7条。</w:t>
      </w:r>
    </w:p>
    <w:p w14:paraId="42073796">
      <w:pPr>
        <w:ind w:firstLine="0"/>
        <w:rPr>
          <w:bCs/>
          <w:color w:val="auto"/>
        </w:rPr>
      </w:pPr>
      <w:r>
        <w:rPr>
          <w:b/>
          <w:color w:val="auto"/>
        </w:rPr>
        <w:t>5.1.6　</w:t>
      </w:r>
      <w:r>
        <w:rPr>
          <w:bCs/>
          <w:color w:val="auto"/>
        </w:rPr>
        <w:t>其适用范围如下：</w:t>
      </w:r>
    </w:p>
    <w:p w14:paraId="73C9387C">
      <w:pPr>
        <w:ind w:firstLine="482" w:firstLineChars="200"/>
        <w:rPr>
          <w:bCs/>
          <w:color w:val="auto"/>
        </w:rPr>
      </w:pPr>
      <w:r>
        <w:rPr>
          <w:b/>
          <w:color w:val="auto"/>
        </w:rPr>
        <w:t>1　</w:t>
      </w:r>
      <w:r>
        <w:rPr>
          <w:bCs/>
          <w:color w:val="auto"/>
        </w:rPr>
        <w:t>当地面开阔、地质条件较好，且放坡开挖不会对周边环境产生不利影响时，可采用放坡开挖方式；软土地层中采用单级放坡开挖的综合管廊明挖段深度不宜大于4m，采用多级放坡开挖的综合管廊明挖段深度不宜大于7m；</w:t>
      </w:r>
    </w:p>
    <w:p w14:paraId="4407362A">
      <w:pPr>
        <w:ind w:firstLine="482" w:firstLineChars="200"/>
        <w:rPr>
          <w:bCs/>
          <w:color w:val="auto"/>
        </w:rPr>
      </w:pPr>
      <w:r>
        <w:rPr>
          <w:b/>
          <w:color w:val="auto"/>
        </w:rPr>
        <w:t>2　</w:t>
      </w:r>
      <w:r>
        <w:rPr>
          <w:bCs/>
          <w:color w:val="auto"/>
        </w:rPr>
        <w:t>单一土钉墙适用于地下水位以上或降水的非软土综合管廊明挖段支护，且明挖段深度不宜大于12m。水泥土桩复合土钉墙用于非软土综合管廊明挖段支护时，明挖段深度不宜大于12m；用于淤泥质土综合管廊明挖段支护时，明挖段深度不宜大于6m；不宜用于在高水位的碎石土、砂土层中。当综合管廊明挖段潜在滑动面有建筑物、重要地下管线时，不宜采用土钉墙；</w:t>
      </w:r>
    </w:p>
    <w:p w14:paraId="25817035">
      <w:pPr>
        <w:ind w:firstLine="482" w:firstLineChars="200"/>
        <w:rPr>
          <w:bCs/>
          <w:color w:val="auto"/>
        </w:rPr>
      </w:pPr>
      <w:r>
        <w:rPr>
          <w:b/>
          <w:color w:val="auto"/>
        </w:rPr>
        <w:t>3　</w:t>
      </w:r>
      <w:r>
        <w:rPr>
          <w:bCs/>
          <w:color w:val="auto"/>
        </w:rPr>
        <w:t>水泥土重力式围护墙适用于软土地层中开挖深度7m以内的综合管廊明挖段支护；当明挖段周边环境保护要求较高时，明挖段深度宜控制在5m以内；</w:t>
      </w:r>
    </w:p>
    <w:p w14:paraId="14A4FD8F">
      <w:pPr>
        <w:ind w:firstLine="482" w:firstLineChars="200"/>
        <w:rPr>
          <w:bCs/>
          <w:color w:val="auto"/>
        </w:rPr>
      </w:pPr>
      <w:r>
        <w:rPr>
          <w:b/>
          <w:color w:val="auto"/>
        </w:rPr>
        <w:t>4　</w:t>
      </w:r>
      <w:r>
        <w:rPr>
          <w:bCs/>
          <w:color w:val="auto"/>
        </w:rPr>
        <w:t>钢板桩墙一般适用于软土地区开挖深度10m以内的综合管廊明挖段支护，邻近对变形敏感的环境保护对象时不宜采用钢板桩支护；</w:t>
      </w:r>
    </w:p>
    <w:p w14:paraId="46C5C4AE">
      <w:pPr>
        <w:ind w:firstLine="482" w:firstLineChars="200"/>
        <w:rPr>
          <w:bCs/>
          <w:color w:val="auto"/>
        </w:rPr>
      </w:pPr>
      <w:r>
        <w:rPr>
          <w:b/>
          <w:color w:val="auto"/>
        </w:rPr>
        <w:t>5　</w:t>
      </w:r>
      <w:r>
        <w:rPr>
          <w:bCs/>
          <w:color w:val="auto"/>
        </w:rPr>
        <w:t>劲芯水泥土连续墙可在水泥土搅拌桩难以实施的深厚砂性土层、软岩地区应用，并且其均一性更好、理论成墙质量更优；TRD工法或CSM工法可以单独作为截水帷幕使用，也可内插型钢（SMW工法）作为劲芯水泥土连续墙使用。</w:t>
      </w:r>
    </w:p>
    <w:p w14:paraId="0C017B18">
      <w:pPr>
        <w:ind w:firstLine="482" w:firstLineChars="200"/>
        <w:rPr>
          <w:bCs/>
          <w:color w:val="auto"/>
        </w:rPr>
      </w:pPr>
      <w:r>
        <w:rPr>
          <w:b/>
          <w:color w:val="auto"/>
        </w:rPr>
        <w:t>6　</w:t>
      </w:r>
      <w:r>
        <w:rPr>
          <w:bCs/>
          <w:color w:val="auto"/>
        </w:rPr>
        <w:t>采用钻孔灌注桩排桩作为综合管廊围护墙时，可利用排桩作为综合管廊结构体，在施工质量及桩身构造符合要求的前提下，分担永久使用阶段侧向或竖向荷载，即桩墙合一；</w:t>
      </w:r>
    </w:p>
    <w:p w14:paraId="0FA82D2A">
      <w:pPr>
        <w:ind w:firstLine="482" w:firstLineChars="200"/>
        <w:rPr>
          <w:bCs/>
          <w:color w:val="auto"/>
        </w:rPr>
      </w:pPr>
      <w:r>
        <w:rPr>
          <w:b/>
          <w:color w:val="auto"/>
        </w:rPr>
        <w:t>7　</w:t>
      </w:r>
      <w:r>
        <w:rPr>
          <w:bCs/>
          <w:color w:val="auto"/>
        </w:rPr>
        <w:t>预制混凝土板桩、预制混凝土管桩（PHC桩、PRC桩）等预制构件品控好、离散性低，可实现综合管廊明挖段支护排桩的工业化生产。预制混凝土板桩一般适用于软土地区开挖深度10m以内的综合管廊明挖段支护；预制混凝土管桩一般适用于软土地区开挖深度12m以内的综合管廊明挖段支护；预制支护桩应用时，应充分考虑沉桩可行性及沉桩的挤土效应；</w:t>
      </w:r>
    </w:p>
    <w:p w14:paraId="1D6A8124">
      <w:pPr>
        <w:ind w:firstLine="482" w:firstLineChars="200"/>
        <w:rPr>
          <w:b/>
          <w:color w:val="auto"/>
        </w:rPr>
      </w:pPr>
      <w:r>
        <w:rPr>
          <w:b/>
          <w:color w:val="auto"/>
        </w:rPr>
        <w:t>8　</w:t>
      </w:r>
      <w:r>
        <w:rPr>
          <w:bCs/>
          <w:color w:val="auto"/>
        </w:rPr>
        <w:t>大直径高压旋喷桩（RJP工法或MJS工法）可在常规三轴水泥土搅拌桩、高压旋喷桩难以实施的深厚砂性土层中应用，并可定角度摆喷，在复杂地质等条件下可作为截水帷幕或综合管廊地基加固体使用；</w:t>
      </w:r>
    </w:p>
    <w:p w14:paraId="6CAA512C">
      <w:pPr>
        <w:ind w:firstLine="482" w:firstLineChars="200"/>
        <w:rPr>
          <w:b/>
          <w:color w:val="auto"/>
        </w:rPr>
      </w:pPr>
      <w:r>
        <w:rPr>
          <w:b/>
          <w:color w:val="auto"/>
        </w:rPr>
        <w:t>9　</w:t>
      </w:r>
      <w:r>
        <w:rPr>
          <w:bCs/>
          <w:color w:val="auto"/>
        </w:rPr>
        <w:t>综合管廊明挖段通常平面形状较为规则、开挖深度不大，宜采用以对撑、角撑为主的钢支撑体系；当遇平面形状不规则或开挖深度较大等情况时，宜布置混凝土支撑；</w:t>
      </w:r>
    </w:p>
    <w:p w14:paraId="2E283E1B">
      <w:pPr>
        <w:ind w:firstLine="482" w:firstLineChars="200"/>
        <w:rPr>
          <w:b/>
          <w:color w:val="auto"/>
        </w:rPr>
      </w:pPr>
      <w:r>
        <w:rPr>
          <w:b/>
          <w:color w:val="auto"/>
        </w:rPr>
        <w:t>10　</w:t>
      </w:r>
      <w:r>
        <w:rPr>
          <w:bCs/>
          <w:color w:val="auto"/>
        </w:rPr>
        <w:t>锚杆（索）不宜在淤泥、淤泥质土、泥炭质土及松散填土层内应用；大直径旋喷锚杆（索）锚固体直径大，相比常规锚杆（索）所需的锚固段长度小，一定条件下可在常规锚杆（索）使用受限的综合管廊明挖段中应用。锚杆（索）不宜设置在既有建（构）筑物基础下方；为避免锚杆（索）在管廊明挖段支护实施结束后成为障碍物，影响周边地下空间开发，宜采用可回收式锚杆（索）；</w:t>
      </w:r>
    </w:p>
    <w:p w14:paraId="546A3FCC">
      <w:pPr>
        <w:ind w:firstLine="482" w:firstLineChars="200"/>
        <w:rPr>
          <w:b/>
          <w:color w:val="auto"/>
        </w:rPr>
      </w:pPr>
      <w:r>
        <w:rPr>
          <w:b/>
          <w:color w:val="auto"/>
        </w:rPr>
        <w:t>11　</w:t>
      </w:r>
      <w:r>
        <w:rPr>
          <w:bCs/>
          <w:color w:val="auto"/>
        </w:rPr>
        <w:t>在软土层中综合管廊明挖段开挖深度大于10m、周围相邻建筑或地下管线对沉降与位移要求较高时，宜选用地下连续墙作为明挖段支护结构；</w:t>
      </w:r>
    </w:p>
    <w:p w14:paraId="06657BC1">
      <w:pPr>
        <w:ind w:firstLine="482" w:firstLineChars="200"/>
        <w:rPr>
          <w:bCs/>
          <w:color w:val="auto"/>
        </w:rPr>
      </w:pPr>
      <w:r>
        <w:rPr>
          <w:b/>
          <w:color w:val="auto"/>
        </w:rPr>
        <w:t>12　</w:t>
      </w:r>
      <w:r>
        <w:rPr>
          <w:bCs/>
          <w:color w:val="auto"/>
        </w:rPr>
        <w:t>以钢板桩、预制钢筋混墙凝土板桩墙、型钢水泥土搅拌墙、灌注桩排桩墙、预制混凝土桩排桩墙等作为围护体，结合设置内支撑或锚杆等组合而成的板式支护体系，适用于开挖较深、场地空间狭小以及周边环境保护要求较高的综合管廊明挖段支护；</w:t>
      </w:r>
    </w:p>
    <w:p w14:paraId="5289B186">
      <w:pPr>
        <w:ind w:firstLine="482" w:firstLineChars="200"/>
        <w:rPr>
          <w:bCs/>
          <w:color w:val="auto"/>
        </w:rPr>
      </w:pPr>
      <w:r>
        <w:rPr>
          <w:b/>
          <w:bCs/>
          <w:color w:val="auto"/>
        </w:rPr>
        <w:t>13</w:t>
      </w:r>
      <w:r>
        <w:rPr>
          <w:bCs/>
          <w:color w:val="auto"/>
        </w:rPr>
        <w:t>　明挖段开挖较深或周边环境对支护结构位移的限制严格时，宜采用锚杆+排桩、内支撑+排桩结构。明挖段开挖较浅且周边环境对支护结构位移的限制不严格时，可采用悬臂式排桩结构。当具备场地条件及明挖段开挖深度适宜时，必要时，也可采用双排桩结构；</w:t>
      </w:r>
    </w:p>
    <w:p w14:paraId="18698E23">
      <w:pPr>
        <w:ind w:firstLine="482" w:firstLineChars="200"/>
        <w:rPr>
          <w:bCs/>
          <w:color w:val="auto"/>
        </w:rPr>
      </w:pPr>
      <w:r>
        <w:rPr>
          <w:b/>
          <w:color w:val="auto"/>
        </w:rPr>
        <w:t>14　</w:t>
      </w:r>
      <w:r>
        <w:rPr>
          <w:bCs/>
          <w:color w:val="auto"/>
        </w:rPr>
        <w:t>应根据工程地质及水文地质条件、综合管廊明挖段周边环境保护要求及支护结构形式选用截水、降水、集水明排方法或其组合。</w:t>
      </w:r>
    </w:p>
    <w:p w14:paraId="04510B71">
      <w:pPr>
        <w:keepNext/>
        <w:spacing w:before="328" w:beforeLines="100" w:after="328" w:afterLines="100" w:line="240" w:lineRule="auto"/>
        <w:ind w:firstLine="0"/>
        <w:jc w:val="center"/>
        <w:outlineLvl w:val="1"/>
        <w:rPr>
          <w:rFonts w:eastAsia="黑体"/>
          <w:b/>
          <w:bCs/>
          <w:sz w:val="28"/>
          <w:szCs w:val="28"/>
        </w:rPr>
      </w:pPr>
      <w:bookmarkStart w:id="913" w:name="_Toc193392117"/>
      <w:r>
        <w:rPr>
          <w:rFonts w:eastAsia="黑体"/>
          <w:b/>
          <w:bCs/>
          <w:sz w:val="28"/>
          <w:szCs w:val="28"/>
        </w:rPr>
        <w:t>5.2　综合管廊明挖段岩土工程设计</w:t>
      </w:r>
      <w:bookmarkEnd w:id="913"/>
    </w:p>
    <w:p w14:paraId="610DCB1B">
      <w:pPr>
        <w:ind w:firstLine="0"/>
        <w:rPr>
          <w:b/>
          <w:bCs/>
          <w:sz w:val="30"/>
          <w:szCs w:val="30"/>
        </w:rPr>
      </w:pPr>
      <w:r>
        <w:rPr>
          <w:b/>
          <w:color w:val="auto"/>
        </w:rPr>
        <w:t>5.2.2　</w:t>
      </w:r>
      <w:r>
        <w:rPr>
          <w:bCs/>
          <w:color w:val="auto"/>
        </w:rPr>
        <w:t>需要通过室内试验或现场试验来确定不同含水量下土体的抗剪强度指标。在设计支护结构时，应充分考虑土体抗剪强度指标的降低对结构稳定性的影响，并采取相应的加固措施来提高结构的稳定性。</w:t>
      </w:r>
    </w:p>
    <w:p w14:paraId="55B80714">
      <w:pPr>
        <w:rPr>
          <w:b/>
          <w:bCs/>
          <w:sz w:val="30"/>
          <w:szCs w:val="30"/>
        </w:rPr>
      </w:pPr>
      <w:r>
        <w:rPr>
          <w:b/>
          <w:bCs/>
          <w:sz w:val="30"/>
          <w:szCs w:val="30"/>
        </w:rPr>
        <w:br w:type="page"/>
      </w:r>
    </w:p>
    <w:p w14:paraId="1D2BE832"/>
    <w:p w14:paraId="1A2D459B">
      <w:pPr>
        <w:pStyle w:val="19"/>
        <w:widowControl w:val="0"/>
        <w:spacing w:before="328" w:beforeLines="100" w:after="328" w:afterLines="100" w:line="360" w:lineRule="auto"/>
        <w:jc w:val="center"/>
        <w:outlineLvl w:val="0"/>
        <w:rPr>
          <w:rFonts w:ascii="Times New Roman" w:eastAsia="宋体"/>
          <w:b/>
          <w:sz w:val="32"/>
          <w:szCs w:val="32"/>
        </w:rPr>
      </w:pPr>
      <w:bookmarkStart w:id="914" w:name="_Toc610"/>
      <w:bookmarkStart w:id="915" w:name="_Toc23740"/>
      <w:bookmarkStart w:id="916" w:name="_Toc193392118"/>
      <w:bookmarkStart w:id="917" w:name="_Toc24364"/>
      <w:bookmarkStart w:id="918" w:name="_Toc22509"/>
      <w:bookmarkStart w:id="919" w:name="_Toc25512"/>
      <w:bookmarkStart w:id="920" w:name="_Toc14150"/>
      <w:bookmarkStart w:id="921" w:name="_Toc24863"/>
      <w:bookmarkStart w:id="922" w:name="_Toc6332"/>
      <w:bookmarkStart w:id="923" w:name="_Toc32298"/>
      <w:bookmarkStart w:id="924" w:name="_Toc7979"/>
      <w:bookmarkStart w:id="925" w:name="_Toc31107"/>
      <w:bookmarkStart w:id="926" w:name="_Toc10272"/>
      <w:r>
        <w:rPr>
          <w:rFonts w:ascii="Times New Roman" w:eastAsia="宋体"/>
          <w:b/>
          <w:sz w:val="32"/>
          <w:szCs w:val="32"/>
        </w:rPr>
        <w:t>6　岩土工程施工</w:t>
      </w:r>
      <w:bookmarkEnd w:id="914"/>
      <w:bookmarkEnd w:id="915"/>
      <w:bookmarkEnd w:id="916"/>
      <w:bookmarkEnd w:id="917"/>
      <w:bookmarkEnd w:id="918"/>
      <w:bookmarkEnd w:id="919"/>
      <w:bookmarkEnd w:id="920"/>
      <w:bookmarkEnd w:id="921"/>
      <w:bookmarkEnd w:id="922"/>
      <w:bookmarkEnd w:id="923"/>
      <w:bookmarkEnd w:id="924"/>
      <w:bookmarkEnd w:id="925"/>
      <w:bookmarkEnd w:id="926"/>
    </w:p>
    <w:p w14:paraId="1BF44B53">
      <w:pPr>
        <w:keepNext/>
        <w:spacing w:before="328" w:beforeLines="100" w:after="328" w:afterLines="100" w:line="240" w:lineRule="auto"/>
        <w:ind w:firstLine="0"/>
        <w:jc w:val="center"/>
        <w:outlineLvl w:val="1"/>
        <w:rPr>
          <w:rFonts w:eastAsia="黑体"/>
          <w:b/>
          <w:bCs/>
          <w:sz w:val="28"/>
          <w:szCs w:val="28"/>
        </w:rPr>
      </w:pPr>
      <w:bookmarkStart w:id="927" w:name="_Toc25973"/>
      <w:bookmarkStart w:id="928" w:name="_Toc17754"/>
      <w:bookmarkStart w:id="929" w:name="_Toc3051"/>
      <w:bookmarkStart w:id="930" w:name="_Toc25840"/>
      <w:bookmarkStart w:id="931" w:name="_Toc193392119"/>
      <w:bookmarkStart w:id="932" w:name="_Toc14060"/>
      <w:bookmarkStart w:id="933" w:name="_Toc23395"/>
      <w:bookmarkStart w:id="934" w:name="_Toc8765"/>
      <w:bookmarkStart w:id="935" w:name="_Toc9354"/>
      <w:bookmarkStart w:id="936" w:name="_Toc24605"/>
      <w:bookmarkStart w:id="937" w:name="_Toc11378"/>
      <w:bookmarkStart w:id="938" w:name="_Toc31934"/>
      <w:r>
        <w:rPr>
          <w:rFonts w:eastAsia="黑体"/>
          <w:b/>
          <w:bCs/>
          <w:sz w:val="28"/>
          <w:szCs w:val="28"/>
        </w:rPr>
        <w:t>6.1　一般规定</w:t>
      </w:r>
      <w:bookmarkEnd w:id="927"/>
      <w:bookmarkEnd w:id="928"/>
      <w:bookmarkEnd w:id="929"/>
      <w:bookmarkEnd w:id="930"/>
      <w:bookmarkEnd w:id="931"/>
      <w:bookmarkEnd w:id="932"/>
      <w:bookmarkEnd w:id="933"/>
      <w:bookmarkEnd w:id="934"/>
      <w:bookmarkEnd w:id="935"/>
      <w:bookmarkEnd w:id="936"/>
      <w:bookmarkEnd w:id="937"/>
      <w:bookmarkEnd w:id="938"/>
    </w:p>
    <w:p w14:paraId="4E1B8769">
      <w:pPr>
        <w:ind w:firstLine="0"/>
        <w:rPr>
          <w:bCs/>
        </w:rPr>
      </w:pPr>
      <w:r>
        <w:rPr>
          <w:b/>
          <w:bCs/>
        </w:rPr>
        <w:t>6.1.1　</w:t>
      </w:r>
      <w:r>
        <w:rPr>
          <w:bCs/>
        </w:rPr>
        <w:t>岩土工程最主要的因素就是地质情况，地质情况千变万化，每个地区有不同的特点，综合管廊岩土工程施工应综合考虑工程地质与水文地质条件，在学习和研究设计文件的基础上，结合地方经验，选择施工设备。</w:t>
      </w:r>
    </w:p>
    <w:p w14:paraId="0508FE60">
      <w:pPr>
        <w:ind w:firstLine="480" w:firstLineChars="200"/>
        <w:rPr>
          <w:bCs/>
        </w:rPr>
      </w:pPr>
      <w:r>
        <w:rPr>
          <w:bCs/>
        </w:rPr>
        <w:t>岩土工程施工过程对周边环境的影响不容忽视，施工过程中应采取信息化施工手段对周边环境进行监测，并根据监测信息及时调整施工方案、施工顺序或工艺，确保施工期间工程及周边环境安全。</w:t>
      </w:r>
    </w:p>
    <w:p w14:paraId="2E4CBCC4">
      <w:pPr>
        <w:ind w:firstLine="0"/>
        <w:rPr>
          <w:bCs/>
        </w:rPr>
      </w:pPr>
      <w:r>
        <w:rPr>
          <w:b/>
          <w:bCs/>
        </w:rPr>
        <w:t>6.1.4　</w:t>
      </w:r>
      <w:r>
        <w:rPr>
          <w:bCs/>
        </w:rPr>
        <w:t>文明施工和环保措施的实施可以有效减少对环境的影响，保护生态系统的稳定性，同时也能提高工程质量和可持续发展的能力。工程施工过程中产生的污染物对环境和人类健康都会造成不良影响。通过采取环保措施，如合理处理废水、废气和废弃物等，可以有效减少污染物的排放。这有助于保护水体、大气和土壤的质量，减少污染对生态系统的破坏。环保施工不仅仅是合规要求，也是对社会和未来世代的责任。</w:t>
      </w:r>
    </w:p>
    <w:p w14:paraId="255A884C">
      <w:pPr>
        <w:ind w:firstLine="0"/>
        <w:rPr>
          <w:b/>
          <w:bCs/>
          <w:szCs w:val="21"/>
        </w:rPr>
      </w:pPr>
      <w:r>
        <w:rPr>
          <w:b/>
          <w:bCs/>
        </w:rPr>
        <w:t>6.1.7　</w:t>
      </w:r>
      <w:r>
        <w:rPr>
          <w:bCs/>
        </w:rPr>
        <w:t>紧邻支护结构的地面超载对支护结构的稳定性影响很大，往往会增大支护结构的变形，其荷载的大小应严格按设计文件的要求予以控制。</w:t>
      </w:r>
    </w:p>
    <w:p w14:paraId="7694BE5D">
      <w:pPr>
        <w:keepNext/>
        <w:spacing w:before="328" w:beforeLines="100" w:after="328" w:afterLines="100" w:line="240" w:lineRule="auto"/>
        <w:ind w:firstLine="0"/>
        <w:jc w:val="center"/>
        <w:outlineLvl w:val="1"/>
        <w:rPr>
          <w:rFonts w:eastAsia="黑体"/>
          <w:b/>
          <w:bCs/>
          <w:sz w:val="28"/>
          <w:szCs w:val="28"/>
        </w:rPr>
      </w:pPr>
      <w:bookmarkStart w:id="939" w:name="_Toc13484"/>
      <w:bookmarkStart w:id="940" w:name="_Toc32013"/>
      <w:bookmarkStart w:id="941" w:name="_Toc24287"/>
      <w:bookmarkStart w:id="942" w:name="_Toc607"/>
      <w:bookmarkStart w:id="943" w:name="_Toc23803"/>
      <w:bookmarkStart w:id="944" w:name="_Toc19705"/>
      <w:bookmarkStart w:id="945" w:name="_Toc193392120"/>
      <w:bookmarkStart w:id="946" w:name="_Toc30167"/>
      <w:bookmarkStart w:id="947" w:name="_Toc15218"/>
      <w:bookmarkStart w:id="948" w:name="_Toc22517"/>
      <w:bookmarkStart w:id="949" w:name="_Toc15389"/>
      <w:bookmarkStart w:id="950" w:name="_Toc13457"/>
      <w:r>
        <w:rPr>
          <w:rFonts w:eastAsia="黑体"/>
          <w:b/>
          <w:bCs/>
          <w:sz w:val="28"/>
          <w:szCs w:val="28"/>
        </w:rPr>
        <w:t>6.2　基坑支护施工</w:t>
      </w:r>
      <w:bookmarkEnd w:id="939"/>
      <w:bookmarkEnd w:id="940"/>
      <w:bookmarkEnd w:id="941"/>
      <w:bookmarkEnd w:id="942"/>
      <w:bookmarkEnd w:id="943"/>
      <w:bookmarkEnd w:id="944"/>
      <w:bookmarkEnd w:id="945"/>
      <w:bookmarkEnd w:id="946"/>
      <w:bookmarkEnd w:id="947"/>
      <w:bookmarkEnd w:id="948"/>
      <w:bookmarkEnd w:id="949"/>
      <w:bookmarkEnd w:id="950"/>
    </w:p>
    <w:p w14:paraId="67FFA045">
      <w:pPr>
        <w:spacing w:before="164" w:beforeLines="50" w:after="164" w:afterLines="50"/>
        <w:ind w:firstLine="0"/>
        <w:jc w:val="center"/>
        <w:outlineLvl w:val="2"/>
        <w:rPr>
          <w:rFonts w:eastAsia="仿宋"/>
          <w:b/>
          <w:bCs/>
          <w:color w:val="auto"/>
          <w:sz w:val="28"/>
          <w:szCs w:val="28"/>
        </w:rPr>
      </w:pPr>
      <w:bookmarkStart w:id="951" w:name="_Toc31628"/>
      <w:bookmarkStart w:id="952" w:name="_Toc25200"/>
      <w:bookmarkStart w:id="953" w:name="_Toc10837"/>
      <w:bookmarkStart w:id="954" w:name="_Toc23224"/>
      <w:bookmarkStart w:id="955" w:name="_Toc2358"/>
      <w:bookmarkStart w:id="956" w:name="_Toc7254"/>
      <w:bookmarkStart w:id="957" w:name="_Toc28582"/>
      <w:bookmarkStart w:id="958" w:name="_Toc27378"/>
      <w:bookmarkStart w:id="959" w:name="_Toc3649"/>
      <w:r>
        <w:rPr>
          <w:rFonts w:eastAsia="仿宋"/>
          <w:b/>
          <w:bCs/>
          <w:color w:val="auto"/>
          <w:sz w:val="28"/>
          <w:szCs w:val="28"/>
        </w:rPr>
        <w:t>Ⅰ</w:t>
      </w:r>
      <w:bookmarkEnd w:id="951"/>
      <w:bookmarkEnd w:id="952"/>
      <w:bookmarkEnd w:id="953"/>
      <w:bookmarkEnd w:id="954"/>
      <w:r>
        <w:rPr>
          <w:rFonts w:eastAsia="仿宋"/>
          <w:b/>
          <w:bCs/>
          <w:color w:val="auto"/>
          <w:sz w:val="28"/>
          <w:szCs w:val="28"/>
        </w:rPr>
        <w:t xml:space="preserve">  坡率法施工</w:t>
      </w:r>
      <w:bookmarkEnd w:id="955"/>
      <w:bookmarkEnd w:id="956"/>
      <w:bookmarkEnd w:id="957"/>
      <w:bookmarkEnd w:id="958"/>
      <w:bookmarkEnd w:id="959"/>
    </w:p>
    <w:p w14:paraId="317DB3D9">
      <w:pPr>
        <w:ind w:firstLine="0"/>
        <w:rPr>
          <w:bCs/>
        </w:rPr>
      </w:pPr>
      <w:r>
        <w:rPr>
          <w:b/>
          <w:bCs/>
        </w:rPr>
        <w:t>6.2.1　</w:t>
      </w:r>
      <w:r>
        <w:rPr>
          <w:bCs/>
        </w:rPr>
        <w:t>场地土质较好、基坑周边具备放坡条件、不影响相邻建筑物安全及正常使用的情况下，宜采用全深度放坡或部分深度放坡，分级放坡时宜设置分级过渡平台。</w:t>
      </w:r>
    </w:p>
    <w:p w14:paraId="1F58ABF4">
      <w:pPr>
        <w:spacing w:before="164" w:beforeLines="50" w:after="164" w:afterLines="50"/>
        <w:ind w:firstLine="0"/>
        <w:jc w:val="center"/>
        <w:outlineLvl w:val="2"/>
        <w:rPr>
          <w:rFonts w:eastAsia="仿宋"/>
          <w:b/>
          <w:bCs/>
          <w:color w:val="auto"/>
          <w:sz w:val="28"/>
          <w:szCs w:val="28"/>
        </w:rPr>
      </w:pPr>
      <w:bookmarkStart w:id="960" w:name="_Toc16395"/>
      <w:bookmarkStart w:id="961" w:name="_Toc14273"/>
      <w:bookmarkStart w:id="962" w:name="_Toc17510"/>
      <w:bookmarkStart w:id="963" w:name="_Toc1179"/>
      <w:bookmarkStart w:id="964" w:name="_Toc31369"/>
      <w:bookmarkStart w:id="965" w:name="_Toc120"/>
      <w:bookmarkStart w:id="966" w:name="_Toc15300"/>
      <w:bookmarkStart w:id="967" w:name="_Toc26877"/>
      <w:bookmarkStart w:id="968" w:name="_Toc22758"/>
      <w:r>
        <w:rPr>
          <w:rFonts w:eastAsia="仿宋"/>
          <w:b/>
          <w:bCs/>
          <w:color w:val="auto"/>
          <w:sz w:val="28"/>
          <w:szCs w:val="28"/>
        </w:rPr>
        <w:t>Ⅱ  土钉墙</w:t>
      </w:r>
      <w:bookmarkEnd w:id="960"/>
      <w:bookmarkEnd w:id="961"/>
      <w:bookmarkEnd w:id="962"/>
      <w:bookmarkEnd w:id="963"/>
      <w:r>
        <w:rPr>
          <w:rFonts w:eastAsia="仿宋"/>
          <w:b/>
          <w:bCs/>
          <w:color w:val="auto"/>
          <w:sz w:val="28"/>
          <w:szCs w:val="28"/>
        </w:rPr>
        <w:t>与复合土钉墙</w:t>
      </w:r>
      <w:bookmarkEnd w:id="964"/>
      <w:bookmarkEnd w:id="965"/>
      <w:bookmarkEnd w:id="966"/>
      <w:bookmarkEnd w:id="967"/>
      <w:bookmarkEnd w:id="968"/>
    </w:p>
    <w:p w14:paraId="18C3CE9A">
      <w:pPr>
        <w:ind w:firstLine="0"/>
      </w:pPr>
      <w:r>
        <w:rPr>
          <w:b/>
          <w:bCs/>
        </w:rPr>
        <w:t>6.2.4　</w:t>
      </w:r>
      <w:r>
        <w:t>土钉墙施工应按顺序分层开挖，上层土钉施工和喷射混凝土未完成前，不得开挖下层土方，坡面宜采用小型机具或铲锹进行修整。初喷底层混凝土即可以保证坡面的安全，又可以减少坡面的起伏差，便于保证钢筋网的保护层厚度。</w:t>
      </w:r>
    </w:p>
    <w:p w14:paraId="57A68F10">
      <w:pPr>
        <w:ind w:firstLine="0"/>
        <w:rPr>
          <w:b/>
          <w:bCs/>
          <w:szCs w:val="21"/>
        </w:rPr>
      </w:pPr>
      <w:r>
        <w:rPr>
          <w:b/>
          <w:bCs/>
        </w:rPr>
        <w:t>6.2.5　</w:t>
      </w:r>
      <w:r>
        <w:t>坡面喷射混凝土施工可分为干法和湿法，所谓干法，即是将水泥、砂石料拌合后，用压缩空气输送到工作面，在喷射到工作面上的同时加水，在拌合输送和喷射的过程中均为粉状拌合物，因此对空气的污染是不可避免的。湿法喷射即是将水泥、砂石料加水拌合形成混凝土，通过管道输送到工作面，快速喷射到岩（土）面上。湿喷法对大气的污染要小得多，因此从环境保护角度建议采用湿喷工艺。</w:t>
      </w:r>
    </w:p>
    <w:p w14:paraId="7C233CC0">
      <w:pPr>
        <w:spacing w:before="164" w:beforeLines="50" w:after="164" w:afterLines="50"/>
        <w:ind w:firstLine="0"/>
        <w:jc w:val="center"/>
        <w:outlineLvl w:val="2"/>
        <w:rPr>
          <w:rFonts w:eastAsia="仿宋"/>
          <w:b/>
          <w:bCs/>
          <w:color w:val="auto"/>
          <w:sz w:val="28"/>
          <w:szCs w:val="28"/>
        </w:rPr>
      </w:pPr>
      <w:bookmarkStart w:id="969" w:name="_Toc17995"/>
      <w:bookmarkStart w:id="970" w:name="_Toc24811"/>
      <w:bookmarkStart w:id="971" w:name="_Toc16347"/>
      <w:bookmarkStart w:id="972" w:name="_Toc23883"/>
      <w:bookmarkStart w:id="973" w:name="_Toc1691"/>
      <w:bookmarkStart w:id="974" w:name="_Toc28381"/>
      <w:bookmarkStart w:id="975" w:name="_Toc20046"/>
      <w:bookmarkStart w:id="976" w:name="_Toc3247"/>
      <w:bookmarkStart w:id="977" w:name="_Toc1960"/>
      <w:r>
        <w:rPr>
          <w:rFonts w:eastAsia="仿宋"/>
          <w:b/>
          <w:bCs/>
          <w:color w:val="auto"/>
          <w:sz w:val="28"/>
          <w:szCs w:val="28"/>
        </w:rPr>
        <w:t>Ⅲ  组合</w:t>
      </w:r>
      <w:bookmarkEnd w:id="969"/>
      <w:bookmarkEnd w:id="970"/>
      <w:bookmarkEnd w:id="971"/>
      <w:bookmarkEnd w:id="972"/>
      <w:r>
        <w:rPr>
          <w:rFonts w:eastAsia="仿宋"/>
          <w:b/>
          <w:bCs/>
          <w:color w:val="auto"/>
          <w:sz w:val="28"/>
          <w:szCs w:val="28"/>
        </w:rPr>
        <w:t>钢连续墙</w:t>
      </w:r>
      <w:bookmarkEnd w:id="973"/>
      <w:bookmarkEnd w:id="974"/>
      <w:bookmarkEnd w:id="975"/>
      <w:bookmarkEnd w:id="976"/>
      <w:bookmarkEnd w:id="977"/>
    </w:p>
    <w:p w14:paraId="15FE9ECB">
      <w:pPr>
        <w:ind w:firstLine="0"/>
        <w:rPr>
          <w:bCs/>
        </w:rPr>
      </w:pPr>
      <w:r>
        <w:rPr>
          <w:b/>
          <w:bCs/>
        </w:rPr>
        <w:t>6.2.6　</w:t>
      </w:r>
      <w:r>
        <w:rPr>
          <w:bCs/>
        </w:rPr>
        <w:t>管廊为长条形结构，施工往往分段进行，为节约成本，钢板桩材料可随管廊结构一同分段进行。</w:t>
      </w:r>
    </w:p>
    <w:p w14:paraId="079E5704">
      <w:pPr>
        <w:ind w:firstLine="0"/>
        <w:rPr>
          <w:bCs/>
        </w:rPr>
      </w:pPr>
      <w:r>
        <w:rPr>
          <w:b/>
          <w:bCs/>
        </w:rPr>
        <w:t>6.2.8　</w:t>
      </w:r>
      <w:r>
        <w:rPr>
          <w:bCs/>
        </w:rPr>
        <w:t>钢板桩为重复利用产品，重复使用可能会造成桩身变形、锁口无法紧密贴合，当需要发挥止水功能时可能会影响止水效果，为避免管廊基坑侧壁渗水，打设前需确保桩身垂直、锁口符合标准规定。</w:t>
      </w:r>
    </w:p>
    <w:p w14:paraId="5D69C0EB">
      <w:pPr>
        <w:ind w:firstLine="480" w:firstLineChars="200"/>
        <w:rPr>
          <w:bCs/>
        </w:rPr>
      </w:pPr>
      <w:r>
        <w:rPr>
          <w:bCs/>
        </w:rPr>
        <w:t>凡钢板桩有弯曲、破损、锁口不合格的均应整修，按具体情况分别用冷弯、热敲、焊补、铆补、割除或接长。锁口检查可用一块长1.5m～2.0m符合类型、规格的钢板桩做标准，将所有同类型的钢板桩做锁口通过检查。检查用绞车或卷扬机拉动标准钢板桩平车，从桩头至桩尾进行。</w:t>
      </w:r>
    </w:p>
    <w:p w14:paraId="75946C78">
      <w:pPr>
        <w:ind w:firstLine="0"/>
        <w:rPr>
          <w:bCs/>
        </w:rPr>
      </w:pPr>
      <w:r>
        <w:rPr>
          <w:b/>
          <w:bCs/>
        </w:rPr>
        <w:t>6.2.9　</w:t>
      </w:r>
      <w:r>
        <w:rPr>
          <w:bCs/>
        </w:rPr>
        <w:t>钢板桩沉桩工艺主要有锤击法、振动法和静压法，这三种方法必要时辅助射水法施工，这几种工艺各有优缺点。锤击法穿透能力比较强，是硬土层中沉桩或是屏风式沉桩中最后几击将钢板桩打至设计标高的最好方法。振动法沉桩快捷高效、作业成本低，既可以沉桩又能拔桩，是目前最常用的一种沉桩方法，但沉桩时会产生一定的振动和噪音，可以通过选用合适的设备如免共振振动锤，将噪音控制在最小的程度，该方法不适合于非常敏感的场地。静压法是一种无振动无噪音的液压静压压桩方法，在黏性土中压桩效果非常有效，在密实的砂土中压桩效果不是很好；静压法在对振动和噪音非常敏感的场地是最有效的方法，但施工效率低、作业成本高。</w:t>
      </w:r>
    </w:p>
    <w:p w14:paraId="403B68C9">
      <w:pPr>
        <w:ind w:firstLine="0"/>
        <w:rPr>
          <w:bCs/>
        </w:rPr>
      </w:pPr>
      <w:r>
        <w:rPr>
          <w:b/>
          <w:bCs/>
        </w:rPr>
        <w:t>6.2.10　</w:t>
      </w:r>
      <w:r>
        <w:rPr>
          <w:bCs/>
        </w:rPr>
        <w:t>射水沉桩作为辅助沉桩手段，一般用于锤击法和振动法，钢板桩射水助沉施工工法适用于软土层、淤泥层、砂土层和砾石层等多种地质条件，它在施工过程中，采用高压水射入土体，以降低土体的黏聚力和摩阻力，提高沉桩的效率，使钢板桩能顺利沉入土中；黏土中采用射水法会在黏土层表面形成一个非常滑的水膜，土体经射水后严重破坏，因此在黏土层中不宜使用射水法沉桩。</w:t>
      </w:r>
    </w:p>
    <w:p w14:paraId="5890E5B5">
      <w:pPr>
        <w:spacing w:before="164" w:beforeLines="50" w:after="164" w:afterLines="50"/>
        <w:ind w:firstLine="0"/>
        <w:jc w:val="center"/>
        <w:outlineLvl w:val="2"/>
        <w:rPr>
          <w:rFonts w:eastAsia="仿宋"/>
          <w:b/>
          <w:bCs/>
          <w:color w:val="auto"/>
          <w:sz w:val="28"/>
          <w:szCs w:val="28"/>
        </w:rPr>
      </w:pPr>
      <w:bookmarkStart w:id="978" w:name="_Toc15802"/>
      <w:bookmarkStart w:id="979" w:name="_Toc16386"/>
      <w:bookmarkStart w:id="980" w:name="_Toc27234"/>
      <w:bookmarkStart w:id="981" w:name="_Toc15049"/>
      <w:bookmarkStart w:id="982" w:name="_Toc10050"/>
      <w:bookmarkStart w:id="983" w:name="_Toc4323"/>
      <w:bookmarkStart w:id="984" w:name="_Toc7265"/>
      <w:bookmarkStart w:id="985" w:name="_Toc24246"/>
      <w:bookmarkStart w:id="986" w:name="_Toc15417"/>
      <w:r>
        <w:rPr>
          <w:rFonts w:eastAsia="仿宋"/>
          <w:b/>
          <w:bCs/>
          <w:color w:val="auto"/>
          <w:sz w:val="28"/>
          <w:szCs w:val="28"/>
        </w:rPr>
        <w:t>Ⅳ  劲芯水泥土连续墙</w:t>
      </w:r>
      <w:bookmarkEnd w:id="978"/>
      <w:bookmarkEnd w:id="979"/>
      <w:bookmarkEnd w:id="980"/>
      <w:bookmarkEnd w:id="981"/>
      <w:bookmarkEnd w:id="982"/>
      <w:bookmarkEnd w:id="983"/>
      <w:bookmarkEnd w:id="984"/>
      <w:bookmarkEnd w:id="985"/>
      <w:bookmarkEnd w:id="986"/>
    </w:p>
    <w:p w14:paraId="05D6D192">
      <w:pPr>
        <w:ind w:firstLine="0"/>
        <w:rPr>
          <w:bCs/>
        </w:rPr>
      </w:pPr>
      <w:r>
        <w:rPr>
          <w:b/>
          <w:bCs/>
        </w:rPr>
        <w:t>6.2.13　</w:t>
      </w:r>
      <w:r>
        <w:rPr>
          <w:bCs/>
        </w:rPr>
        <w:t>型钢水泥土搅拌墙宜优先采用三轴水泥土搅拌桩，单轴、双轴也可，还可采用等厚度水泥土地下连续墙施工法（TRD工法\CSM工法）施工。</w:t>
      </w:r>
    </w:p>
    <w:p w14:paraId="49FABEB3">
      <w:pPr>
        <w:ind w:firstLine="0"/>
        <w:rPr>
          <w:b/>
          <w:bCs/>
          <w:szCs w:val="21"/>
        </w:rPr>
      </w:pPr>
      <w:r>
        <w:rPr>
          <w:b/>
          <w:bCs/>
        </w:rPr>
        <w:t>6.2.14　</w:t>
      </w:r>
      <w:r>
        <w:rPr>
          <w:bCs/>
        </w:rPr>
        <w:t>在型钢表面涂抹减摩材料是为了便于拔出，涂抹减摩材料前，应清除型钢表面的铁锈和灰尘灯其他杂物。减摩材料涂抹厚度大于1mm，并应涂抹均匀，以确保减摩材料层的黏结质量。</w:t>
      </w:r>
    </w:p>
    <w:p w14:paraId="1EA60666">
      <w:pPr>
        <w:spacing w:before="164" w:beforeLines="50" w:after="164" w:afterLines="50"/>
        <w:ind w:firstLine="0"/>
        <w:jc w:val="center"/>
        <w:outlineLvl w:val="2"/>
        <w:rPr>
          <w:rFonts w:eastAsia="仿宋"/>
          <w:b/>
          <w:bCs/>
          <w:color w:val="auto"/>
          <w:sz w:val="28"/>
          <w:szCs w:val="28"/>
        </w:rPr>
      </w:pPr>
      <w:bookmarkStart w:id="987" w:name="_Toc15125"/>
      <w:bookmarkStart w:id="988" w:name="_Toc1805"/>
      <w:bookmarkStart w:id="989" w:name="_Toc6207"/>
      <w:bookmarkStart w:id="990" w:name="_Toc247"/>
      <w:bookmarkStart w:id="991" w:name="_Toc17814"/>
      <w:bookmarkStart w:id="992" w:name="_Toc31504"/>
      <w:bookmarkStart w:id="993" w:name="_Toc21679"/>
      <w:bookmarkStart w:id="994" w:name="_Toc1457"/>
      <w:bookmarkStart w:id="995" w:name="_Toc26332"/>
      <w:r>
        <w:rPr>
          <w:rFonts w:eastAsia="仿宋"/>
          <w:b/>
          <w:bCs/>
          <w:color w:val="auto"/>
          <w:sz w:val="28"/>
          <w:szCs w:val="28"/>
        </w:rPr>
        <w:t>Ⅴ  排桩</w:t>
      </w:r>
      <w:bookmarkEnd w:id="987"/>
      <w:bookmarkEnd w:id="988"/>
      <w:bookmarkEnd w:id="989"/>
      <w:bookmarkEnd w:id="990"/>
      <w:bookmarkEnd w:id="991"/>
      <w:bookmarkEnd w:id="992"/>
      <w:bookmarkEnd w:id="993"/>
      <w:bookmarkEnd w:id="994"/>
      <w:bookmarkEnd w:id="995"/>
    </w:p>
    <w:p w14:paraId="1F585458">
      <w:pPr>
        <w:ind w:firstLine="0"/>
        <w:rPr>
          <w:bCs/>
        </w:rPr>
      </w:pPr>
      <w:r>
        <w:rPr>
          <w:b/>
          <w:bCs/>
        </w:rPr>
        <w:t>6.2.17　</w:t>
      </w:r>
      <w:r>
        <w:rPr>
          <w:bCs/>
        </w:rPr>
        <w:t>钻孔灌注桩需泥浆护壁成孔时，采用黏性土造浆时，制造泥浆的黏土用量土可参考《工程地址手册》（第五版）第121页公式。</w:t>
      </w:r>
    </w:p>
    <w:p w14:paraId="4B040224">
      <w:pPr>
        <w:ind w:firstLine="0"/>
        <w:rPr>
          <w:bCs/>
        </w:rPr>
      </w:pPr>
      <w:r>
        <w:rPr>
          <w:b/>
          <w:bCs/>
        </w:rPr>
        <w:t>6.2.18　</w:t>
      </w:r>
      <w:r>
        <w:rPr>
          <w:bCs/>
        </w:rPr>
        <w:t>咬合式排桩一般采用有钢筋的桩和无钢筋的桩组成，可兼做维护结构，施工应合理选择硬切割或软切割工艺，施工时应先施工Ⅰ序桩，后施工Ⅱ序桩；硬切割时，Ⅱ序桩应待两侧Ⅰ序桩混凝土终凝后再切割施工；软切割时，Ⅱ序桩应待两侧Ⅰ序桩混凝土初凝前切割施工。</w:t>
      </w:r>
    </w:p>
    <w:p w14:paraId="00F14376">
      <w:pPr>
        <w:spacing w:before="164" w:beforeLines="50" w:after="164" w:afterLines="50"/>
        <w:ind w:firstLine="0"/>
        <w:jc w:val="center"/>
        <w:outlineLvl w:val="2"/>
        <w:rPr>
          <w:rFonts w:eastAsia="仿宋"/>
          <w:b/>
          <w:bCs/>
          <w:color w:val="auto"/>
          <w:sz w:val="28"/>
          <w:szCs w:val="28"/>
        </w:rPr>
      </w:pPr>
      <w:bookmarkStart w:id="996" w:name="_Toc13012"/>
      <w:bookmarkStart w:id="997" w:name="_Toc13244"/>
      <w:bookmarkStart w:id="998" w:name="_Toc9276"/>
      <w:bookmarkStart w:id="999" w:name="_Toc1860"/>
      <w:bookmarkStart w:id="1000" w:name="_Toc22518"/>
      <w:bookmarkStart w:id="1001" w:name="_Toc9931"/>
      <w:bookmarkStart w:id="1002" w:name="_Toc26918"/>
      <w:bookmarkStart w:id="1003" w:name="_Toc2136"/>
      <w:bookmarkStart w:id="1004" w:name="_Toc18911"/>
      <w:r>
        <w:rPr>
          <w:rFonts w:eastAsia="仿宋"/>
          <w:b/>
          <w:bCs/>
          <w:color w:val="auto"/>
          <w:sz w:val="28"/>
          <w:szCs w:val="28"/>
        </w:rPr>
        <w:t>Ⅵ  内支撑</w:t>
      </w:r>
      <w:bookmarkEnd w:id="996"/>
      <w:bookmarkEnd w:id="997"/>
      <w:bookmarkEnd w:id="998"/>
      <w:bookmarkEnd w:id="999"/>
      <w:bookmarkEnd w:id="1000"/>
      <w:bookmarkEnd w:id="1001"/>
      <w:bookmarkEnd w:id="1002"/>
      <w:bookmarkEnd w:id="1003"/>
      <w:bookmarkEnd w:id="1004"/>
    </w:p>
    <w:p w14:paraId="37B25306">
      <w:pPr>
        <w:ind w:firstLine="0"/>
        <w:rPr>
          <w:bCs/>
        </w:rPr>
      </w:pPr>
      <w:r>
        <w:rPr>
          <w:b/>
          <w:bCs/>
        </w:rPr>
        <w:t>6.2.20　</w:t>
      </w:r>
      <w:r>
        <w:rPr>
          <w:bCs/>
        </w:rPr>
        <w:t>支撑底部若不采取隔离土体的措施，底部宜附着土块，土块有掉落的风险，后期人员在支撑底部施工存在安全隐患，可在底部铺垫彩条布或木模板，挖土的时候安排专人及时清理。</w:t>
      </w:r>
    </w:p>
    <w:p w14:paraId="35E95222">
      <w:pPr>
        <w:ind w:firstLine="480" w:firstLineChars="200"/>
        <w:rPr>
          <w:bCs/>
        </w:rPr>
      </w:pPr>
      <w:r>
        <w:rPr>
          <w:bCs/>
        </w:rPr>
        <w:t>对于长度大于100m的混凝土支撑构件，施工中若采用一次性整体浇筑的方法，会产生压缩变形、收缩变形、温度变形及徐变变形等效应，在超长混凝土支撑中的负作用非常明显，分段浇筑可以减少这些效应的影响。另外，养护对减小混凝土的变形也非常重要，工程中可结合气候条件采用浇水养护、草袋覆盖洒水养护等方法。</w:t>
      </w:r>
    </w:p>
    <w:p w14:paraId="13B9EAEF">
      <w:pPr>
        <w:widowControl/>
        <w:ind w:firstLine="0"/>
        <w:rPr>
          <w:bCs/>
        </w:rPr>
      </w:pPr>
      <w:r>
        <w:rPr>
          <w:b/>
          <w:bCs/>
        </w:rPr>
        <w:t>6.2.21　</w:t>
      </w:r>
      <w:r>
        <w:rPr>
          <w:bCs/>
          <w:lang w:bidi="ar"/>
        </w:rPr>
        <w:t>随着城市地下空间的不断开发，城市地下空间呈现更大规模的发展趋势。基坑深度越来越大，城市核心区管线密集，当管廊明挖段基坑周边紧邻地铁、房屋以及道路，周边环境对基坑的变形控制要求很高时。混凝土支撑由于温度降低以及水土压力的作用，混凝土弹性压缩和徐变使得大尺度内支撑产生很大的轴向变形，基坑围护墙在基坑外部土压力和内支撑轴向收缩效应的共同作用下，将对基坑安全以及坑外管线安全造成重大隐患。因此通过在混凝土支撑中施加预应力，能消除混凝土支撑结构的松弛，解决深基坑围护变形过大的问题。</w:t>
      </w:r>
    </w:p>
    <w:p w14:paraId="2EB0339B">
      <w:pPr>
        <w:ind w:firstLine="0"/>
        <w:rPr>
          <w:bCs/>
        </w:rPr>
      </w:pPr>
      <w:r>
        <w:rPr>
          <w:b/>
          <w:bCs/>
        </w:rPr>
        <w:t>6.2.22　</w:t>
      </w:r>
      <w:r>
        <w:rPr>
          <w:bCs/>
        </w:rPr>
        <w:t>为保证围护墙与冠梁、腰梁间的传力均匀、可靠，围护墙与冠梁、腰梁间的空隙必须采用C30或以上等级的细石混凝土填充密实，或其他可靠连接措施。</w:t>
      </w:r>
    </w:p>
    <w:p w14:paraId="018F5DEA">
      <w:pPr>
        <w:spacing w:before="164" w:beforeLines="50" w:after="164" w:afterLines="50"/>
        <w:ind w:firstLine="0"/>
        <w:jc w:val="center"/>
        <w:outlineLvl w:val="2"/>
        <w:rPr>
          <w:rFonts w:eastAsia="仿宋"/>
          <w:b/>
          <w:bCs/>
          <w:color w:val="auto"/>
          <w:sz w:val="28"/>
          <w:szCs w:val="28"/>
        </w:rPr>
      </w:pPr>
      <w:bookmarkStart w:id="1005" w:name="_Toc5032"/>
      <w:bookmarkStart w:id="1006" w:name="_Toc3617"/>
      <w:bookmarkStart w:id="1007" w:name="_Toc7001"/>
      <w:bookmarkStart w:id="1008" w:name="_Toc28961"/>
      <w:bookmarkStart w:id="1009" w:name="_Toc7464"/>
      <w:bookmarkStart w:id="1010" w:name="_Toc20957"/>
      <w:bookmarkStart w:id="1011" w:name="_Toc20867"/>
      <w:bookmarkStart w:id="1012" w:name="_Toc30519"/>
      <w:bookmarkStart w:id="1013" w:name="_Toc30313"/>
      <w:r>
        <w:rPr>
          <w:rFonts w:eastAsia="仿宋"/>
          <w:b/>
          <w:bCs/>
          <w:color w:val="auto"/>
          <w:sz w:val="28"/>
          <w:szCs w:val="28"/>
        </w:rPr>
        <w:t>Ⅶ  锚杆（索）</w:t>
      </w:r>
      <w:bookmarkEnd w:id="1005"/>
      <w:bookmarkEnd w:id="1006"/>
      <w:bookmarkEnd w:id="1007"/>
      <w:bookmarkEnd w:id="1008"/>
      <w:bookmarkEnd w:id="1009"/>
      <w:bookmarkEnd w:id="1010"/>
      <w:bookmarkEnd w:id="1011"/>
      <w:bookmarkEnd w:id="1012"/>
      <w:bookmarkEnd w:id="1013"/>
    </w:p>
    <w:p w14:paraId="125BF9BC">
      <w:pPr>
        <w:ind w:firstLine="0"/>
        <w:rPr>
          <w:bCs/>
        </w:rPr>
      </w:pPr>
      <w:r>
        <w:rPr>
          <w:b/>
          <w:bCs/>
        </w:rPr>
        <w:t>6.2.25　</w:t>
      </w:r>
      <w:r>
        <w:rPr>
          <w:bCs/>
        </w:rPr>
        <w:t>通过试成锚确定施工参数及施工工艺，可以确保管廊基坑施工的安全性。</w:t>
      </w:r>
    </w:p>
    <w:p w14:paraId="071D4142">
      <w:pPr>
        <w:ind w:firstLine="0"/>
        <w:rPr>
          <w:bCs/>
        </w:rPr>
      </w:pPr>
      <w:r>
        <w:rPr>
          <w:b/>
          <w:bCs/>
        </w:rPr>
        <w:t>6.2.26　</w:t>
      </w:r>
      <w:r>
        <w:rPr>
          <w:bCs/>
        </w:rPr>
        <w:t>管护壁钻孔对钻孔周边扰动小，可有效防止钻孔时的塌孔现象，有利于保证顺利成孔、注浆饱满和注浆质量，提高孔壁地层与注浆体的黏结强度。钻孔前，应根据设计要求和地层条件，定出孔位、做出标记。锚杆（索）钻穿止水帷幕有渗水的风险，应采取有效措施修补帷幕。</w:t>
      </w:r>
    </w:p>
    <w:p w14:paraId="495E7F87">
      <w:pPr>
        <w:ind w:firstLine="0"/>
        <w:rPr>
          <w:bCs/>
        </w:rPr>
      </w:pPr>
      <w:r>
        <w:rPr>
          <w:b/>
          <w:bCs/>
        </w:rPr>
        <w:t>6.2.27　</w:t>
      </w:r>
      <w:r>
        <w:rPr>
          <w:bCs/>
        </w:rPr>
        <w:t>沿杆体轴线方向设置对中支架，主要是为了使杆体材料处于锚杆（索）钻孔中心位置，并保证杆体保护层厚度满足设计要求；研究表明，锚索断裂部位主要位于锚头附近，因此，锚头自由端的防腐极为重要。</w:t>
      </w:r>
    </w:p>
    <w:p w14:paraId="50B88317">
      <w:pPr>
        <w:ind w:firstLine="0"/>
        <w:rPr>
          <w:b/>
          <w:bCs/>
          <w:sz w:val="21"/>
          <w:szCs w:val="21"/>
        </w:rPr>
      </w:pPr>
      <w:r>
        <w:rPr>
          <w:b/>
          <w:bCs/>
        </w:rPr>
        <w:t>6.2.29　</w:t>
      </w:r>
      <w:r>
        <w:rPr>
          <w:bCs/>
        </w:rPr>
        <w:t>锚杆（索）张拉和锁定是锚杆（索）施工的最后一道工序，也是检验锚杆（索）性能最直接的方式。对张拉预紧、锚具的选型方面进行控制，可满足锚杆张拉的要求。正式张拉前，取0.1倍～0.2倍设计拉力值对各杆体进行预紧十分重要，有利于减缓张拉过程中各刚体的受力不均匀性以及减小锚杆（索）的预应力损失。锚杆（索）超张拉是为了补偿张拉时锚夹片回缩引起的预应力损失。</w:t>
      </w:r>
    </w:p>
    <w:p w14:paraId="44E91FBB">
      <w:pPr>
        <w:keepNext/>
        <w:spacing w:before="328" w:beforeLines="100" w:after="328" w:afterLines="100" w:line="240" w:lineRule="auto"/>
        <w:ind w:firstLine="0"/>
        <w:jc w:val="center"/>
        <w:outlineLvl w:val="1"/>
        <w:rPr>
          <w:rFonts w:eastAsia="黑体"/>
          <w:b/>
          <w:bCs/>
          <w:sz w:val="28"/>
          <w:szCs w:val="28"/>
        </w:rPr>
      </w:pPr>
      <w:bookmarkStart w:id="1014" w:name="_Toc28705"/>
      <w:bookmarkStart w:id="1015" w:name="_Toc21818"/>
      <w:bookmarkStart w:id="1016" w:name="_Toc31507"/>
      <w:bookmarkStart w:id="1017" w:name="_Toc193392121"/>
      <w:bookmarkStart w:id="1018" w:name="_Toc25744"/>
      <w:bookmarkStart w:id="1019" w:name="_Toc25808"/>
      <w:bookmarkStart w:id="1020" w:name="_Toc8844"/>
      <w:r>
        <w:rPr>
          <w:rFonts w:eastAsia="黑体"/>
          <w:b/>
          <w:bCs/>
          <w:sz w:val="28"/>
          <w:szCs w:val="28"/>
        </w:rPr>
        <w:t>6.3　地基处理施工</w:t>
      </w:r>
      <w:bookmarkEnd w:id="1014"/>
      <w:bookmarkEnd w:id="1015"/>
      <w:bookmarkEnd w:id="1016"/>
      <w:bookmarkEnd w:id="1017"/>
      <w:bookmarkEnd w:id="1018"/>
      <w:bookmarkEnd w:id="1019"/>
      <w:bookmarkEnd w:id="1020"/>
    </w:p>
    <w:p w14:paraId="73D9DBB8">
      <w:pPr>
        <w:ind w:firstLine="0"/>
      </w:pPr>
      <w:r>
        <w:rPr>
          <w:b/>
          <w:bCs/>
        </w:rPr>
        <w:t>6.3.3　</w:t>
      </w:r>
      <w:r>
        <w:t>水泥土搅拌法适用于处理正常固结的淤泥与淤泥质土、粉土、饱和黄土、素填土、黏性土以及无流动地下水的饱和松散砂土等地基。当地基土的天然含水量小于30%（黄土含水量小于25%）、大于70%或地下水的pH值小于4时不宜采用干法。冬季施工时，应注意负温对处理效果的影响。</w:t>
      </w:r>
    </w:p>
    <w:p w14:paraId="2194FE59">
      <w:pPr>
        <w:ind w:firstLine="480" w:firstLineChars="200"/>
      </w:pPr>
      <w:r>
        <w:t>水泥土搅拌桩基可采用单轴、双轴或三轴水泥土搅拌法施工。水泥土搅拌法的特点是：在地基加固过程中无振动、无噪音，对环境无污染，对土无侧向挤压，对邻近建筑物影响很小。可按建筑物要求做成柱状、壁状、格栅状和块状等加固形状，可有效地提高地基强度，同时施工期较短，造价低廉，效益显著。</w:t>
      </w:r>
    </w:p>
    <w:p w14:paraId="09749988">
      <w:pPr>
        <w:ind w:firstLine="0"/>
      </w:pPr>
      <w:r>
        <w:rPr>
          <w:b/>
          <w:bCs/>
        </w:rPr>
        <w:t>6.3.4　</w:t>
      </w:r>
      <w:r>
        <w:t>高压旋喷桩施工压力应根据底层情况确定，一般土、砂层控制在20MPa，中密、密实砂层应大于30MPa，极松散的砂土层也可控制在10MPa。水灰比宜为1.0。</w:t>
      </w:r>
    </w:p>
    <w:p w14:paraId="36444B8C">
      <w:pPr>
        <w:spacing w:before="4"/>
        <w:ind w:right="17" w:firstLine="420"/>
      </w:pPr>
      <w:r>
        <w:rPr>
          <w:spacing w:val="7"/>
        </w:rPr>
        <w:t>双高压旋喷工法（</w:t>
      </w:r>
      <w:r>
        <w:t>Rod</w:t>
      </w:r>
      <w:r>
        <w:rPr>
          <w:spacing w:val="7"/>
        </w:rPr>
        <w:t xml:space="preserve"> </w:t>
      </w:r>
      <w:r>
        <w:t>in</w:t>
      </w:r>
      <w:r>
        <w:rPr>
          <w:spacing w:val="15"/>
          <w:w w:val="101"/>
        </w:rPr>
        <w:t xml:space="preserve"> </w:t>
      </w:r>
      <w:r>
        <w:t>Jet</w:t>
      </w:r>
      <w:r>
        <w:rPr>
          <w:spacing w:val="11"/>
        </w:rPr>
        <w:t xml:space="preserve"> </w:t>
      </w:r>
      <w:r>
        <w:t>Pile</w:t>
      </w:r>
      <w:r>
        <w:rPr>
          <w:spacing w:val="-16"/>
        </w:rPr>
        <w:t xml:space="preserve"> </w:t>
      </w:r>
      <w:r>
        <w:rPr>
          <w:spacing w:val="7"/>
        </w:rPr>
        <w:t>简称</w:t>
      </w:r>
      <w:r>
        <w:t>RJP</w:t>
      </w:r>
      <w:r>
        <w:rPr>
          <w:spacing w:val="7"/>
        </w:rPr>
        <w:t>）是将超高压水</w:t>
      </w:r>
      <w:r>
        <w:rPr>
          <w:spacing w:val="1"/>
        </w:rPr>
        <w:t>和压缩空气喷射流，以及超高压水泥浆和压缩</w:t>
      </w:r>
      <w:r>
        <w:t>空气喷射流，通过安</w:t>
      </w:r>
      <w:r>
        <w:rPr>
          <w:spacing w:val="8"/>
        </w:rPr>
        <w:t>装在多重管前端的喷射器分两个阶段对土体进行切割搅</w:t>
      </w:r>
      <w:r>
        <w:rPr>
          <w:spacing w:val="7"/>
        </w:rPr>
        <w:t>拌，位于</w:t>
      </w:r>
      <w:r>
        <w:rPr>
          <w:spacing w:val="8"/>
        </w:rPr>
        <w:t>上部的高压水刀对土体先行导向切割破碎，位于下部的高压浆刀对土体进行二次扩大切割破碎，同时水泥浆与土体</w:t>
      </w:r>
      <w:r>
        <w:rPr>
          <w:spacing w:val="7"/>
        </w:rPr>
        <w:t>搅拌混合形成</w:t>
      </w:r>
      <w:r>
        <w:rPr>
          <w:spacing w:val="1"/>
        </w:rPr>
        <w:t>加固体。此工法的特点是加固深度大、桩径大、</w:t>
      </w:r>
      <w:r>
        <w:t>加固直径和强度比</w:t>
      </w:r>
      <w:r>
        <w:rPr>
          <w:spacing w:val="-2"/>
        </w:rPr>
        <w:t>较均匀。</w:t>
      </w:r>
    </w:p>
    <w:p w14:paraId="2FE1E19B">
      <w:pPr>
        <w:ind w:firstLine="0"/>
        <w:jc w:val="left"/>
        <w:rPr>
          <w:b/>
          <w:bCs/>
          <w:sz w:val="21"/>
          <w:szCs w:val="21"/>
        </w:rPr>
      </w:pPr>
      <w:r>
        <w:rPr>
          <w:b/>
          <w:bCs/>
        </w:rPr>
        <w:t>6.3.5　</w:t>
      </w:r>
      <w:r>
        <w:t>水泥粉煤灰碎石桩的施工应根据现场条件选用长螺旋或振动沉管成桩施工工艺，长螺旋钻孔灌注成桩，适用于地下水位以上的黏性土、粉土、素填土、中等密实以上的砂土；长螺旋钻孔、管内泵压混合料灌注成桩，适用于黏性土、粉土、砂土，以及对噪声或泥浆污染要求严格的场地；振动沉管灌注成桩，适用于粉土、黏性土及素填土地基。</w:t>
      </w:r>
    </w:p>
    <w:p w14:paraId="25027C37">
      <w:pPr>
        <w:keepNext/>
        <w:spacing w:before="328" w:beforeLines="100" w:after="328" w:afterLines="100" w:line="240" w:lineRule="auto"/>
        <w:ind w:firstLine="0"/>
        <w:jc w:val="center"/>
        <w:outlineLvl w:val="1"/>
        <w:rPr>
          <w:rFonts w:eastAsia="黑体"/>
          <w:b/>
          <w:bCs/>
          <w:sz w:val="28"/>
          <w:szCs w:val="28"/>
        </w:rPr>
      </w:pPr>
      <w:bookmarkStart w:id="1021" w:name="_Toc193392122"/>
      <w:bookmarkStart w:id="1022" w:name="_Toc23891"/>
      <w:bookmarkStart w:id="1023" w:name="_Toc5247"/>
      <w:bookmarkStart w:id="1024" w:name="_Toc10426"/>
      <w:bookmarkStart w:id="1025" w:name="_Toc26908"/>
      <w:bookmarkStart w:id="1026" w:name="_Toc26807"/>
      <w:bookmarkStart w:id="1027" w:name="_Toc22625"/>
      <w:bookmarkStart w:id="1028" w:name="_Toc12393"/>
      <w:bookmarkStart w:id="1029" w:name="_Toc31380"/>
      <w:bookmarkStart w:id="1030" w:name="_Toc15309"/>
      <w:bookmarkStart w:id="1031" w:name="_Toc716"/>
      <w:bookmarkStart w:id="1032" w:name="_Toc3472"/>
      <w:r>
        <w:rPr>
          <w:rFonts w:eastAsia="黑体"/>
          <w:b/>
          <w:bCs/>
          <w:sz w:val="28"/>
          <w:szCs w:val="28"/>
        </w:rPr>
        <w:t>6.4　地下水控制施工</w:t>
      </w:r>
      <w:bookmarkEnd w:id="1021"/>
      <w:bookmarkEnd w:id="1022"/>
      <w:bookmarkEnd w:id="1023"/>
      <w:bookmarkEnd w:id="1024"/>
      <w:bookmarkEnd w:id="1025"/>
      <w:bookmarkEnd w:id="1026"/>
      <w:bookmarkEnd w:id="1027"/>
      <w:bookmarkEnd w:id="1028"/>
      <w:bookmarkEnd w:id="1029"/>
      <w:bookmarkEnd w:id="1030"/>
      <w:bookmarkEnd w:id="1031"/>
      <w:bookmarkEnd w:id="1032"/>
    </w:p>
    <w:p w14:paraId="585E64E6">
      <w:pPr>
        <w:ind w:firstLine="0"/>
        <w:rPr>
          <w:b/>
          <w:bCs/>
        </w:rPr>
      </w:pPr>
      <w:r>
        <w:rPr>
          <w:b/>
          <w:bCs/>
        </w:rPr>
        <w:t>6.4.1　</w:t>
      </w:r>
      <w:r>
        <w:t>地下水控制的方法包括集水明排、截水和降水等。有效的地下水控制措施可以保证坑底干燥，方便施工，提高土体抗剪能力和基坑稳定性，防止基坑突涌，减小坑底隆起。确保管廊基坑工程安全。</w:t>
      </w:r>
    </w:p>
    <w:p w14:paraId="533C7F2D">
      <w:pPr>
        <w:ind w:firstLine="0"/>
      </w:pPr>
      <w:r>
        <w:rPr>
          <w:b/>
          <w:bCs/>
        </w:rPr>
        <w:t>6.4.4　</w:t>
      </w:r>
      <w:r>
        <w:rPr>
          <w:bCs/>
        </w:rPr>
        <w:t>应结合场地地表排水系统进行基坑排水沟和集水井的设置，排水系统应通过沉淀系统后排入市政管线。</w:t>
      </w:r>
    </w:p>
    <w:p w14:paraId="098E129D">
      <w:pPr>
        <w:ind w:firstLine="0"/>
        <w:rPr>
          <w:bCs/>
        </w:rPr>
      </w:pPr>
      <w:r>
        <w:rPr>
          <w:b/>
          <w:bCs/>
        </w:rPr>
        <w:t>6.4.7　</w:t>
      </w:r>
      <w:r>
        <w:rPr>
          <w:bCs/>
        </w:rPr>
        <w:t>基坑开挖前，应根据降水设计方案、周边环境条件，参考地区成熟的相关工程经验，编制降水施工方案，原则上应保证基坑降水不对基坑周边环境产生明显的不利影响。</w:t>
      </w:r>
    </w:p>
    <w:p w14:paraId="448046F1">
      <w:pPr>
        <w:ind w:firstLine="0"/>
      </w:pPr>
      <w:r>
        <w:rPr>
          <w:b/>
          <w:bCs/>
        </w:rPr>
        <w:t>6.4.8　</w:t>
      </w:r>
      <w:r>
        <w:t>水冲法成孔施工是利用高压水流冲开土层，冲孔管依靠自重下沉。砂性土中冲孔所需水流压力为0.4MPa～0.5MPa，黏性土中冲孔所需水流压力为0.6MPa～0.7MPa。冲孔达到设计深度后，应尽快减低水压、拔出冲孔管，向孔内沉入井点管并在井点管外壁与孔壁之间快速回填滤料（粗砂、砾砂）。</w:t>
      </w:r>
    </w:p>
    <w:p w14:paraId="6BBCF156">
      <w:pPr>
        <w:ind w:firstLine="0"/>
      </w:pPr>
      <w:r>
        <w:rPr>
          <w:b/>
          <w:bCs/>
        </w:rPr>
        <w:t>6.4.9　</w:t>
      </w:r>
      <w:r>
        <w:t>喷射井点成孔施工采用钻孔法。成孔达到设计深度后，向孔内沉入井点管，井点管外壁与孔壁之间回填滤料（粗砂、砾砂）。</w:t>
      </w:r>
    </w:p>
    <w:p w14:paraId="2342FFD8">
      <w:pPr>
        <w:ind w:firstLine="0"/>
      </w:pPr>
      <w:r>
        <w:rPr>
          <w:b/>
          <w:bCs/>
        </w:rPr>
        <w:t>6.4.11　</w:t>
      </w:r>
      <w:r>
        <w:t>管井一般由井口、井管、过滤器及沉淀管四个部分组成。井管可用钢管、铸铁管、钢筋笼管等金属材料或塑料管、水泥管等非金属材料。降水管井洗井宜采用联合洗井法，先用空压机进行洗井，待出水后改用活塞洗井。活塞洗井一定要将水拉出井口，形成井喷状，要求洗井到清水，然后再用空压机洗井并清除井底沉渣。</w:t>
      </w:r>
    </w:p>
    <w:p w14:paraId="1880A163">
      <w:pPr>
        <w:keepNext/>
        <w:spacing w:before="328" w:beforeLines="100" w:after="328" w:afterLines="100" w:line="240" w:lineRule="auto"/>
        <w:ind w:firstLine="0"/>
        <w:jc w:val="center"/>
        <w:outlineLvl w:val="1"/>
        <w:rPr>
          <w:rFonts w:eastAsia="黑体"/>
          <w:b/>
          <w:bCs/>
          <w:sz w:val="28"/>
          <w:szCs w:val="28"/>
        </w:rPr>
      </w:pPr>
      <w:bookmarkStart w:id="1033" w:name="_Toc18760"/>
      <w:bookmarkStart w:id="1034" w:name="_Toc193392123"/>
      <w:bookmarkStart w:id="1035" w:name="_Toc7263"/>
      <w:bookmarkStart w:id="1036" w:name="_Toc10761"/>
      <w:bookmarkStart w:id="1037" w:name="_Toc5715"/>
      <w:bookmarkStart w:id="1038" w:name="_Toc21673"/>
      <w:bookmarkStart w:id="1039" w:name="_Toc17184"/>
      <w:bookmarkStart w:id="1040" w:name="_Toc21330"/>
      <w:bookmarkStart w:id="1041" w:name="_Toc9171"/>
      <w:bookmarkStart w:id="1042" w:name="_Toc24101"/>
      <w:bookmarkStart w:id="1043" w:name="_Toc5276"/>
      <w:bookmarkStart w:id="1044" w:name="_Toc22134"/>
      <w:r>
        <w:rPr>
          <w:rFonts w:eastAsia="黑体"/>
          <w:b/>
          <w:bCs/>
          <w:sz w:val="28"/>
          <w:szCs w:val="28"/>
        </w:rPr>
        <w:t>6.5　土方施工</w:t>
      </w:r>
      <w:bookmarkEnd w:id="1033"/>
      <w:bookmarkEnd w:id="1034"/>
      <w:bookmarkEnd w:id="1035"/>
      <w:bookmarkEnd w:id="1036"/>
      <w:bookmarkEnd w:id="1037"/>
      <w:bookmarkEnd w:id="1038"/>
      <w:bookmarkEnd w:id="1039"/>
      <w:bookmarkEnd w:id="1040"/>
      <w:bookmarkEnd w:id="1041"/>
      <w:bookmarkEnd w:id="1042"/>
      <w:bookmarkEnd w:id="1043"/>
      <w:bookmarkEnd w:id="1044"/>
    </w:p>
    <w:p w14:paraId="0217DFD6">
      <w:pPr>
        <w:ind w:firstLine="0"/>
      </w:pPr>
      <w:r>
        <w:rPr>
          <w:b/>
          <w:bCs/>
        </w:rPr>
        <w:t>6.5.3　</w:t>
      </w:r>
      <w:r>
        <w:t>回填的材料，宜首先考虑就地取材，回填前进行取样分析确认回填材料是否能满足设计或规范要求。施工前应合理确定填方材料含水率控制范围、虚铺厚度和压实遍数等参数，填土含水量应综合考虑填料类型、压实系数、压实方式，再比照最佳含水率进行施工控制，填土最佳含水量通过击实试验确定。如含水率偏高，可采用翻松、凉晒或均匀掺入干土等措施，如遇回填土的含水率偏低，可采用先洒水润湿等措施。</w:t>
      </w:r>
    </w:p>
    <w:p w14:paraId="51DBAA8F">
      <w:r>
        <w:br w:type="page"/>
      </w:r>
    </w:p>
    <w:p w14:paraId="3D6A6F1D"/>
    <w:p w14:paraId="405457FE">
      <w:pPr>
        <w:pStyle w:val="19"/>
        <w:widowControl w:val="0"/>
        <w:spacing w:before="328" w:beforeLines="100" w:after="328" w:afterLines="100" w:line="360" w:lineRule="auto"/>
        <w:jc w:val="center"/>
        <w:outlineLvl w:val="0"/>
        <w:rPr>
          <w:rFonts w:ascii="Times New Roman" w:eastAsia="宋体"/>
          <w:b/>
          <w:sz w:val="32"/>
          <w:szCs w:val="32"/>
        </w:rPr>
      </w:pPr>
      <w:bookmarkStart w:id="1045" w:name="_Toc14262"/>
      <w:bookmarkStart w:id="1046" w:name="_Toc31572"/>
      <w:bookmarkStart w:id="1047" w:name="_Toc26090"/>
      <w:bookmarkStart w:id="1048" w:name="_Toc24903"/>
      <w:bookmarkStart w:id="1049" w:name="_Toc31658"/>
      <w:bookmarkStart w:id="1050" w:name="_Toc6178"/>
      <w:bookmarkStart w:id="1051" w:name="_Toc29639"/>
      <w:bookmarkStart w:id="1052" w:name="_Toc895"/>
      <w:bookmarkStart w:id="1053" w:name="_Toc354"/>
      <w:bookmarkStart w:id="1054" w:name="_Toc16132"/>
      <w:bookmarkStart w:id="1055" w:name="_Toc32724"/>
      <w:bookmarkStart w:id="1056" w:name="_Toc11243"/>
      <w:bookmarkStart w:id="1057" w:name="_Toc193392124"/>
      <w:r>
        <w:rPr>
          <w:rFonts w:ascii="Times New Roman" w:eastAsia="宋体"/>
          <w:sz w:val="32"/>
          <w:szCs w:val="32"/>
        </w:rPr>
        <w:t>7　</w:t>
      </w:r>
      <w:r>
        <w:rPr>
          <w:rFonts w:ascii="Times New Roman"/>
          <w:sz w:val="32"/>
          <w:szCs w:val="32"/>
        </w:rPr>
        <w:t>岩土工程监测</w:t>
      </w:r>
      <w:bookmarkEnd w:id="1045"/>
      <w:bookmarkEnd w:id="1046"/>
      <w:bookmarkEnd w:id="1047"/>
      <w:bookmarkEnd w:id="1048"/>
      <w:bookmarkEnd w:id="1049"/>
      <w:bookmarkEnd w:id="1050"/>
      <w:bookmarkEnd w:id="1051"/>
      <w:bookmarkEnd w:id="1052"/>
      <w:bookmarkEnd w:id="1053"/>
      <w:bookmarkEnd w:id="1054"/>
      <w:bookmarkEnd w:id="1055"/>
      <w:bookmarkEnd w:id="1056"/>
      <w:bookmarkEnd w:id="1057"/>
    </w:p>
    <w:p w14:paraId="202F88EC">
      <w:pPr>
        <w:keepNext/>
        <w:spacing w:before="328" w:beforeLines="100" w:after="328" w:afterLines="100" w:line="240" w:lineRule="auto"/>
        <w:ind w:firstLine="0"/>
        <w:jc w:val="center"/>
        <w:outlineLvl w:val="1"/>
        <w:rPr>
          <w:rFonts w:eastAsia="黑体"/>
          <w:b/>
          <w:bCs/>
          <w:sz w:val="28"/>
          <w:szCs w:val="28"/>
        </w:rPr>
      </w:pPr>
      <w:bookmarkStart w:id="1058" w:name="_Toc9990"/>
      <w:bookmarkStart w:id="1059" w:name="_Toc32252"/>
      <w:bookmarkStart w:id="1060" w:name="_Toc10882"/>
      <w:bookmarkStart w:id="1061" w:name="_Toc20629"/>
      <w:bookmarkStart w:id="1062" w:name="_Toc30938"/>
      <w:bookmarkStart w:id="1063" w:name="_Toc21710"/>
      <w:bookmarkStart w:id="1064" w:name="_Toc6093"/>
      <w:bookmarkStart w:id="1065" w:name="_Toc193392125"/>
      <w:bookmarkStart w:id="1066" w:name="_Toc29770"/>
      <w:bookmarkStart w:id="1067" w:name="_Toc15532"/>
      <w:bookmarkStart w:id="1068" w:name="_Toc31893"/>
      <w:bookmarkStart w:id="1069" w:name="_Toc24851"/>
      <w:r>
        <w:rPr>
          <w:rFonts w:eastAsia="黑体"/>
          <w:b/>
          <w:bCs/>
          <w:sz w:val="28"/>
          <w:szCs w:val="28"/>
        </w:rPr>
        <w:t>7.1　一般规定</w:t>
      </w:r>
      <w:bookmarkEnd w:id="1058"/>
      <w:bookmarkEnd w:id="1059"/>
      <w:bookmarkEnd w:id="1060"/>
      <w:bookmarkEnd w:id="1061"/>
      <w:bookmarkEnd w:id="1062"/>
      <w:bookmarkEnd w:id="1063"/>
      <w:bookmarkEnd w:id="1064"/>
      <w:bookmarkEnd w:id="1065"/>
      <w:bookmarkEnd w:id="1066"/>
      <w:bookmarkEnd w:id="1067"/>
      <w:bookmarkEnd w:id="1068"/>
      <w:bookmarkEnd w:id="1069"/>
    </w:p>
    <w:p w14:paraId="3A7BC2EB">
      <w:pPr>
        <w:ind w:firstLine="0"/>
        <w:rPr>
          <w:bCs/>
        </w:rPr>
      </w:pPr>
      <w:r>
        <w:rPr>
          <w:b/>
          <w:bCs/>
        </w:rPr>
        <w:t>7.1.1　</w:t>
      </w:r>
      <w:r>
        <w:t>管廊基坑为长条形基坑，各部位所处周边环境不一样，</w:t>
      </w:r>
      <w:r>
        <w:rPr>
          <w:bCs/>
        </w:rPr>
        <w:t>监测的内容和要求应根据工程具体实际需要选择不同的监测项目。实施监测过程中，将通过监测所获得的信息，及时反馈给有关单位，可以指导施工，验证有关设计参数，积累相关经验，提高设计和施工水平，做到信息化施工。</w:t>
      </w:r>
    </w:p>
    <w:p w14:paraId="65530653">
      <w:pPr>
        <w:ind w:firstLine="0"/>
        <w:rPr>
          <w:bCs/>
        </w:rPr>
      </w:pPr>
      <w:r>
        <w:rPr>
          <w:b/>
          <w:bCs/>
        </w:rPr>
        <w:t>7.1.2　</w:t>
      </w:r>
      <w:r>
        <w:rPr>
          <w:bCs/>
        </w:rPr>
        <w:t>监测单位依据设计文件的要求和现场实际情况，在现场踏勘和收集资料的基础上，编制出合理的、有针对性的监测方案后，按要求报审，经设计、监理和业主等共同认可后实施。必要时，应根据有关部门的要求，编制专项监测方案。</w:t>
      </w:r>
    </w:p>
    <w:p w14:paraId="0FF3E996">
      <w:pPr>
        <w:ind w:firstLine="0"/>
        <w:rPr>
          <w:bCs/>
        </w:rPr>
      </w:pPr>
      <w:r>
        <w:rPr>
          <w:b/>
          <w:bCs/>
        </w:rPr>
        <w:t>7.1.4　</w:t>
      </w:r>
      <w:r>
        <w:rPr>
          <w:bCs/>
        </w:rPr>
        <w:t>本条对仪器的精度提出要求，监测结果是工程安全的直接反应，若因为仪器可靠性不能满足要求，很有可能导致事故发生。</w:t>
      </w:r>
    </w:p>
    <w:p w14:paraId="634C47E3">
      <w:pPr>
        <w:ind w:firstLine="0"/>
        <w:rPr>
          <w:bCs/>
        </w:rPr>
      </w:pPr>
      <w:r>
        <w:rPr>
          <w:b/>
          <w:bCs/>
        </w:rPr>
        <w:t>7.1.6　</w:t>
      </w:r>
      <w:r>
        <w:rPr>
          <w:bCs/>
        </w:rPr>
        <w:t>本条对监测信息的及时整理、分析和异常情况及时报告提出了要求。很多工程发生安全事故是由于未及时发现异常或采取措施不及时造成的，由于工程安全隐患不能及时得到处置，致使其进一步发展，演变成安全事故，造成人员伤亡、经济损失和不良的社会影响。</w:t>
      </w:r>
    </w:p>
    <w:p w14:paraId="66B7618E">
      <w:pPr>
        <w:keepNext/>
        <w:spacing w:before="328" w:beforeLines="100" w:after="328" w:afterLines="100" w:line="240" w:lineRule="auto"/>
        <w:ind w:firstLine="0"/>
        <w:jc w:val="center"/>
        <w:outlineLvl w:val="1"/>
        <w:rPr>
          <w:rFonts w:eastAsia="黑体"/>
          <w:b/>
          <w:bCs/>
          <w:sz w:val="28"/>
          <w:szCs w:val="28"/>
        </w:rPr>
      </w:pPr>
      <w:bookmarkStart w:id="1070" w:name="_Toc12997"/>
      <w:bookmarkStart w:id="1071" w:name="_Toc14290"/>
      <w:bookmarkStart w:id="1072" w:name="_Toc23530"/>
      <w:bookmarkStart w:id="1073" w:name="_Toc10566"/>
      <w:bookmarkStart w:id="1074" w:name="_Toc193392126"/>
      <w:bookmarkStart w:id="1075" w:name="_Toc13162"/>
      <w:r>
        <w:rPr>
          <w:rFonts w:eastAsia="黑体"/>
          <w:b/>
          <w:bCs/>
          <w:sz w:val="28"/>
          <w:szCs w:val="28"/>
        </w:rPr>
        <w:t>7.2　监测项目</w:t>
      </w:r>
      <w:bookmarkEnd w:id="1070"/>
      <w:bookmarkEnd w:id="1071"/>
      <w:bookmarkEnd w:id="1072"/>
      <w:bookmarkEnd w:id="1073"/>
      <w:bookmarkEnd w:id="1074"/>
      <w:bookmarkEnd w:id="1075"/>
    </w:p>
    <w:p w14:paraId="08B86EC0">
      <w:pPr>
        <w:ind w:firstLine="0"/>
        <w:rPr>
          <w:bCs/>
        </w:rPr>
      </w:pPr>
      <w:r>
        <w:rPr>
          <w:b/>
          <w:bCs/>
        </w:rPr>
        <w:t>7.2.1　</w:t>
      </w:r>
      <w:r>
        <w:rPr>
          <w:bCs/>
        </w:rPr>
        <w:t>本条规定了监测对象的监测范围，一般情况下，软弱地层以及对施工降水影响较敏感的地层宜取该范围的较大值，具体监测范围应根据工程地质条件、周边需保护对象的重要性确定。必要时应扩大监测范围。</w:t>
      </w:r>
    </w:p>
    <w:p w14:paraId="121648AA">
      <w:pPr>
        <w:ind w:firstLine="0"/>
        <w:rPr>
          <w:bCs/>
        </w:rPr>
      </w:pPr>
      <w:r>
        <w:rPr>
          <w:b/>
          <w:bCs/>
        </w:rPr>
        <w:t>7.2.3、7.2.4　</w:t>
      </w:r>
      <w:r>
        <w:rPr>
          <w:bCs/>
        </w:rPr>
        <w:t>城市综合管廊工程各个监测对象之间相互影响、相互制约，是一个密切相关的复杂系统。工程中不同监测对象之间、不同监测对象的监测项目之间以及同一监测对象的不同监测项目之间相互关联，监测对象和监测项目应互为补充、相互验证，组成有效的、完整的监测体系。</w:t>
      </w:r>
    </w:p>
    <w:p w14:paraId="1BBED7F8">
      <w:pPr>
        <w:keepNext/>
        <w:spacing w:before="328" w:beforeLines="100" w:after="328" w:afterLines="100" w:line="240" w:lineRule="auto"/>
        <w:ind w:firstLine="0"/>
        <w:jc w:val="center"/>
        <w:outlineLvl w:val="1"/>
        <w:rPr>
          <w:rFonts w:eastAsia="黑体"/>
          <w:b/>
          <w:bCs/>
          <w:sz w:val="28"/>
          <w:szCs w:val="28"/>
        </w:rPr>
      </w:pPr>
      <w:bookmarkStart w:id="1076" w:name="_Toc10880"/>
      <w:bookmarkStart w:id="1077" w:name="_Toc20143"/>
      <w:bookmarkStart w:id="1078" w:name="_Toc27053"/>
      <w:bookmarkStart w:id="1079" w:name="_Toc11261"/>
      <w:bookmarkStart w:id="1080" w:name="_Toc8865"/>
      <w:bookmarkStart w:id="1081" w:name="_Toc26582"/>
      <w:bookmarkStart w:id="1082" w:name="_Toc193392127"/>
      <w:bookmarkStart w:id="1083" w:name="_Toc16864"/>
      <w:bookmarkStart w:id="1084" w:name="_Toc6489"/>
      <w:bookmarkStart w:id="1085" w:name="_Toc29607"/>
      <w:bookmarkStart w:id="1086" w:name="_Toc2433"/>
      <w:bookmarkStart w:id="1087" w:name="_Toc5494"/>
      <w:r>
        <w:rPr>
          <w:rFonts w:eastAsia="黑体"/>
          <w:b/>
          <w:bCs/>
          <w:sz w:val="28"/>
          <w:szCs w:val="28"/>
        </w:rPr>
        <w:t>7.3　监测点布置</w:t>
      </w:r>
      <w:bookmarkEnd w:id="1076"/>
      <w:bookmarkEnd w:id="1077"/>
      <w:bookmarkEnd w:id="1078"/>
      <w:bookmarkEnd w:id="1079"/>
      <w:bookmarkEnd w:id="1080"/>
      <w:bookmarkEnd w:id="1081"/>
      <w:bookmarkEnd w:id="1082"/>
      <w:bookmarkEnd w:id="1083"/>
      <w:bookmarkEnd w:id="1084"/>
      <w:bookmarkEnd w:id="1085"/>
      <w:bookmarkEnd w:id="1086"/>
      <w:bookmarkEnd w:id="1087"/>
    </w:p>
    <w:p w14:paraId="6C62E184">
      <w:pPr>
        <w:ind w:firstLine="0"/>
        <w:rPr>
          <w:bCs/>
        </w:rPr>
      </w:pPr>
      <w:r>
        <w:rPr>
          <w:b/>
          <w:bCs/>
        </w:rPr>
        <w:t>7.3.1　</w:t>
      </w:r>
      <w:r>
        <w:rPr>
          <w:bCs/>
        </w:rPr>
        <w:t>本条提出了监测点布设位置和数量的一般性要求，监测点的布设，需结合支护方案、基坑工程安全等级、地质条件及监测方法的要求等综合确定，其位置应能尽可能的反映监测对象实际状态、位移和内力变化规律，及分析监测对象安全状态的要求。</w:t>
      </w:r>
    </w:p>
    <w:p w14:paraId="20A6DEAA">
      <w:pPr>
        <w:ind w:firstLine="0"/>
        <w:rPr>
          <w:bCs/>
        </w:rPr>
      </w:pPr>
      <w:r>
        <w:rPr>
          <w:b/>
          <w:bCs/>
        </w:rPr>
        <w:t>7.3.2　</w:t>
      </w:r>
      <w:r>
        <w:rPr>
          <w:bCs/>
        </w:rPr>
        <w:t>各监测项目布设在同一断面，便于监测数据的变化趋势之间相互印证。施工过程中监测点易遭到破坏，影响监测实施和监测信息分析，因此，监测点需妥善保护，并做好明显标识。</w:t>
      </w:r>
    </w:p>
    <w:p w14:paraId="4F9BCAC0">
      <w:pPr>
        <w:ind w:firstLine="0"/>
        <w:rPr>
          <w:b/>
          <w:bCs/>
          <w:szCs w:val="21"/>
        </w:rPr>
      </w:pPr>
      <w:r>
        <w:rPr>
          <w:b/>
          <w:bCs/>
        </w:rPr>
        <w:t>7.3.3～7.3.10　</w:t>
      </w:r>
      <w:r>
        <w:rPr>
          <w:bCs/>
        </w:rPr>
        <w:t>具体提出了各监测项目监测点的布置间距及数量。</w:t>
      </w:r>
    </w:p>
    <w:p w14:paraId="5A18010E">
      <w:pPr>
        <w:keepNext/>
        <w:spacing w:before="328" w:beforeLines="100" w:after="328" w:afterLines="100" w:line="240" w:lineRule="auto"/>
        <w:ind w:firstLine="0"/>
        <w:jc w:val="center"/>
        <w:outlineLvl w:val="1"/>
        <w:rPr>
          <w:rFonts w:eastAsia="黑体"/>
          <w:b/>
          <w:bCs/>
          <w:sz w:val="28"/>
          <w:szCs w:val="28"/>
        </w:rPr>
      </w:pPr>
      <w:bookmarkStart w:id="1088" w:name="_Toc17585"/>
      <w:bookmarkStart w:id="1089" w:name="_Toc193392128"/>
      <w:bookmarkStart w:id="1090" w:name="_Toc19825"/>
      <w:bookmarkStart w:id="1091" w:name="_Toc3006"/>
      <w:bookmarkStart w:id="1092" w:name="_Toc25064"/>
      <w:bookmarkStart w:id="1093" w:name="_Toc21383"/>
      <w:bookmarkStart w:id="1094" w:name="_Toc24919"/>
      <w:bookmarkStart w:id="1095" w:name="_Toc2135"/>
      <w:bookmarkStart w:id="1096" w:name="_Toc6730"/>
      <w:bookmarkStart w:id="1097" w:name="_Toc27737"/>
      <w:bookmarkStart w:id="1098" w:name="_Toc3744"/>
      <w:bookmarkStart w:id="1099" w:name="_Toc24553"/>
      <w:r>
        <w:rPr>
          <w:rFonts w:eastAsia="黑体"/>
          <w:b/>
          <w:bCs/>
          <w:sz w:val="28"/>
          <w:szCs w:val="28"/>
        </w:rPr>
        <w:t>7.4　监测方法及监测频率</w:t>
      </w:r>
      <w:bookmarkEnd w:id="1088"/>
      <w:bookmarkEnd w:id="1089"/>
      <w:bookmarkEnd w:id="1090"/>
      <w:bookmarkEnd w:id="1091"/>
      <w:bookmarkEnd w:id="1092"/>
      <w:bookmarkEnd w:id="1093"/>
      <w:bookmarkEnd w:id="1094"/>
      <w:bookmarkEnd w:id="1095"/>
      <w:bookmarkEnd w:id="1096"/>
      <w:bookmarkEnd w:id="1097"/>
      <w:bookmarkEnd w:id="1098"/>
      <w:bookmarkEnd w:id="1099"/>
    </w:p>
    <w:p w14:paraId="31A112A9">
      <w:pPr>
        <w:ind w:firstLine="0"/>
        <w:rPr>
          <w:bCs/>
        </w:rPr>
      </w:pPr>
      <w:r>
        <w:rPr>
          <w:b/>
          <w:bCs/>
        </w:rPr>
        <w:t>7.4.1　</w:t>
      </w:r>
      <w:r>
        <w:rPr>
          <w:bCs/>
        </w:rPr>
        <w:t>监测对象、监测项目、场地条件、周边环境不同采用的监测方法和手段就会有所不一样；另外，基坑安全等级、设计要求、精度要求也会影响到监测方法的选择。因此，监测方法应根据监测对象和监测项目的特点、基坑安全等级、设计要求、精度要求、场地条件和当地工程经验等综合确定。</w:t>
      </w:r>
    </w:p>
    <w:p w14:paraId="363C9CAE">
      <w:pPr>
        <w:rPr>
          <w:bCs/>
        </w:rPr>
      </w:pPr>
      <w:r>
        <w:rPr>
          <w:bCs/>
        </w:rPr>
        <w:t>基准点在监测过程中不稳定或被破坏，将会导致监测数据不连续，从而严重影响监测工作，基准点必须布设在施工影响范围以外的稳定区域。</w:t>
      </w:r>
    </w:p>
    <w:p w14:paraId="3F59C9A9">
      <w:pPr>
        <w:rPr>
          <w:bCs/>
        </w:rPr>
      </w:pPr>
      <w:r>
        <w:rPr>
          <w:bCs/>
        </w:rPr>
        <w:t>初始值测读不及时将会造成监测数据的损失，导致数据失真，本条强调了监测初始值读取的时间要求。</w:t>
      </w:r>
    </w:p>
    <w:p w14:paraId="5BBC9C9B">
      <w:pPr>
        <w:ind w:firstLine="0"/>
      </w:pPr>
      <w:r>
        <w:rPr>
          <w:b/>
          <w:bCs/>
        </w:rPr>
        <w:t>7.4.3　</w:t>
      </w:r>
      <w:r>
        <w:t>本条列出了10种情况，表明管廊基坑存在异常现象或有潜在风险，加强监测、提高监测频率，可以及时掌握变化趋势，有利于作出正确判断，避免事故发生。</w:t>
      </w:r>
    </w:p>
    <w:p w14:paraId="5D82156F">
      <w:pPr>
        <w:keepNext/>
        <w:spacing w:before="328" w:beforeLines="100" w:after="328" w:afterLines="100" w:line="240" w:lineRule="auto"/>
        <w:ind w:firstLine="0"/>
        <w:jc w:val="center"/>
        <w:outlineLvl w:val="1"/>
        <w:rPr>
          <w:rFonts w:eastAsia="黑体"/>
          <w:b/>
          <w:bCs/>
          <w:sz w:val="28"/>
          <w:szCs w:val="28"/>
        </w:rPr>
      </w:pPr>
      <w:bookmarkStart w:id="1100" w:name="_Toc560"/>
      <w:bookmarkStart w:id="1101" w:name="_Toc25726"/>
      <w:bookmarkStart w:id="1102" w:name="_Toc18615"/>
      <w:bookmarkStart w:id="1103" w:name="_Toc11006"/>
      <w:bookmarkStart w:id="1104" w:name="_Toc11658"/>
      <w:bookmarkStart w:id="1105" w:name="_Toc15791"/>
      <w:bookmarkStart w:id="1106" w:name="_Toc193392129"/>
      <w:r>
        <w:rPr>
          <w:rFonts w:eastAsia="黑体"/>
          <w:b/>
          <w:bCs/>
          <w:sz w:val="28"/>
          <w:szCs w:val="28"/>
        </w:rPr>
        <w:t>7.5　监测预警值和控制值</w:t>
      </w:r>
      <w:bookmarkEnd w:id="1100"/>
      <w:bookmarkEnd w:id="1101"/>
      <w:bookmarkEnd w:id="1102"/>
      <w:bookmarkEnd w:id="1103"/>
      <w:bookmarkEnd w:id="1104"/>
      <w:bookmarkEnd w:id="1105"/>
      <w:bookmarkEnd w:id="1106"/>
    </w:p>
    <w:p w14:paraId="6A64B10E">
      <w:pPr>
        <w:ind w:firstLine="0"/>
      </w:pPr>
      <w:r>
        <w:rPr>
          <w:b/>
          <w:bCs/>
        </w:rPr>
        <w:t>7.5.2　</w:t>
      </w:r>
      <w:r>
        <w:t>监测对象变形的控制值应按周边环境要求和支护结构安全分别考虑，首先要满足周边环境的变形要求。</w:t>
      </w:r>
    </w:p>
    <w:p w14:paraId="78DF2AEA">
      <w:pPr>
        <w:ind w:firstLine="0"/>
      </w:pPr>
      <w:r>
        <w:rPr>
          <w:b/>
          <w:bCs/>
        </w:rPr>
        <w:t>7.5.4　</w:t>
      </w:r>
      <w:r>
        <w:t>监测预警等级的划分可按现行国家标准《城市轨道交通工程监测技术规范》GB 50911的有关规定执行。</w:t>
      </w:r>
    </w:p>
    <w:p w14:paraId="3360CAFD"/>
    <w:p w14:paraId="4C0B5A17">
      <w:pPr>
        <w:pStyle w:val="20"/>
        <w:ind w:firstLine="420"/>
        <w:rPr>
          <w:rFonts w:ascii="Times New Roman"/>
        </w:rPr>
        <w:sectPr>
          <w:pgSz w:w="11906" w:h="16838"/>
          <w:pgMar w:top="1984" w:right="1701" w:bottom="1701" w:left="1701" w:header="1701" w:footer="1417" w:gutter="0"/>
          <w:cols w:space="0" w:num="1"/>
          <w:docGrid w:type="lines" w:linePitch="328" w:charSpace="0"/>
        </w:sectPr>
      </w:pPr>
    </w:p>
    <w:p w14:paraId="0531A3F5">
      <w:pPr>
        <w:pStyle w:val="20"/>
        <w:ind w:firstLine="0" w:firstLineChars="0"/>
        <w:rPr>
          <w:rFonts w:ascii="Times New Roman"/>
        </w:rPr>
      </w:pPr>
    </w:p>
    <w:p w14:paraId="5A87633B">
      <w:pPr>
        <w:pStyle w:val="19"/>
        <w:widowControl w:val="0"/>
        <w:spacing w:before="328" w:beforeLines="100" w:after="328" w:afterLines="100" w:line="360" w:lineRule="auto"/>
        <w:jc w:val="center"/>
        <w:outlineLvl w:val="0"/>
        <w:rPr>
          <w:rFonts w:ascii="Times New Roman" w:eastAsia="宋体"/>
          <w:b/>
          <w:sz w:val="32"/>
          <w:szCs w:val="32"/>
        </w:rPr>
      </w:pPr>
      <w:bookmarkStart w:id="1107" w:name="_Toc25277"/>
      <w:bookmarkStart w:id="1108" w:name="_Toc12217"/>
      <w:bookmarkStart w:id="1109" w:name="_Toc8683"/>
      <w:bookmarkStart w:id="1110" w:name="_Toc7890"/>
      <w:bookmarkStart w:id="1111" w:name="_Toc8490"/>
      <w:bookmarkStart w:id="1112" w:name="_Toc13813"/>
      <w:bookmarkStart w:id="1113" w:name="_Toc20300"/>
      <w:bookmarkStart w:id="1114" w:name="_Toc14365"/>
      <w:bookmarkStart w:id="1115" w:name="_Toc193392130"/>
      <w:bookmarkStart w:id="1116" w:name="_Toc7572"/>
      <w:bookmarkStart w:id="1117" w:name="_Toc24150"/>
      <w:bookmarkStart w:id="1118" w:name="_Toc1663"/>
      <w:bookmarkStart w:id="1119" w:name="_Toc9619"/>
      <w:r>
        <w:rPr>
          <w:rFonts w:ascii="Times New Roman" w:eastAsia="宋体"/>
          <w:b/>
          <w:sz w:val="32"/>
          <w:szCs w:val="32"/>
        </w:rPr>
        <w:t>8　岩土工程检验</w:t>
      </w:r>
      <w:bookmarkEnd w:id="1107"/>
      <w:bookmarkEnd w:id="1108"/>
      <w:bookmarkEnd w:id="1109"/>
      <w:bookmarkEnd w:id="1110"/>
      <w:bookmarkEnd w:id="1111"/>
      <w:r>
        <w:rPr>
          <w:rFonts w:ascii="Times New Roman" w:eastAsia="宋体"/>
          <w:b/>
          <w:sz w:val="32"/>
          <w:szCs w:val="32"/>
        </w:rPr>
        <w:t>与检测</w:t>
      </w:r>
      <w:bookmarkEnd w:id="1112"/>
      <w:bookmarkEnd w:id="1113"/>
      <w:bookmarkEnd w:id="1114"/>
      <w:bookmarkEnd w:id="1115"/>
      <w:bookmarkEnd w:id="1116"/>
      <w:bookmarkEnd w:id="1117"/>
      <w:bookmarkEnd w:id="1118"/>
      <w:bookmarkEnd w:id="1119"/>
    </w:p>
    <w:p w14:paraId="3D9BEFDC">
      <w:pPr>
        <w:keepNext/>
        <w:spacing w:before="328" w:beforeLines="100" w:after="328" w:afterLines="100" w:line="240" w:lineRule="auto"/>
        <w:ind w:firstLine="0"/>
        <w:jc w:val="center"/>
        <w:outlineLvl w:val="1"/>
        <w:rPr>
          <w:rFonts w:eastAsia="黑体"/>
          <w:b/>
          <w:bCs/>
          <w:sz w:val="28"/>
          <w:szCs w:val="28"/>
        </w:rPr>
      </w:pPr>
      <w:bookmarkStart w:id="1120" w:name="_Toc7528"/>
      <w:bookmarkStart w:id="1121" w:name="_Toc29282"/>
      <w:bookmarkStart w:id="1122" w:name="_Toc18330"/>
      <w:bookmarkStart w:id="1123" w:name="_Toc17892"/>
      <w:bookmarkStart w:id="1124" w:name="_Toc193392131"/>
      <w:bookmarkStart w:id="1125" w:name="_Toc20611"/>
      <w:bookmarkStart w:id="1126" w:name="_Toc25703"/>
      <w:bookmarkStart w:id="1127" w:name="_Toc19367"/>
      <w:bookmarkStart w:id="1128" w:name="_Toc12221"/>
      <w:bookmarkStart w:id="1129" w:name="_Toc27176"/>
      <w:bookmarkStart w:id="1130" w:name="_Toc18855"/>
      <w:bookmarkStart w:id="1131" w:name="_Toc16484"/>
      <w:r>
        <w:rPr>
          <w:rFonts w:eastAsia="黑体"/>
          <w:b/>
          <w:bCs/>
          <w:sz w:val="28"/>
          <w:szCs w:val="28"/>
        </w:rPr>
        <w:t>8.1　一般规定</w:t>
      </w:r>
      <w:bookmarkEnd w:id="1120"/>
      <w:bookmarkEnd w:id="1121"/>
      <w:bookmarkEnd w:id="1122"/>
      <w:bookmarkEnd w:id="1123"/>
      <w:bookmarkEnd w:id="1124"/>
      <w:bookmarkEnd w:id="1125"/>
      <w:bookmarkEnd w:id="1126"/>
      <w:bookmarkEnd w:id="1127"/>
      <w:bookmarkEnd w:id="1128"/>
      <w:bookmarkEnd w:id="1129"/>
      <w:bookmarkEnd w:id="1130"/>
      <w:bookmarkEnd w:id="1131"/>
    </w:p>
    <w:p w14:paraId="2DDA6D83">
      <w:pPr>
        <w:ind w:firstLine="0"/>
        <w:rPr>
          <w:bCs/>
        </w:rPr>
      </w:pPr>
      <w:r>
        <w:rPr>
          <w:b/>
          <w:bCs/>
        </w:rPr>
        <w:t>8.1.1、8.1.2　</w:t>
      </w:r>
      <w:r>
        <w:rPr>
          <w:bCs/>
        </w:rPr>
        <w:t>检测工作质量的好坏直接关系到工程的安全与否，为提高检测工作的效率和质量，检测前需制定出合理完善的检测方案，这就需要收集尽可能详细的相关资料。</w:t>
      </w:r>
    </w:p>
    <w:p w14:paraId="492CA3A7">
      <w:pPr>
        <w:ind w:firstLine="0"/>
        <w:rPr>
          <w:bCs/>
        </w:rPr>
      </w:pPr>
      <w:r>
        <w:rPr>
          <w:b/>
          <w:bCs/>
        </w:rPr>
        <w:t>8.1.3　</w:t>
      </w:r>
      <w:r>
        <w:rPr>
          <w:bCs/>
        </w:rPr>
        <w:t>每种检测方法都有其适用条件，有些检测项目不止一种检测方法，如果检测中数据异常，应查明原因，根据异常原因，调整检测手段。</w:t>
      </w:r>
    </w:p>
    <w:sectPr>
      <w:pgSz w:w="11906" w:h="16838"/>
      <w:pgMar w:top="1984" w:right="1701" w:bottom="1701" w:left="1701" w:header="1701" w:footer="1417" w:gutter="0"/>
      <w:cols w:space="0" w:num="1"/>
      <w:docGrid w:type="lines" w:linePitch="328"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A4C63">
    <w:pPr>
      <w:pStyle w:val="8"/>
      <w:spacing w:line="240" w:lineRule="auto"/>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26158">
    <w:pPr>
      <w:pStyle w:val="8"/>
      <w:spacing w:line="240" w:lineRule="auto"/>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BED1C">
    <w:pPr>
      <w:pStyle w:val="8"/>
      <w:tabs>
        <w:tab w:val="left" w:pos="7099"/>
        <w:tab w:val="clear" w:pos="4153"/>
      </w:tabs>
      <w:spacing w:line="240" w:lineRule="auto"/>
      <w:ind w:firstLine="0"/>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E640DA">
                          <w:pPr>
                            <w:pStyle w:val="8"/>
                            <w:snapToGrid/>
                            <w:spacing w:line="240" w:lineRule="auto"/>
                            <w:ind w:firstLine="0"/>
                            <w:jc w:val="both"/>
                            <w:rPr>
                              <w:rFonts w:ascii="宋体" w:hAnsi="宋体" w:cs="宋体"/>
                              <w:sz w:val="20"/>
                              <w:szCs w:val="20"/>
                            </w:rPr>
                          </w:pPr>
                          <w:r>
                            <w:rPr>
                              <w:rFonts w:hint="eastAsia" w:ascii="宋体" w:hAnsi="宋体" w:cs="宋体"/>
                            </w:rPr>
                            <w:t xml:space="preserve">· </w:t>
                          </w:r>
                          <w:r>
                            <w:rPr>
                              <w:rFonts w:hint="eastAsia" w:ascii="宋体" w:hAnsi="宋体" w:cs="宋体"/>
                              <w:sz w:val="21"/>
                              <w:szCs w:val="21"/>
                            </w:rPr>
                            <w:fldChar w:fldCharType="begin"/>
                          </w:r>
                          <w:r>
                            <w:rPr>
                              <w:rFonts w:hint="eastAsia" w:ascii="宋体" w:hAnsi="宋体" w:cs="宋体"/>
                              <w:sz w:val="21"/>
                              <w:szCs w:val="21"/>
                            </w:rPr>
                            <w:instrText xml:space="preserve"> PAGE  \* MERGEFORMAT </w:instrText>
                          </w:r>
                          <w:r>
                            <w:rPr>
                              <w:rFonts w:hint="eastAsia" w:ascii="宋体" w:hAnsi="宋体" w:cs="宋体"/>
                              <w:sz w:val="21"/>
                              <w:szCs w:val="21"/>
                            </w:rPr>
                            <w:fldChar w:fldCharType="separate"/>
                          </w:r>
                          <w:r>
                            <w:rPr>
                              <w:rFonts w:hint="eastAsia" w:ascii="宋体" w:hAnsi="宋体" w:cs="宋体"/>
                              <w:sz w:val="21"/>
                              <w:szCs w:val="21"/>
                            </w:rPr>
                            <w:t>3</w:t>
                          </w:r>
                          <w:r>
                            <w:rPr>
                              <w:rFonts w:hint="eastAsia" w:ascii="宋体" w:hAnsi="宋体" w:cs="宋体"/>
                              <w:sz w:val="21"/>
                              <w:szCs w:val="21"/>
                            </w:rPr>
                            <w:fldChar w:fldCharType="end"/>
                          </w:r>
                          <w:r>
                            <w:rPr>
                              <w:rFonts w:hint="eastAsia" w:ascii="宋体" w:hAnsi="宋体" w:cs="宋体"/>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5E640DA">
                    <w:pPr>
                      <w:pStyle w:val="8"/>
                      <w:snapToGrid/>
                      <w:spacing w:line="240" w:lineRule="auto"/>
                      <w:ind w:firstLine="0"/>
                      <w:jc w:val="both"/>
                      <w:rPr>
                        <w:rFonts w:ascii="宋体" w:hAnsi="宋体" w:cs="宋体"/>
                        <w:sz w:val="20"/>
                        <w:szCs w:val="20"/>
                      </w:rPr>
                    </w:pPr>
                    <w:r>
                      <w:rPr>
                        <w:rFonts w:hint="eastAsia" w:ascii="宋体" w:hAnsi="宋体" w:cs="宋体"/>
                      </w:rPr>
                      <w:t xml:space="preserve">· </w:t>
                    </w:r>
                    <w:r>
                      <w:rPr>
                        <w:rFonts w:hint="eastAsia" w:ascii="宋体" w:hAnsi="宋体" w:cs="宋体"/>
                        <w:sz w:val="21"/>
                        <w:szCs w:val="21"/>
                      </w:rPr>
                      <w:fldChar w:fldCharType="begin"/>
                    </w:r>
                    <w:r>
                      <w:rPr>
                        <w:rFonts w:hint="eastAsia" w:ascii="宋体" w:hAnsi="宋体" w:cs="宋体"/>
                        <w:sz w:val="21"/>
                        <w:szCs w:val="21"/>
                      </w:rPr>
                      <w:instrText xml:space="preserve"> PAGE  \* MERGEFORMAT </w:instrText>
                    </w:r>
                    <w:r>
                      <w:rPr>
                        <w:rFonts w:hint="eastAsia" w:ascii="宋体" w:hAnsi="宋体" w:cs="宋体"/>
                        <w:sz w:val="21"/>
                        <w:szCs w:val="21"/>
                      </w:rPr>
                      <w:fldChar w:fldCharType="separate"/>
                    </w:r>
                    <w:r>
                      <w:rPr>
                        <w:rFonts w:hint="eastAsia" w:ascii="宋体" w:hAnsi="宋体" w:cs="宋体"/>
                        <w:sz w:val="21"/>
                        <w:szCs w:val="21"/>
                      </w:rPr>
                      <w:t>3</w:t>
                    </w:r>
                    <w:r>
                      <w:rPr>
                        <w:rFonts w:hint="eastAsia" w:ascii="宋体" w:hAnsi="宋体" w:cs="宋体"/>
                        <w:sz w:val="21"/>
                        <w:szCs w:val="21"/>
                      </w:rPr>
                      <w:fldChar w:fldCharType="end"/>
                    </w:r>
                    <w:r>
                      <w:rPr>
                        <w:rFonts w:hint="eastAsia" w:ascii="宋体" w:hAnsi="宋体" w:cs="宋体"/>
                      </w:rPr>
                      <w:t xml:space="preserve"> ·</w:t>
                    </w:r>
                  </w:p>
                </w:txbxContent>
              </v:textbox>
            </v:shape>
          </w:pict>
        </mc:Fallback>
      </mc:AlternateContent>
    </w: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1078C">
    <w:pPr>
      <w:pStyle w:val="8"/>
      <w:spacing w:line="240" w:lineRule="auto"/>
      <w:ind w:firstLine="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7817E9">
                          <w:pPr>
                            <w:pStyle w:val="8"/>
                            <w:snapToGrid/>
                            <w:spacing w:line="240" w:lineRule="auto"/>
                            <w:ind w:firstLine="0"/>
                            <w:jc w:val="both"/>
                            <w:rPr>
                              <w:rFonts w:ascii="宋体" w:hAnsi="宋体" w:cs="宋体"/>
                              <w:sz w:val="20"/>
                              <w:szCs w:val="20"/>
                            </w:rPr>
                          </w:pPr>
                          <w:r>
                            <w:rPr>
                              <w:rFonts w:hint="eastAsia" w:ascii="宋体" w:hAnsi="宋体" w:cs="宋体"/>
                            </w:rPr>
                            <w:t xml:space="preserve">· </w:t>
                          </w:r>
                          <w:r>
                            <w:rPr>
                              <w:rFonts w:hint="eastAsia" w:ascii="宋体" w:hAnsi="宋体" w:cs="宋体"/>
                              <w:sz w:val="21"/>
                              <w:szCs w:val="21"/>
                            </w:rPr>
                            <w:fldChar w:fldCharType="begin"/>
                          </w:r>
                          <w:r>
                            <w:rPr>
                              <w:rFonts w:hint="eastAsia" w:ascii="宋体" w:hAnsi="宋体" w:cs="宋体"/>
                              <w:sz w:val="21"/>
                              <w:szCs w:val="21"/>
                            </w:rPr>
                            <w:instrText xml:space="preserve"> PAGE  \* MERGEFORMAT </w:instrText>
                          </w:r>
                          <w:r>
                            <w:rPr>
                              <w:rFonts w:hint="eastAsia" w:ascii="宋体" w:hAnsi="宋体" w:cs="宋体"/>
                              <w:sz w:val="21"/>
                              <w:szCs w:val="21"/>
                            </w:rPr>
                            <w:fldChar w:fldCharType="separate"/>
                          </w:r>
                          <w:r>
                            <w:rPr>
                              <w:rFonts w:hint="eastAsia" w:ascii="宋体" w:hAnsi="宋体" w:cs="宋体"/>
                              <w:sz w:val="21"/>
                              <w:szCs w:val="21"/>
                            </w:rPr>
                            <w:t>3</w:t>
                          </w:r>
                          <w:r>
                            <w:rPr>
                              <w:rFonts w:hint="eastAsia" w:ascii="宋体" w:hAnsi="宋体" w:cs="宋体"/>
                              <w:sz w:val="21"/>
                              <w:szCs w:val="21"/>
                            </w:rPr>
                            <w:fldChar w:fldCharType="end"/>
                          </w:r>
                          <w:r>
                            <w:rPr>
                              <w:rFonts w:hint="eastAsia" w:ascii="宋体" w:hAnsi="宋体" w:cs="宋体"/>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3B7817E9">
                    <w:pPr>
                      <w:pStyle w:val="8"/>
                      <w:snapToGrid/>
                      <w:spacing w:line="240" w:lineRule="auto"/>
                      <w:ind w:firstLine="0"/>
                      <w:jc w:val="both"/>
                      <w:rPr>
                        <w:rFonts w:ascii="宋体" w:hAnsi="宋体" w:cs="宋体"/>
                        <w:sz w:val="20"/>
                        <w:szCs w:val="20"/>
                      </w:rPr>
                    </w:pPr>
                    <w:r>
                      <w:rPr>
                        <w:rFonts w:hint="eastAsia" w:ascii="宋体" w:hAnsi="宋体" w:cs="宋体"/>
                      </w:rPr>
                      <w:t xml:space="preserve">· </w:t>
                    </w:r>
                    <w:r>
                      <w:rPr>
                        <w:rFonts w:hint="eastAsia" w:ascii="宋体" w:hAnsi="宋体" w:cs="宋体"/>
                        <w:sz w:val="21"/>
                        <w:szCs w:val="21"/>
                      </w:rPr>
                      <w:fldChar w:fldCharType="begin"/>
                    </w:r>
                    <w:r>
                      <w:rPr>
                        <w:rFonts w:hint="eastAsia" w:ascii="宋体" w:hAnsi="宋体" w:cs="宋体"/>
                        <w:sz w:val="21"/>
                        <w:szCs w:val="21"/>
                      </w:rPr>
                      <w:instrText xml:space="preserve"> PAGE  \* MERGEFORMAT </w:instrText>
                    </w:r>
                    <w:r>
                      <w:rPr>
                        <w:rFonts w:hint="eastAsia" w:ascii="宋体" w:hAnsi="宋体" w:cs="宋体"/>
                        <w:sz w:val="21"/>
                        <w:szCs w:val="21"/>
                      </w:rPr>
                      <w:fldChar w:fldCharType="separate"/>
                    </w:r>
                    <w:r>
                      <w:rPr>
                        <w:rFonts w:hint="eastAsia" w:ascii="宋体" w:hAnsi="宋体" w:cs="宋体"/>
                        <w:sz w:val="21"/>
                        <w:szCs w:val="21"/>
                      </w:rPr>
                      <w:t>3</w:t>
                    </w:r>
                    <w:r>
                      <w:rPr>
                        <w:rFonts w:hint="eastAsia" w:ascii="宋体" w:hAnsi="宋体" w:cs="宋体"/>
                        <w:sz w:val="21"/>
                        <w:szCs w:val="21"/>
                      </w:rPr>
                      <w:fldChar w:fldCharType="end"/>
                    </w:r>
                    <w:r>
                      <w:rPr>
                        <w:rFonts w:hint="eastAsia" w:ascii="宋体" w:hAnsi="宋体" w:cs="宋体"/>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3CFF3D"/>
    <w:multiLevelType w:val="singleLevel"/>
    <w:tmpl w:val="2E3CFF3D"/>
    <w:lvl w:ilvl="0" w:tentative="0">
      <w:start w:val="1"/>
      <w:numFmt w:val="decimal"/>
      <w:suff w:val="space"/>
      <w:lvlText w:val="%1)"/>
      <w:lvlJc w:val="left"/>
    </w:lvl>
  </w:abstractNum>
  <w:abstractNum w:abstractNumId="1">
    <w:nsid w:val="44C50F90"/>
    <w:multiLevelType w:val="multilevel"/>
    <w:tmpl w:val="44C50F90"/>
    <w:lvl w:ilvl="0" w:tentative="0">
      <w:start w:val="1"/>
      <w:numFmt w:val="lowerLetter"/>
      <w:pStyle w:val="28"/>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default" w:ascii="宋体" w:hAnsi="Times New Roman" w:eastAsia="宋体"/>
        <w:sz w:val="24"/>
        <w:szCs w:val="24"/>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70"/>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E0F"/>
    <w:rsid w:val="000022D5"/>
    <w:rsid w:val="00051698"/>
    <w:rsid w:val="0006697D"/>
    <w:rsid w:val="0006789B"/>
    <w:rsid w:val="0008640F"/>
    <w:rsid w:val="00087A27"/>
    <w:rsid w:val="0009312F"/>
    <w:rsid w:val="000B2F51"/>
    <w:rsid w:val="000C5514"/>
    <w:rsid w:val="000D7D17"/>
    <w:rsid w:val="000E14AF"/>
    <w:rsid w:val="000E45CB"/>
    <w:rsid w:val="000F211D"/>
    <w:rsid w:val="00102D01"/>
    <w:rsid w:val="00197A7C"/>
    <w:rsid w:val="001A366E"/>
    <w:rsid w:val="001C23F3"/>
    <w:rsid w:val="002253AE"/>
    <w:rsid w:val="002315DB"/>
    <w:rsid w:val="0024569B"/>
    <w:rsid w:val="00263165"/>
    <w:rsid w:val="00266F93"/>
    <w:rsid w:val="00295DFC"/>
    <w:rsid w:val="002B3125"/>
    <w:rsid w:val="002B6969"/>
    <w:rsid w:val="002C74D9"/>
    <w:rsid w:val="002F4BDA"/>
    <w:rsid w:val="002F5A9F"/>
    <w:rsid w:val="002F60CB"/>
    <w:rsid w:val="00345D17"/>
    <w:rsid w:val="0038694F"/>
    <w:rsid w:val="00386FF1"/>
    <w:rsid w:val="00393BBD"/>
    <w:rsid w:val="003C25C0"/>
    <w:rsid w:val="003C3DB4"/>
    <w:rsid w:val="003C5665"/>
    <w:rsid w:val="003C56DB"/>
    <w:rsid w:val="003E54A2"/>
    <w:rsid w:val="003F4AA0"/>
    <w:rsid w:val="004770F4"/>
    <w:rsid w:val="00477BF0"/>
    <w:rsid w:val="004B0A24"/>
    <w:rsid w:val="004C6FE1"/>
    <w:rsid w:val="004D14C3"/>
    <w:rsid w:val="004F5102"/>
    <w:rsid w:val="00514AD4"/>
    <w:rsid w:val="00523E92"/>
    <w:rsid w:val="0052639A"/>
    <w:rsid w:val="00535FE2"/>
    <w:rsid w:val="00587042"/>
    <w:rsid w:val="005C0123"/>
    <w:rsid w:val="005E09EC"/>
    <w:rsid w:val="005F7014"/>
    <w:rsid w:val="006011A0"/>
    <w:rsid w:val="00607744"/>
    <w:rsid w:val="00622F6A"/>
    <w:rsid w:val="00632003"/>
    <w:rsid w:val="00641E35"/>
    <w:rsid w:val="00645991"/>
    <w:rsid w:val="0065532A"/>
    <w:rsid w:val="006746A7"/>
    <w:rsid w:val="006751E1"/>
    <w:rsid w:val="00693A50"/>
    <w:rsid w:val="00697F0D"/>
    <w:rsid w:val="00700DBD"/>
    <w:rsid w:val="007104D3"/>
    <w:rsid w:val="00717CA9"/>
    <w:rsid w:val="00744259"/>
    <w:rsid w:val="00750E0F"/>
    <w:rsid w:val="00786BAD"/>
    <w:rsid w:val="007A2240"/>
    <w:rsid w:val="007B209D"/>
    <w:rsid w:val="007C25CE"/>
    <w:rsid w:val="007C4AF6"/>
    <w:rsid w:val="007E72AE"/>
    <w:rsid w:val="007E7FF1"/>
    <w:rsid w:val="00816E21"/>
    <w:rsid w:val="00877B36"/>
    <w:rsid w:val="008B026D"/>
    <w:rsid w:val="008B2ED7"/>
    <w:rsid w:val="008D248A"/>
    <w:rsid w:val="008D3BCB"/>
    <w:rsid w:val="008E0F00"/>
    <w:rsid w:val="00921F55"/>
    <w:rsid w:val="009403DC"/>
    <w:rsid w:val="00960E06"/>
    <w:rsid w:val="009705FC"/>
    <w:rsid w:val="0097422C"/>
    <w:rsid w:val="009B4267"/>
    <w:rsid w:val="009D4E1C"/>
    <w:rsid w:val="009D55B4"/>
    <w:rsid w:val="009E7988"/>
    <w:rsid w:val="009F4BF1"/>
    <w:rsid w:val="00A37E16"/>
    <w:rsid w:val="00A40DBF"/>
    <w:rsid w:val="00A63383"/>
    <w:rsid w:val="00A760FA"/>
    <w:rsid w:val="00A7695D"/>
    <w:rsid w:val="00A95D5A"/>
    <w:rsid w:val="00A96D31"/>
    <w:rsid w:val="00B14246"/>
    <w:rsid w:val="00B161F9"/>
    <w:rsid w:val="00B778B9"/>
    <w:rsid w:val="00B831D0"/>
    <w:rsid w:val="00B865A7"/>
    <w:rsid w:val="00B8737B"/>
    <w:rsid w:val="00B92181"/>
    <w:rsid w:val="00BA40F7"/>
    <w:rsid w:val="00BA66A7"/>
    <w:rsid w:val="00BC309B"/>
    <w:rsid w:val="00BD45AD"/>
    <w:rsid w:val="00BD45BE"/>
    <w:rsid w:val="00BF7281"/>
    <w:rsid w:val="00C20AB2"/>
    <w:rsid w:val="00C5798F"/>
    <w:rsid w:val="00C606AB"/>
    <w:rsid w:val="00C74224"/>
    <w:rsid w:val="00C77F4E"/>
    <w:rsid w:val="00CD1E91"/>
    <w:rsid w:val="00D10F6C"/>
    <w:rsid w:val="00D14359"/>
    <w:rsid w:val="00D81556"/>
    <w:rsid w:val="00D82EF4"/>
    <w:rsid w:val="00D90053"/>
    <w:rsid w:val="00D93D83"/>
    <w:rsid w:val="00DA2E15"/>
    <w:rsid w:val="00DC3716"/>
    <w:rsid w:val="00DC43D2"/>
    <w:rsid w:val="00DD1249"/>
    <w:rsid w:val="00DF077C"/>
    <w:rsid w:val="00E019A8"/>
    <w:rsid w:val="00E0318F"/>
    <w:rsid w:val="00E169C2"/>
    <w:rsid w:val="00E31E72"/>
    <w:rsid w:val="00E32A79"/>
    <w:rsid w:val="00E40071"/>
    <w:rsid w:val="00E40612"/>
    <w:rsid w:val="00E428FB"/>
    <w:rsid w:val="00EB3869"/>
    <w:rsid w:val="00EC505F"/>
    <w:rsid w:val="00EC5991"/>
    <w:rsid w:val="00EC78EB"/>
    <w:rsid w:val="00ED1CCD"/>
    <w:rsid w:val="00EF79EB"/>
    <w:rsid w:val="00F50FF9"/>
    <w:rsid w:val="00FA1C94"/>
    <w:rsid w:val="00FA255B"/>
    <w:rsid w:val="00FB3A06"/>
    <w:rsid w:val="00FE2652"/>
    <w:rsid w:val="00FE41B6"/>
    <w:rsid w:val="012145B6"/>
    <w:rsid w:val="0127533C"/>
    <w:rsid w:val="015C2B0C"/>
    <w:rsid w:val="015D2E73"/>
    <w:rsid w:val="016E36C0"/>
    <w:rsid w:val="017460B0"/>
    <w:rsid w:val="018F24C1"/>
    <w:rsid w:val="01AB7876"/>
    <w:rsid w:val="01C02075"/>
    <w:rsid w:val="01CF7316"/>
    <w:rsid w:val="01D34B7C"/>
    <w:rsid w:val="01D757D4"/>
    <w:rsid w:val="01DC0C2C"/>
    <w:rsid w:val="01F176F8"/>
    <w:rsid w:val="01FF2850"/>
    <w:rsid w:val="021F7DC1"/>
    <w:rsid w:val="02484763"/>
    <w:rsid w:val="02570700"/>
    <w:rsid w:val="02820350"/>
    <w:rsid w:val="02B50726"/>
    <w:rsid w:val="02C626AC"/>
    <w:rsid w:val="02CF3ED5"/>
    <w:rsid w:val="03093620"/>
    <w:rsid w:val="0331243B"/>
    <w:rsid w:val="0351271F"/>
    <w:rsid w:val="03571318"/>
    <w:rsid w:val="03597303"/>
    <w:rsid w:val="036B7CB4"/>
    <w:rsid w:val="03874D6F"/>
    <w:rsid w:val="03993BA4"/>
    <w:rsid w:val="03BC313E"/>
    <w:rsid w:val="03DF733F"/>
    <w:rsid w:val="04072EC7"/>
    <w:rsid w:val="04366FB7"/>
    <w:rsid w:val="043F2F66"/>
    <w:rsid w:val="04A06D63"/>
    <w:rsid w:val="04B30C95"/>
    <w:rsid w:val="04CA2C67"/>
    <w:rsid w:val="04D41221"/>
    <w:rsid w:val="04FD405A"/>
    <w:rsid w:val="051E3884"/>
    <w:rsid w:val="051E6A56"/>
    <w:rsid w:val="052A3726"/>
    <w:rsid w:val="052D6465"/>
    <w:rsid w:val="05427180"/>
    <w:rsid w:val="054734DE"/>
    <w:rsid w:val="05706EAB"/>
    <w:rsid w:val="05816FE5"/>
    <w:rsid w:val="0586032C"/>
    <w:rsid w:val="058604F0"/>
    <w:rsid w:val="059449C9"/>
    <w:rsid w:val="05AF4251"/>
    <w:rsid w:val="05BD6056"/>
    <w:rsid w:val="05EF3F4F"/>
    <w:rsid w:val="05F54C83"/>
    <w:rsid w:val="05FB71EA"/>
    <w:rsid w:val="06085010"/>
    <w:rsid w:val="060B7489"/>
    <w:rsid w:val="060C00AF"/>
    <w:rsid w:val="0616772D"/>
    <w:rsid w:val="061F2A86"/>
    <w:rsid w:val="064C0FAA"/>
    <w:rsid w:val="065A001B"/>
    <w:rsid w:val="065A66BC"/>
    <w:rsid w:val="068C42A6"/>
    <w:rsid w:val="06BA7F07"/>
    <w:rsid w:val="06C2352B"/>
    <w:rsid w:val="06ED43D6"/>
    <w:rsid w:val="072C2309"/>
    <w:rsid w:val="073C1416"/>
    <w:rsid w:val="073E27FF"/>
    <w:rsid w:val="076744E5"/>
    <w:rsid w:val="077041D9"/>
    <w:rsid w:val="07926EFD"/>
    <w:rsid w:val="07B0770E"/>
    <w:rsid w:val="07C06A6D"/>
    <w:rsid w:val="07C75183"/>
    <w:rsid w:val="07C9435B"/>
    <w:rsid w:val="07F06CCE"/>
    <w:rsid w:val="07FB0E0D"/>
    <w:rsid w:val="08266BBD"/>
    <w:rsid w:val="087F73A3"/>
    <w:rsid w:val="08C23C05"/>
    <w:rsid w:val="08FA089E"/>
    <w:rsid w:val="09102B5A"/>
    <w:rsid w:val="09150170"/>
    <w:rsid w:val="09906EB4"/>
    <w:rsid w:val="09B0407D"/>
    <w:rsid w:val="09D13181"/>
    <w:rsid w:val="09D43B87"/>
    <w:rsid w:val="0A480BD5"/>
    <w:rsid w:val="0A56459C"/>
    <w:rsid w:val="0A5744A6"/>
    <w:rsid w:val="0A867DF4"/>
    <w:rsid w:val="0A9A0000"/>
    <w:rsid w:val="0AB70CAB"/>
    <w:rsid w:val="0AB97607"/>
    <w:rsid w:val="0AD812FD"/>
    <w:rsid w:val="0AE900F7"/>
    <w:rsid w:val="0B1129A9"/>
    <w:rsid w:val="0B125C56"/>
    <w:rsid w:val="0B177AFB"/>
    <w:rsid w:val="0B6131F9"/>
    <w:rsid w:val="0B666A61"/>
    <w:rsid w:val="0B947C68"/>
    <w:rsid w:val="0B98759A"/>
    <w:rsid w:val="0B9C1C07"/>
    <w:rsid w:val="0B9D08E9"/>
    <w:rsid w:val="0BA423C0"/>
    <w:rsid w:val="0BEC3FAC"/>
    <w:rsid w:val="0BF37068"/>
    <w:rsid w:val="0BF71DAF"/>
    <w:rsid w:val="0C22507E"/>
    <w:rsid w:val="0C2661F0"/>
    <w:rsid w:val="0C350585"/>
    <w:rsid w:val="0C365C15"/>
    <w:rsid w:val="0C3F697A"/>
    <w:rsid w:val="0C444C91"/>
    <w:rsid w:val="0C542C86"/>
    <w:rsid w:val="0C662A91"/>
    <w:rsid w:val="0C782343"/>
    <w:rsid w:val="0C8D79AB"/>
    <w:rsid w:val="0CAE7F12"/>
    <w:rsid w:val="0CB84E9E"/>
    <w:rsid w:val="0CC003F3"/>
    <w:rsid w:val="0CD91E9E"/>
    <w:rsid w:val="0CE00A95"/>
    <w:rsid w:val="0CEA322E"/>
    <w:rsid w:val="0CF44337"/>
    <w:rsid w:val="0D1D1D84"/>
    <w:rsid w:val="0D5B011C"/>
    <w:rsid w:val="0D660F9A"/>
    <w:rsid w:val="0D6C73FC"/>
    <w:rsid w:val="0D7D1354"/>
    <w:rsid w:val="0D863B32"/>
    <w:rsid w:val="0D9F6094"/>
    <w:rsid w:val="0DAA4AF7"/>
    <w:rsid w:val="0DB6545E"/>
    <w:rsid w:val="0DE14A0A"/>
    <w:rsid w:val="0DED6FC6"/>
    <w:rsid w:val="0E100F06"/>
    <w:rsid w:val="0E420B27"/>
    <w:rsid w:val="0E4A5E15"/>
    <w:rsid w:val="0E4B69B1"/>
    <w:rsid w:val="0E6E3A06"/>
    <w:rsid w:val="0E963B01"/>
    <w:rsid w:val="0EA46AC8"/>
    <w:rsid w:val="0ECF2B6F"/>
    <w:rsid w:val="0F3975B3"/>
    <w:rsid w:val="0F3D1C8A"/>
    <w:rsid w:val="0F67724C"/>
    <w:rsid w:val="0F786D63"/>
    <w:rsid w:val="0F8D3070"/>
    <w:rsid w:val="0FC24482"/>
    <w:rsid w:val="0FC50A87"/>
    <w:rsid w:val="0FCE41E8"/>
    <w:rsid w:val="0FD83CA6"/>
    <w:rsid w:val="0FE268D2"/>
    <w:rsid w:val="1001144E"/>
    <w:rsid w:val="100C10EE"/>
    <w:rsid w:val="101C0D50"/>
    <w:rsid w:val="10242AD1"/>
    <w:rsid w:val="102E6912"/>
    <w:rsid w:val="10327B05"/>
    <w:rsid w:val="106C4F0F"/>
    <w:rsid w:val="108F0808"/>
    <w:rsid w:val="10D4383D"/>
    <w:rsid w:val="111050A1"/>
    <w:rsid w:val="11215002"/>
    <w:rsid w:val="112A6783"/>
    <w:rsid w:val="114412D3"/>
    <w:rsid w:val="115263CF"/>
    <w:rsid w:val="115E2E4D"/>
    <w:rsid w:val="11615371"/>
    <w:rsid w:val="11765FF3"/>
    <w:rsid w:val="11BB524B"/>
    <w:rsid w:val="11C24C0D"/>
    <w:rsid w:val="11CB1D14"/>
    <w:rsid w:val="11E445A7"/>
    <w:rsid w:val="11EC3A38"/>
    <w:rsid w:val="11EE155E"/>
    <w:rsid w:val="11EF501A"/>
    <w:rsid w:val="11F40906"/>
    <w:rsid w:val="124318AA"/>
    <w:rsid w:val="125E1406"/>
    <w:rsid w:val="127759F8"/>
    <w:rsid w:val="129E11D6"/>
    <w:rsid w:val="12DB6B03"/>
    <w:rsid w:val="12F043F0"/>
    <w:rsid w:val="12F627CC"/>
    <w:rsid w:val="13021CEA"/>
    <w:rsid w:val="131A28E5"/>
    <w:rsid w:val="135968E4"/>
    <w:rsid w:val="13596EAB"/>
    <w:rsid w:val="138A52B7"/>
    <w:rsid w:val="139E0D62"/>
    <w:rsid w:val="13E70238"/>
    <w:rsid w:val="14353475"/>
    <w:rsid w:val="143C4C71"/>
    <w:rsid w:val="143D0E26"/>
    <w:rsid w:val="14530B39"/>
    <w:rsid w:val="1462085B"/>
    <w:rsid w:val="14717CCD"/>
    <w:rsid w:val="148624DA"/>
    <w:rsid w:val="14AF40D5"/>
    <w:rsid w:val="14D70369"/>
    <w:rsid w:val="14E430CD"/>
    <w:rsid w:val="14EB1C73"/>
    <w:rsid w:val="15252DED"/>
    <w:rsid w:val="153344EF"/>
    <w:rsid w:val="15474D46"/>
    <w:rsid w:val="15673B02"/>
    <w:rsid w:val="15A3441A"/>
    <w:rsid w:val="15AB0FD0"/>
    <w:rsid w:val="15C72C5C"/>
    <w:rsid w:val="164A7926"/>
    <w:rsid w:val="165F2466"/>
    <w:rsid w:val="1666645A"/>
    <w:rsid w:val="16970697"/>
    <w:rsid w:val="16C62AAA"/>
    <w:rsid w:val="16CB6D57"/>
    <w:rsid w:val="16F969DB"/>
    <w:rsid w:val="17191DCC"/>
    <w:rsid w:val="17230D2A"/>
    <w:rsid w:val="17412B75"/>
    <w:rsid w:val="179354B6"/>
    <w:rsid w:val="179905F9"/>
    <w:rsid w:val="17AE527F"/>
    <w:rsid w:val="17BA6D16"/>
    <w:rsid w:val="17ED5684"/>
    <w:rsid w:val="17F66895"/>
    <w:rsid w:val="180879FB"/>
    <w:rsid w:val="18197376"/>
    <w:rsid w:val="18420624"/>
    <w:rsid w:val="184C7D3A"/>
    <w:rsid w:val="185A794E"/>
    <w:rsid w:val="187327BD"/>
    <w:rsid w:val="1878251C"/>
    <w:rsid w:val="18876269"/>
    <w:rsid w:val="189964E9"/>
    <w:rsid w:val="18A40BC9"/>
    <w:rsid w:val="18A770C7"/>
    <w:rsid w:val="18C97A09"/>
    <w:rsid w:val="18FC42E4"/>
    <w:rsid w:val="19031D4E"/>
    <w:rsid w:val="191D2039"/>
    <w:rsid w:val="192F70D4"/>
    <w:rsid w:val="19303DC1"/>
    <w:rsid w:val="198A6011"/>
    <w:rsid w:val="19B75231"/>
    <w:rsid w:val="19CC487B"/>
    <w:rsid w:val="19F811CC"/>
    <w:rsid w:val="1A0248CA"/>
    <w:rsid w:val="1A0E6C42"/>
    <w:rsid w:val="1A3366A8"/>
    <w:rsid w:val="1A3739EB"/>
    <w:rsid w:val="1A3D504F"/>
    <w:rsid w:val="1A4426FE"/>
    <w:rsid w:val="1A7016AA"/>
    <w:rsid w:val="1A723DFA"/>
    <w:rsid w:val="1A815666"/>
    <w:rsid w:val="1A9A1FFF"/>
    <w:rsid w:val="1AA41354"/>
    <w:rsid w:val="1AAE5D2F"/>
    <w:rsid w:val="1AC95770"/>
    <w:rsid w:val="1AD95915"/>
    <w:rsid w:val="1ADF413A"/>
    <w:rsid w:val="1ADF47C6"/>
    <w:rsid w:val="1B4453A2"/>
    <w:rsid w:val="1B60410A"/>
    <w:rsid w:val="1B7B7E70"/>
    <w:rsid w:val="1BB455C7"/>
    <w:rsid w:val="1BF11DA3"/>
    <w:rsid w:val="1C080761"/>
    <w:rsid w:val="1C250273"/>
    <w:rsid w:val="1C315581"/>
    <w:rsid w:val="1C4921B3"/>
    <w:rsid w:val="1C8B4C2A"/>
    <w:rsid w:val="1CA1755B"/>
    <w:rsid w:val="1CAF6FB9"/>
    <w:rsid w:val="1CC407A0"/>
    <w:rsid w:val="1D16215F"/>
    <w:rsid w:val="1DB7314C"/>
    <w:rsid w:val="1DEA52D0"/>
    <w:rsid w:val="1DEF28E6"/>
    <w:rsid w:val="1E1B6D9F"/>
    <w:rsid w:val="1E45068D"/>
    <w:rsid w:val="1E5B0ADC"/>
    <w:rsid w:val="1E6A4663"/>
    <w:rsid w:val="1E712374"/>
    <w:rsid w:val="1E7E3C6A"/>
    <w:rsid w:val="1E845724"/>
    <w:rsid w:val="1EC63164"/>
    <w:rsid w:val="1ED21B61"/>
    <w:rsid w:val="1F040613"/>
    <w:rsid w:val="1F2E38E2"/>
    <w:rsid w:val="1F3F2A8E"/>
    <w:rsid w:val="1F5D036F"/>
    <w:rsid w:val="1F9C6A9E"/>
    <w:rsid w:val="1FC055C4"/>
    <w:rsid w:val="1FC44E2D"/>
    <w:rsid w:val="1FD40872"/>
    <w:rsid w:val="203B1E13"/>
    <w:rsid w:val="207045C6"/>
    <w:rsid w:val="20793A85"/>
    <w:rsid w:val="20796DDF"/>
    <w:rsid w:val="20827A42"/>
    <w:rsid w:val="208E5AB1"/>
    <w:rsid w:val="20E57FD0"/>
    <w:rsid w:val="20FA65B1"/>
    <w:rsid w:val="21254871"/>
    <w:rsid w:val="21724E94"/>
    <w:rsid w:val="21797C8D"/>
    <w:rsid w:val="21976550"/>
    <w:rsid w:val="21B3779C"/>
    <w:rsid w:val="224D707D"/>
    <w:rsid w:val="225B49EE"/>
    <w:rsid w:val="22741C4A"/>
    <w:rsid w:val="227B0BEC"/>
    <w:rsid w:val="22833F45"/>
    <w:rsid w:val="22853819"/>
    <w:rsid w:val="22914D97"/>
    <w:rsid w:val="229E78A2"/>
    <w:rsid w:val="22A6678B"/>
    <w:rsid w:val="22AD2AE5"/>
    <w:rsid w:val="22FE5379"/>
    <w:rsid w:val="23094A63"/>
    <w:rsid w:val="232611A8"/>
    <w:rsid w:val="23563407"/>
    <w:rsid w:val="235F08BC"/>
    <w:rsid w:val="23651670"/>
    <w:rsid w:val="237F64D2"/>
    <w:rsid w:val="23A9148E"/>
    <w:rsid w:val="23AE441C"/>
    <w:rsid w:val="24032E0B"/>
    <w:rsid w:val="24114450"/>
    <w:rsid w:val="241A13D9"/>
    <w:rsid w:val="245336B1"/>
    <w:rsid w:val="245E4322"/>
    <w:rsid w:val="24711019"/>
    <w:rsid w:val="249D041B"/>
    <w:rsid w:val="24DE1B8E"/>
    <w:rsid w:val="24E2007C"/>
    <w:rsid w:val="25270BB7"/>
    <w:rsid w:val="25470B29"/>
    <w:rsid w:val="254D1C1D"/>
    <w:rsid w:val="25524AD7"/>
    <w:rsid w:val="25A04DB2"/>
    <w:rsid w:val="25AB17E9"/>
    <w:rsid w:val="25F46F4E"/>
    <w:rsid w:val="260D4251"/>
    <w:rsid w:val="26156612"/>
    <w:rsid w:val="26217CFD"/>
    <w:rsid w:val="2624159B"/>
    <w:rsid w:val="26357304"/>
    <w:rsid w:val="263D1A0E"/>
    <w:rsid w:val="264B6B28"/>
    <w:rsid w:val="26621BBB"/>
    <w:rsid w:val="267841EE"/>
    <w:rsid w:val="26AD5129"/>
    <w:rsid w:val="26D0608F"/>
    <w:rsid w:val="26D602B3"/>
    <w:rsid w:val="26E62D4C"/>
    <w:rsid w:val="27335DE8"/>
    <w:rsid w:val="275B2D9A"/>
    <w:rsid w:val="2768429D"/>
    <w:rsid w:val="278344EC"/>
    <w:rsid w:val="27910EB2"/>
    <w:rsid w:val="27FB752E"/>
    <w:rsid w:val="28432FA8"/>
    <w:rsid w:val="28583A83"/>
    <w:rsid w:val="285C6DCA"/>
    <w:rsid w:val="285D35C1"/>
    <w:rsid w:val="28624905"/>
    <w:rsid w:val="288325A9"/>
    <w:rsid w:val="28A60169"/>
    <w:rsid w:val="290D4A40"/>
    <w:rsid w:val="292E4C2A"/>
    <w:rsid w:val="2943193F"/>
    <w:rsid w:val="294B4652"/>
    <w:rsid w:val="294E7A85"/>
    <w:rsid w:val="295401B5"/>
    <w:rsid w:val="29912230"/>
    <w:rsid w:val="29B82F43"/>
    <w:rsid w:val="29C3082B"/>
    <w:rsid w:val="29D14984"/>
    <w:rsid w:val="29E94B00"/>
    <w:rsid w:val="29F14252"/>
    <w:rsid w:val="29F94ED0"/>
    <w:rsid w:val="2A003359"/>
    <w:rsid w:val="2A105242"/>
    <w:rsid w:val="2A1E48F1"/>
    <w:rsid w:val="2A3F0751"/>
    <w:rsid w:val="2A783C63"/>
    <w:rsid w:val="2A8B3997"/>
    <w:rsid w:val="2A97233B"/>
    <w:rsid w:val="2A9F453A"/>
    <w:rsid w:val="2AE337D3"/>
    <w:rsid w:val="2AEB1469"/>
    <w:rsid w:val="2B190866"/>
    <w:rsid w:val="2B512E32"/>
    <w:rsid w:val="2B663A4A"/>
    <w:rsid w:val="2B9E6AF7"/>
    <w:rsid w:val="2BE04E90"/>
    <w:rsid w:val="2BE320E4"/>
    <w:rsid w:val="2C043320"/>
    <w:rsid w:val="2C6E35C0"/>
    <w:rsid w:val="2C770676"/>
    <w:rsid w:val="2C87796B"/>
    <w:rsid w:val="2C9E7B0D"/>
    <w:rsid w:val="2CA86A61"/>
    <w:rsid w:val="2CC67543"/>
    <w:rsid w:val="2CD13363"/>
    <w:rsid w:val="2D0B259B"/>
    <w:rsid w:val="2D423E70"/>
    <w:rsid w:val="2D475597"/>
    <w:rsid w:val="2D4F2FB6"/>
    <w:rsid w:val="2D7C5C66"/>
    <w:rsid w:val="2D9771E5"/>
    <w:rsid w:val="2D9D410D"/>
    <w:rsid w:val="2D9E60D7"/>
    <w:rsid w:val="2DC6741E"/>
    <w:rsid w:val="2DCF0D16"/>
    <w:rsid w:val="2DE33AEA"/>
    <w:rsid w:val="2DF42BE2"/>
    <w:rsid w:val="2E312239"/>
    <w:rsid w:val="2E375089"/>
    <w:rsid w:val="2E5F353C"/>
    <w:rsid w:val="2E604948"/>
    <w:rsid w:val="2E625356"/>
    <w:rsid w:val="2E8846A8"/>
    <w:rsid w:val="2E8C5F2F"/>
    <w:rsid w:val="2E8C74EB"/>
    <w:rsid w:val="2E8F0D4A"/>
    <w:rsid w:val="2E9633BE"/>
    <w:rsid w:val="2EAF79EB"/>
    <w:rsid w:val="2ED21F8D"/>
    <w:rsid w:val="2EF77569"/>
    <w:rsid w:val="2EFC0FC9"/>
    <w:rsid w:val="2F0657CF"/>
    <w:rsid w:val="2F0934A0"/>
    <w:rsid w:val="2F5C78CB"/>
    <w:rsid w:val="2F8A6913"/>
    <w:rsid w:val="2FD1734F"/>
    <w:rsid w:val="300C5D65"/>
    <w:rsid w:val="300E4346"/>
    <w:rsid w:val="302723B3"/>
    <w:rsid w:val="30781CFF"/>
    <w:rsid w:val="309914CC"/>
    <w:rsid w:val="30A75156"/>
    <w:rsid w:val="30AC3C05"/>
    <w:rsid w:val="30E3127C"/>
    <w:rsid w:val="30EF3C83"/>
    <w:rsid w:val="30F62A82"/>
    <w:rsid w:val="30F67995"/>
    <w:rsid w:val="310426F5"/>
    <w:rsid w:val="3128158A"/>
    <w:rsid w:val="313D5C2C"/>
    <w:rsid w:val="314A42A6"/>
    <w:rsid w:val="314E691D"/>
    <w:rsid w:val="31615FCB"/>
    <w:rsid w:val="31932E1D"/>
    <w:rsid w:val="31AD1D6C"/>
    <w:rsid w:val="31B00187"/>
    <w:rsid w:val="31E57E30"/>
    <w:rsid w:val="31F03D63"/>
    <w:rsid w:val="31FF7A7A"/>
    <w:rsid w:val="32083003"/>
    <w:rsid w:val="321D4E26"/>
    <w:rsid w:val="323D1A1A"/>
    <w:rsid w:val="324D72A5"/>
    <w:rsid w:val="325A127C"/>
    <w:rsid w:val="327613D0"/>
    <w:rsid w:val="327A2C6E"/>
    <w:rsid w:val="327B2543"/>
    <w:rsid w:val="32841DD7"/>
    <w:rsid w:val="3287517F"/>
    <w:rsid w:val="32A41A99"/>
    <w:rsid w:val="32AF043E"/>
    <w:rsid w:val="32B7496D"/>
    <w:rsid w:val="32BF4B25"/>
    <w:rsid w:val="32C33361"/>
    <w:rsid w:val="32C91500"/>
    <w:rsid w:val="3305243A"/>
    <w:rsid w:val="330B082A"/>
    <w:rsid w:val="333B30FB"/>
    <w:rsid w:val="334E7C57"/>
    <w:rsid w:val="33562BC3"/>
    <w:rsid w:val="336942A5"/>
    <w:rsid w:val="336A2811"/>
    <w:rsid w:val="33790C23"/>
    <w:rsid w:val="337C2651"/>
    <w:rsid w:val="33863173"/>
    <w:rsid w:val="33F416A8"/>
    <w:rsid w:val="34184341"/>
    <w:rsid w:val="34264730"/>
    <w:rsid w:val="34394463"/>
    <w:rsid w:val="345B629B"/>
    <w:rsid w:val="346927BA"/>
    <w:rsid w:val="34B85CD0"/>
    <w:rsid w:val="34C74165"/>
    <w:rsid w:val="34C74DFA"/>
    <w:rsid w:val="3517795C"/>
    <w:rsid w:val="351A2560"/>
    <w:rsid w:val="35246EC1"/>
    <w:rsid w:val="352E1AEE"/>
    <w:rsid w:val="35496F03"/>
    <w:rsid w:val="354F393D"/>
    <w:rsid w:val="35522A5A"/>
    <w:rsid w:val="355376E1"/>
    <w:rsid w:val="35887450"/>
    <w:rsid w:val="3589141A"/>
    <w:rsid w:val="358F0C09"/>
    <w:rsid w:val="359A60CE"/>
    <w:rsid w:val="35A549EE"/>
    <w:rsid w:val="35AF0E81"/>
    <w:rsid w:val="35B37917"/>
    <w:rsid w:val="35C1223C"/>
    <w:rsid w:val="361C2037"/>
    <w:rsid w:val="362631A1"/>
    <w:rsid w:val="363030F4"/>
    <w:rsid w:val="3636587A"/>
    <w:rsid w:val="366E2AEA"/>
    <w:rsid w:val="369136E3"/>
    <w:rsid w:val="36C11FA0"/>
    <w:rsid w:val="36E977FC"/>
    <w:rsid w:val="37024CDA"/>
    <w:rsid w:val="370F031F"/>
    <w:rsid w:val="371A73AD"/>
    <w:rsid w:val="37282F66"/>
    <w:rsid w:val="372E4027"/>
    <w:rsid w:val="37320EB1"/>
    <w:rsid w:val="3738108C"/>
    <w:rsid w:val="37500442"/>
    <w:rsid w:val="378B34B5"/>
    <w:rsid w:val="378F5C99"/>
    <w:rsid w:val="37914982"/>
    <w:rsid w:val="37A24532"/>
    <w:rsid w:val="37A75B88"/>
    <w:rsid w:val="37DB7C53"/>
    <w:rsid w:val="37EF44C8"/>
    <w:rsid w:val="37FB100C"/>
    <w:rsid w:val="38084878"/>
    <w:rsid w:val="38335E49"/>
    <w:rsid w:val="38904EA9"/>
    <w:rsid w:val="38910F98"/>
    <w:rsid w:val="38DB63F2"/>
    <w:rsid w:val="38F4304F"/>
    <w:rsid w:val="391D0FF8"/>
    <w:rsid w:val="39225B81"/>
    <w:rsid w:val="392F2D79"/>
    <w:rsid w:val="394E0B8C"/>
    <w:rsid w:val="397B4D2C"/>
    <w:rsid w:val="397D7F93"/>
    <w:rsid w:val="39846181"/>
    <w:rsid w:val="39903B0E"/>
    <w:rsid w:val="39916AF0"/>
    <w:rsid w:val="39C701B3"/>
    <w:rsid w:val="39EE1F5E"/>
    <w:rsid w:val="3A19770F"/>
    <w:rsid w:val="3A1E3033"/>
    <w:rsid w:val="3A855CA9"/>
    <w:rsid w:val="3A891C26"/>
    <w:rsid w:val="3AED1F51"/>
    <w:rsid w:val="3AEF3ACE"/>
    <w:rsid w:val="3AF23FEE"/>
    <w:rsid w:val="3AF663C1"/>
    <w:rsid w:val="3B1D3EAF"/>
    <w:rsid w:val="3B5E142B"/>
    <w:rsid w:val="3BCC3E0F"/>
    <w:rsid w:val="3BCF062B"/>
    <w:rsid w:val="3BD86A5E"/>
    <w:rsid w:val="3BDA1993"/>
    <w:rsid w:val="3BFA4E20"/>
    <w:rsid w:val="3C1F6017"/>
    <w:rsid w:val="3C333E8E"/>
    <w:rsid w:val="3C56660D"/>
    <w:rsid w:val="3C667575"/>
    <w:rsid w:val="3CB7061B"/>
    <w:rsid w:val="3CBA010B"/>
    <w:rsid w:val="3CDB07AE"/>
    <w:rsid w:val="3CF13AF3"/>
    <w:rsid w:val="3CFA18A7"/>
    <w:rsid w:val="3D215B10"/>
    <w:rsid w:val="3D42082D"/>
    <w:rsid w:val="3D46554F"/>
    <w:rsid w:val="3D714C6E"/>
    <w:rsid w:val="3D754203"/>
    <w:rsid w:val="3D970F4E"/>
    <w:rsid w:val="3DBA798D"/>
    <w:rsid w:val="3DDB658B"/>
    <w:rsid w:val="3DF338E0"/>
    <w:rsid w:val="3DF6619D"/>
    <w:rsid w:val="3E1F0B6E"/>
    <w:rsid w:val="3E246184"/>
    <w:rsid w:val="3E2B7513"/>
    <w:rsid w:val="3E4B1963"/>
    <w:rsid w:val="3E5A7DF8"/>
    <w:rsid w:val="3E5B3834"/>
    <w:rsid w:val="3E5F3EC9"/>
    <w:rsid w:val="3E886713"/>
    <w:rsid w:val="3E9C3F6D"/>
    <w:rsid w:val="3EA623D9"/>
    <w:rsid w:val="3EB70B2D"/>
    <w:rsid w:val="3EE15CC8"/>
    <w:rsid w:val="3F026B0F"/>
    <w:rsid w:val="3F36616F"/>
    <w:rsid w:val="3F3872EA"/>
    <w:rsid w:val="3F5A75C7"/>
    <w:rsid w:val="3F5E1222"/>
    <w:rsid w:val="3F9A3E68"/>
    <w:rsid w:val="3F9E2F24"/>
    <w:rsid w:val="3FBF173C"/>
    <w:rsid w:val="3FD6493D"/>
    <w:rsid w:val="401A4F12"/>
    <w:rsid w:val="40363763"/>
    <w:rsid w:val="404B5C4A"/>
    <w:rsid w:val="406636C0"/>
    <w:rsid w:val="406A1BBA"/>
    <w:rsid w:val="40AC7C9F"/>
    <w:rsid w:val="40B33CB8"/>
    <w:rsid w:val="40BC5F2A"/>
    <w:rsid w:val="40C16AFE"/>
    <w:rsid w:val="40D97602"/>
    <w:rsid w:val="41087697"/>
    <w:rsid w:val="41087B85"/>
    <w:rsid w:val="41171F68"/>
    <w:rsid w:val="411D632B"/>
    <w:rsid w:val="413761CE"/>
    <w:rsid w:val="413769E5"/>
    <w:rsid w:val="413D1A37"/>
    <w:rsid w:val="413D36AE"/>
    <w:rsid w:val="413D6E1A"/>
    <w:rsid w:val="41636FC4"/>
    <w:rsid w:val="417A120D"/>
    <w:rsid w:val="418F600A"/>
    <w:rsid w:val="41A8019A"/>
    <w:rsid w:val="41BB0BAE"/>
    <w:rsid w:val="41F62846"/>
    <w:rsid w:val="420A0E78"/>
    <w:rsid w:val="427D5E63"/>
    <w:rsid w:val="42884F34"/>
    <w:rsid w:val="428E2A79"/>
    <w:rsid w:val="42C121F4"/>
    <w:rsid w:val="42C432B8"/>
    <w:rsid w:val="42D84179"/>
    <w:rsid w:val="42DC3861"/>
    <w:rsid w:val="42F50E71"/>
    <w:rsid w:val="43196087"/>
    <w:rsid w:val="433C4B7C"/>
    <w:rsid w:val="436332AB"/>
    <w:rsid w:val="437B08D9"/>
    <w:rsid w:val="4390047D"/>
    <w:rsid w:val="43A1626A"/>
    <w:rsid w:val="43AE38FA"/>
    <w:rsid w:val="43B60794"/>
    <w:rsid w:val="43BD574B"/>
    <w:rsid w:val="43D90C16"/>
    <w:rsid w:val="43DC0C26"/>
    <w:rsid w:val="43EA7528"/>
    <w:rsid w:val="43F00231"/>
    <w:rsid w:val="440203D8"/>
    <w:rsid w:val="440E4295"/>
    <w:rsid w:val="441F0229"/>
    <w:rsid w:val="442B11BA"/>
    <w:rsid w:val="4431170B"/>
    <w:rsid w:val="444553A8"/>
    <w:rsid w:val="445C6678"/>
    <w:rsid w:val="449C28B0"/>
    <w:rsid w:val="44AF62CF"/>
    <w:rsid w:val="44C70F16"/>
    <w:rsid w:val="45703A5D"/>
    <w:rsid w:val="4582210E"/>
    <w:rsid w:val="45960C4E"/>
    <w:rsid w:val="45CC4A53"/>
    <w:rsid w:val="46130A89"/>
    <w:rsid w:val="465826B9"/>
    <w:rsid w:val="465A0995"/>
    <w:rsid w:val="46805727"/>
    <w:rsid w:val="46BC0923"/>
    <w:rsid w:val="46BD2CD2"/>
    <w:rsid w:val="46E63E52"/>
    <w:rsid w:val="46E828B4"/>
    <w:rsid w:val="46FC71DB"/>
    <w:rsid w:val="46FD7572"/>
    <w:rsid w:val="472114B3"/>
    <w:rsid w:val="4728595F"/>
    <w:rsid w:val="47286BA6"/>
    <w:rsid w:val="474E0D64"/>
    <w:rsid w:val="47541D2E"/>
    <w:rsid w:val="4780267D"/>
    <w:rsid w:val="47933E35"/>
    <w:rsid w:val="47957D04"/>
    <w:rsid w:val="47D227AD"/>
    <w:rsid w:val="47D85797"/>
    <w:rsid w:val="47F85E83"/>
    <w:rsid w:val="480C31E4"/>
    <w:rsid w:val="480D1F00"/>
    <w:rsid w:val="48114538"/>
    <w:rsid w:val="48133B34"/>
    <w:rsid w:val="481B671D"/>
    <w:rsid w:val="48253225"/>
    <w:rsid w:val="482B1EB8"/>
    <w:rsid w:val="482F23A3"/>
    <w:rsid w:val="48A24875"/>
    <w:rsid w:val="48AB5140"/>
    <w:rsid w:val="48AF30D7"/>
    <w:rsid w:val="48C91E02"/>
    <w:rsid w:val="48D82CBB"/>
    <w:rsid w:val="48F96E5B"/>
    <w:rsid w:val="4920783C"/>
    <w:rsid w:val="4921569D"/>
    <w:rsid w:val="49301E81"/>
    <w:rsid w:val="4948541D"/>
    <w:rsid w:val="4949543A"/>
    <w:rsid w:val="49673AE2"/>
    <w:rsid w:val="4969114F"/>
    <w:rsid w:val="497F6965"/>
    <w:rsid w:val="49A34A17"/>
    <w:rsid w:val="49B677F7"/>
    <w:rsid w:val="49C47264"/>
    <w:rsid w:val="49CB3958"/>
    <w:rsid w:val="49D8201E"/>
    <w:rsid w:val="4A181564"/>
    <w:rsid w:val="4A2246B5"/>
    <w:rsid w:val="4A28414F"/>
    <w:rsid w:val="4A392FB7"/>
    <w:rsid w:val="4A4E0A0D"/>
    <w:rsid w:val="4A547DF1"/>
    <w:rsid w:val="4A802994"/>
    <w:rsid w:val="4AAC19DB"/>
    <w:rsid w:val="4AC71C91"/>
    <w:rsid w:val="4AE271AB"/>
    <w:rsid w:val="4B187071"/>
    <w:rsid w:val="4B453AD0"/>
    <w:rsid w:val="4B4D0822"/>
    <w:rsid w:val="4B510DE4"/>
    <w:rsid w:val="4B5B7176"/>
    <w:rsid w:val="4B616322"/>
    <w:rsid w:val="4B6F7D6C"/>
    <w:rsid w:val="4B826E55"/>
    <w:rsid w:val="4B876DAB"/>
    <w:rsid w:val="4BAE52DF"/>
    <w:rsid w:val="4C001FDF"/>
    <w:rsid w:val="4C5776DA"/>
    <w:rsid w:val="4C596935"/>
    <w:rsid w:val="4C5D000A"/>
    <w:rsid w:val="4C6032E9"/>
    <w:rsid w:val="4C87000A"/>
    <w:rsid w:val="4CB33589"/>
    <w:rsid w:val="4CDF1BF4"/>
    <w:rsid w:val="4CF136D5"/>
    <w:rsid w:val="4D013C26"/>
    <w:rsid w:val="4D1E3BF0"/>
    <w:rsid w:val="4D2C0BB1"/>
    <w:rsid w:val="4D5A7D0C"/>
    <w:rsid w:val="4D5B506C"/>
    <w:rsid w:val="4D73233C"/>
    <w:rsid w:val="4D99302A"/>
    <w:rsid w:val="4DD3168B"/>
    <w:rsid w:val="4DE061A5"/>
    <w:rsid w:val="4E2077B9"/>
    <w:rsid w:val="4E4D2A0C"/>
    <w:rsid w:val="4E605017"/>
    <w:rsid w:val="4EA824BA"/>
    <w:rsid w:val="4ECF3CD9"/>
    <w:rsid w:val="4EE40F3F"/>
    <w:rsid w:val="4EE7471F"/>
    <w:rsid w:val="4EF7771F"/>
    <w:rsid w:val="4F237EEA"/>
    <w:rsid w:val="4F37536F"/>
    <w:rsid w:val="4F466F69"/>
    <w:rsid w:val="4F4F0B87"/>
    <w:rsid w:val="4F575F9B"/>
    <w:rsid w:val="4F6603AB"/>
    <w:rsid w:val="4F9F566B"/>
    <w:rsid w:val="4FA2515B"/>
    <w:rsid w:val="4FDD6193"/>
    <w:rsid w:val="4FFA682C"/>
    <w:rsid w:val="4FFA7FFD"/>
    <w:rsid w:val="503F0BFC"/>
    <w:rsid w:val="50796E95"/>
    <w:rsid w:val="509F2FA1"/>
    <w:rsid w:val="50FD6AED"/>
    <w:rsid w:val="51165C3E"/>
    <w:rsid w:val="511B3E36"/>
    <w:rsid w:val="511E6A63"/>
    <w:rsid w:val="51243F87"/>
    <w:rsid w:val="51292340"/>
    <w:rsid w:val="513169A1"/>
    <w:rsid w:val="51422751"/>
    <w:rsid w:val="51DB6702"/>
    <w:rsid w:val="51E155F2"/>
    <w:rsid w:val="51E53C27"/>
    <w:rsid w:val="5217598C"/>
    <w:rsid w:val="521F6F37"/>
    <w:rsid w:val="522D69A7"/>
    <w:rsid w:val="52346320"/>
    <w:rsid w:val="5257222D"/>
    <w:rsid w:val="52625A54"/>
    <w:rsid w:val="527E021F"/>
    <w:rsid w:val="5280691F"/>
    <w:rsid w:val="52824F68"/>
    <w:rsid w:val="528432BD"/>
    <w:rsid w:val="52A04513"/>
    <w:rsid w:val="52A85D9E"/>
    <w:rsid w:val="52BC29D7"/>
    <w:rsid w:val="52C52FBD"/>
    <w:rsid w:val="52D4387D"/>
    <w:rsid w:val="52DE0F38"/>
    <w:rsid w:val="52E51339"/>
    <w:rsid w:val="52EE51FD"/>
    <w:rsid w:val="531E0F9C"/>
    <w:rsid w:val="53395DD6"/>
    <w:rsid w:val="53760DD8"/>
    <w:rsid w:val="53771117"/>
    <w:rsid w:val="538C4158"/>
    <w:rsid w:val="539E52FA"/>
    <w:rsid w:val="53A81EAA"/>
    <w:rsid w:val="53C925BB"/>
    <w:rsid w:val="53D31D87"/>
    <w:rsid w:val="54040192"/>
    <w:rsid w:val="5411051E"/>
    <w:rsid w:val="54260108"/>
    <w:rsid w:val="545C7FCE"/>
    <w:rsid w:val="54690408"/>
    <w:rsid w:val="54695AB4"/>
    <w:rsid w:val="547D1CF3"/>
    <w:rsid w:val="54846F58"/>
    <w:rsid w:val="54985FE7"/>
    <w:rsid w:val="54992FD0"/>
    <w:rsid w:val="54A46AAB"/>
    <w:rsid w:val="54B0336E"/>
    <w:rsid w:val="54BC0A6D"/>
    <w:rsid w:val="54E12575"/>
    <w:rsid w:val="54E52322"/>
    <w:rsid w:val="54E57FC4"/>
    <w:rsid w:val="55172147"/>
    <w:rsid w:val="55293B20"/>
    <w:rsid w:val="553A616A"/>
    <w:rsid w:val="55466588"/>
    <w:rsid w:val="55627866"/>
    <w:rsid w:val="5590344D"/>
    <w:rsid w:val="55A559A5"/>
    <w:rsid w:val="55AE1942"/>
    <w:rsid w:val="55CB647C"/>
    <w:rsid w:val="55DF7DF0"/>
    <w:rsid w:val="55E01810"/>
    <w:rsid w:val="55EA33B8"/>
    <w:rsid w:val="56026953"/>
    <w:rsid w:val="561712F3"/>
    <w:rsid w:val="56344490"/>
    <w:rsid w:val="5644455D"/>
    <w:rsid w:val="564F2B03"/>
    <w:rsid w:val="56953F49"/>
    <w:rsid w:val="56C847C4"/>
    <w:rsid w:val="56E60023"/>
    <w:rsid w:val="56F04EE4"/>
    <w:rsid w:val="56FD0957"/>
    <w:rsid w:val="571A2845"/>
    <w:rsid w:val="57283217"/>
    <w:rsid w:val="57394F29"/>
    <w:rsid w:val="573B211D"/>
    <w:rsid w:val="57451AED"/>
    <w:rsid w:val="574E300C"/>
    <w:rsid w:val="576E7AE6"/>
    <w:rsid w:val="577E46FF"/>
    <w:rsid w:val="57A9177C"/>
    <w:rsid w:val="57F50CC3"/>
    <w:rsid w:val="57FB7AFE"/>
    <w:rsid w:val="580F7F9C"/>
    <w:rsid w:val="58197B0B"/>
    <w:rsid w:val="581A61D6"/>
    <w:rsid w:val="584B40CE"/>
    <w:rsid w:val="5866141B"/>
    <w:rsid w:val="586A0D4A"/>
    <w:rsid w:val="58943FCA"/>
    <w:rsid w:val="58994BA1"/>
    <w:rsid w:val="589C4E3D"/>
    <w:rsid w:val="58A91308"/>
    <w:rsid w:val="58BE0460"/>
    <w:rsid w:val="58CB4EEE"/>
    <w:rsid w:val="58D22EC9"/>
    <w:rsid w:val="58F15B5B"/>
    <w:rsid w:val="59113817"/>
    <w:rsid w:val="5955149E"/>
    <w:rsid w:val="59786F1C"/>
    <w:rsid w:val="598619AA"/>
    <w:rsid w:val="5999029F"/>
    <w:rsid w:val="59A414DC"/>
    <w:rsid w:val="59CA4F9F"/>
    <w:rsid w:val="5A041094"/>
    <w:rsid w:val="5A1B6236"/>
    <w:rsid w:val="5A2F1CE1"/>
    <w:rsid w:val="5A2F4491"/>
    <w:rsid w:val="5A3572F7"/>
    <w:rsid w:val="5A521924"/>
    <w:rsid w:val="5A861435"/>
    <w:rsid w:val="5A895367"/>
    <w:rsid w:val="5A9B04BB"/>
    <w:rsid w:val="5AA028A2"/>
    <w:rsid w:val="5AC02F37"/>
    <w:rsid w:val="5ACB7C5C"/>
    <w:rsid w:val="5AF17DBE"/>
    <w:rsid w:val="5AFD3F7C"/>
    <w:rsid w:val="5B445318"/>
    <w:rsid w:val="5B484E08"/>
    <w:rsid w:val="5B636E29"/>
    <w:rsid w:val="5B8A646F"/>
    <w:rsid w:val="5B8B15E4"/>
    <w:rsid w:val="5B9D1648"/>
    <w:rsid w:val="5BA739F1"/>
    <w:rsid w:val="5BD13050"/>
    <w:rsid w:val="5BD2518D"/>
    <w:rsid w:val="5BDB7A2A"/>
    <w:rsid w:val="5C1D6295"/>
    <w:rsid w:val="5C390BF5"/>
    <w:rsid w:val="5C496733"/>
    <w:rsid w:val="5C4A75EC"/>
    <w:rsid w:val="5C787B59"/>
    <w:rsid w:val="5C88654D"/>
    <w:rsid w:val="5C904CB9"/>
    <w:rsid w:val="5CCB654F"/>
    <w:rsid w:val="5D3970FE"/>
    <w:rsid w:val="5D6139F1"/>
    <w:rsid w:val="5D722610"/>
    <w:rsid w:val="5D77462A"/>
    <w:rsid w:val="5D7962D8"/>
    <w:rsid w:val="5D7E2D63"/>
    <w:rsid w:val="5DAF67CF"/>
    <w:rsid w:val="5DC47A95"/>
    <w:rsid w:val="5DD62B9F"/>
    <w:rsid w:val="5DD72473"/>
    <w:rsid w:val="5DDB4E6C"/>
    <w:rsid w:val="5DDD4653"/>
    <w:rsid w:val="5DEC23C3"/>
    <w:rsid w:val="5DF04B2E"/>
    <w:rsid w:val="5DF13A9D"/>
    <w:rsid w:val="5DF21593"/>
    <w:rsid w:val="5E262E92"/>
    <w:rsid w:val="5E3C39A8"/>
    <w:rsid w:val="5E574CEC"/>
    <w:rsid w:val="5E5F1C11"/>
    <w:rsid w:val="5E6B69F2"/>
    <w:rsid w:val="5E8230DA"/>
    <w:rsid w:val="5E856373"/>
    <w:rsid w:val="5E940365"/>
    <w:rsid w:val="5E946A84"/>
    <w:rsid w:val="5ED84354"/>
    <w:rsid w:val="5EF95C2F"/>
    <w:rsid w:val="5F0674B4"/>
    <w:rsid w:val="5F0A4C63"/>
    <w:rsid w:val="5F3F6522"/>
    <w:rsid w:val="5F440923"/>
    <w:rsid w:val="5F4D7193"/>
    <w:rsid w:val="5F622211"/>
    <w:rsid w:val="5F835EE7"/>
    <w:rsid w:val="5F894D02"/>
    <w:rsid w:val="5FA42829"/>
    <w:rsid w:val="5FA45262"/>
    <w:rsid w:val="5FBE7D8F"/>
    <w:rsid w:val="60002BCA"/>
    <w:rsid w:val="602D4BBE"/>
    <w:rsid w:val="606F50F7"/>
    <w:rsid w:val="60936B26"/>
    <w:rsid w:val="6099562E"/>
    <w:rsid w:val="609F72EE"/>
    <w:rsid w:val="60B31709"/>
    <w:rsid w:val="60C56EFB"/>
    <w:rsid w:val="60D522C2"/>
    <w:rsid w:val="60E66F95"/>
    <w:rsid w:val="611134A9"/>
    <w:rsid w:val="612B1F28"/>
    <w:rsid w:val="6149224A"/>
    <w:rsid w:val="61571B21"/>
    <w:rsid w:val="61A83D6C"/>
    <w:rsid w:val="61DC4574"/>
    <w:rsid w:val="62015D11"/>
    <w:rsid w:val="621916E0"/>
    <w:rsid w:val="62354F1A"/>
    <w:rsid w:val="62397E5D"/>
    <w:rsid w:val="62482BE3"/>
    <w:rsid w:val="625C216F"/>
    <w:rsid w:val="62AC5EF1"/>
    <w:rsid w:val="62CD1E0B"/>
    <w:rsid w:val="62D41677"/>
    <w:rsid w:val="62D43425"/>
    <w:rsid w:val="62E10A93"/>
    <w:rsid w:val="62EC5008"/>
    <w:rsid w:val="630E0873"/>
    <w:rsid w:val="630F5301"/>
    <w:rsid w:val="63302D52"/>
    <w:rsid w:val="63477C5A"/>
    <w:rsid w:val="634C3904"/>
    <w:rsid w:val="635A4077"/>
    <w:rsid w:val="63666773"/>
    <w:rsid w:val="63691921"/>
    <w:rsid w:val="637A0EF7"/>
    <w:rsid w:val="6381535B"/>
    <w:rsid w:val="63A562E5"/>
    <w:rsid w:val="63AA0FB7"/>
    <w:rsid w:val="63B14EAB"/>
    <w:rsid w:val="63B70E8A"/>
    <w:rsid w:val="63C54C08"/>
    <w:rsid w:val="63CF4350"/>
    <w:rsid w:val="63D376CF"/>
    <w:rsid w:val="6402627D"/>
    <w:rsid w:val="64133F27"/>
    <w:rsid w:val="6418014B"/>
    <w:rsid w:val="643423CE"/>
    <w:rsid w:val="645111D2"/>
    <w:rsid w:val="646F2D31"/>
    <w:rsid w:val="6470717E"/>
    <w:rsid w:val="647E21C0"/>
    <w:rsid w:val="649A79EF"/>
    <w:rsid w:val="64B235B0"/>
    <w:rsid w:val="64BD0615"/>
    <w:rsid w:val="64C463EE"/>
    <w:rsid w:val="64E92DA1"/>
    <w:rsid w:val="64EE3058"/>
    <w:rsid w:val="64EE5F80"/>
    <w:rsid w:val="64EF66D1"/>
    <w:rsid w:val="64F729DB"/>
    <w:rsid w:val="64F83E67"/>
    <w:rsid w:val="654354C3"/>
    <w:rsid w:val="654915F0"/>
    <w:rsid w:val="65670EE1"/>
    <w:rsid w:val="656E236F"/>
    <w:rsid w:val="656F7435"/>
    <w:rsid w:val="65866BAB"/>
    <w:rsid w:val="65945732"/>
    <w:rsid w:val="65981D48"/>
    <w:rsid w:val="65A15709"/>
    <w:rsid w:val="65C46E98"/>
    <w:rsid w:val="65E9543A"/>
    <w:rsid w:val="65ED7829"/>
    <w:rsid w:val="660B6614"/>
    <w:rsid w:val="66144F3D"/>
    <w:rsid w:val="66212E26"/>
    <w:rsid w:val="663515B7"/>
    <w:rsid w:val="663C37BC"/>
    <w:rsid w:val="66667F23"/>
    <w:rsid w:val="66957A24"/>
    <w:rsid w:val="669E7FD2"/>
    <w:rsid w:val="66A01D47"/>
    <w:rsid w:val="66A368FB"/>
    <w:rsid w:val="67050EC8"/>
    <w:rsid w:val="67292AA1"/>
    <w:rsid w:val="673274D7"/>
    <w:rsid w:val="673A60BC"/>
    <w:rsid w:val="676872C0"/>
    <w:rsid w:val="67865E23"/>
    <w:rsid w:val="67BF04E7"/>
    <w:rsid w:val="67DB3B8D"/>
    <w:rsid w:val="67E22141"/>
    <w:rsid w:val="6801325C"/>
    <w:rsid w:val="680402E9"/>
    <w:rsid w:val="68462F85"/>
    <w:rsid w:val="688C5948"/>
    <w:rsid w:val="68A06F6F"/>
    <w:rsid w:val="68A707CF"/>
    <w:rsid w:val="68B47F81"/>
    <w:rsid w:val="691D7431"/>
    <w:rsid w:val="692549DB"/>
    <w:rsid w:val="69362744"/>
    <w:rsid w:val="69464DC7"/>
    <w:rsid w:val="69AB2B19"/>
    <w:rsid w:val="69BC3D0C"/>
    <w:rsid w:val="69E32093"/>
    <w:rsid w:val="6A170F4A"/>
    <w:rsid w:val="6A1F7913"/>
    <w:rsid w:val="6A405774"/>
    <w:rsid w:val="6A4457A6"/>
    <w:rsid w:val="6A696B49"/>
    <w:rsid w:val="6A97335A"/>
    <w:rsid w:val="6ACB7804"/>
    <w:rsid w:val="6ADE2AFA"/>
    <w:rsid w:val="6AEC3803"/>
    <w:rsid w:val="6AF503DD"/>
    <w:rsid w:val="6AF9611F"/>
    <w:rsid w:val="6AFB424C"/>
    <w:rsid w:val="6B1A20BA"/>
    <w:rsid w:val="6B4F375D"/>
    <w:rsid w:val="6B5104F4"/>
    <w:rsid w:val="6B7A416A"/>
    <w:rsid w:val="6B920C49"/>
    <w:rsid w:val="6BA51E03"/>
    <w:rsid w:val="6BA656E3"/>
    <w:rsid w:val="6BBD20E4"/>
    <w:rsid w:val="6BD66460"/>
    <w:rsid w:val="6BEA500E"/>
    <w:rsid w:val="6C1D3805"/>
    <w:rsid w:val="6C2849EF"/>
    <w:rsid w:val="6C2B6ECA"/>
    <w:rsid w:val="6C3A51C9"/>
    <w:rsid w:val="6C412AEB"/>
    <w:rsid w:val="6C515AE7"/>
    <w:rsid w:val="6C683F0B"/>
    <w:rsid w:val="6C741149"/>
    <w:rsid w:val="6C832144"/>
    <w:rsid w:val="6C865DE7"/>
    <w:rsid w:val="6C8E0AE9"/>
    <w:rsid w:val="6C9327EC"/>
    <w:rsid w:val="6CA6753F"/>
    <w:rsid w:val="6CB247BC"/>
    <w:rsid w:val="6CCE28A2"/>
    <w:rsid w:val="6CDF3526"/>
    <w:rsid w:val="6CEB5436"/>
    <w:rsid w:val="6CEE5C99"/>
    <w:rsid w:val="6D2B500E"/>
    <w:rsid w:val="6D2E661D"/>
    <w:rsid w:val="6D5609F0"/>
    <w:rsid w:val="6D6959FF"/>
    <w:rsid w:val="6DA858DC"/>
    <w:rsid w:val="6DAC0546"/>
    <w:rsid w:val="6DC02F24"/>
    <w:rsid w:val="6DD2601A"/>
    <w:rsid w:val="6DEC134B"/>
    <w:rsid w:val="6DFB7799"/>
    <w:rsid w:val="6E1A0886"/>
    <w:rsid w:val="6E5E1E16"/>
    <w:rsid w:val="6E955891"/>
    <w:rsid w:val="6EB13906"/>
    <w:rsid w:val="6ED8604B"/>
    <w:rsid w:val="6EF872B4"/>
    <w:rsid w:val="6F055C2C"/>
    <w:rsid w:val="6F255735"/>
    <w:rsid w:val="6F3053A8"/>
    <w:rsid w:val="6F3F1B07"/>
    <w:rsid w:val="6F6A3147"/>
    <w:rsid w:val="6F6D0E8A"/>
    <w:rsid w:val="6F8C52EC"/>
    <w:rsid w:val="6FD33D19"/>
    <w:rsid w:val="6FE6325D"/>
    <w:rsid w:val="6FE833ED"/>
    <w:rsid w:val="703D7CA1"/>
    <w:rsid w:val="705D4A5A"/>
    <w:rsid w:val="70653105"/>
    <w:rsid w:val="70AD1263"/>
    <w:rsid w:val="70B6216E"/>
    <w:rsid w:val="70D311C0"/>
    <w:rsid w:val="70D80E2E"/>
    <w:rsid w:val="70D9648A"/>
    <w:rsid w:val="70EB02B8"/>
    <w:rsid w:val="70F57389"/>
    <w:rsid w:val="70F649AA"/>
    <w:rsid w:val="7102770E"/>
    <w:rsid w:val="711F7F62"/>
    <w:rsid w:val="71285D2D"/>
    <w:rsid w:val="71297032"/>
    <w:rsid w:val="713C35B6"/>
    <w:rsid w:val="714E4FC3"/>
    <w:rsid w:val="71507EBE"/>
    <w:rsid w:val="71655B6B"/>
    <w:rsid w:val="71702871"/>
    <w:rsid w:val="71783CC6"/>
    <w:rsid w:val="71792BFA"/>
    <w:rsid w:val="717C7162"/>
    <w:rsid w:val="71A57CB7"/>
    <w:rsid w:val="71A843FB"/>
    <w:rsid w:val="71BA10A6"/>
    <w:rsid w:val="71C1727B"/>
    <w:rsid w:val="71DB032D"/>
    <w:rsid w:val="71F87130"/>
    <w:rsid w:val="72050688"/>
    <w:rsid w:val="722577FA"/>
    <w:rsid w:val="722D66AE"/>
    <w:rsid w:val="725731F7"/>
    <w:rsid w:val="729B5D0E"/>
    <w:rsid w:val="72D03C09"/>
    <w:rsid w:val="72E66F89"/>
    <w:rsid w:val="72F571CC"/>
    <w:rsid w:val="733C129F"/>
    <w:rsid w:val="735349F1"/>
    <w:rsid w:val="738B6E51"/>
    <w:rsid w:val="738B7642"/>
    <w:rsid w:val="73A70F6B"/>
    <w:rsid w:val="73A806E2"/>
    <w:rsid w:val="73D46EF5"/>
    <w:rsid w:val="73D634A1"/>
    <w:rsid w:val="73DA3E1F"/>
    <w:rsid w:val="73F76F74"/>
    <w:rsid w:val="740F42BD"/>
    <w:rsid w:val="742A2B3A"/>
    <w:rsid w:val="743A1838"/>
    <w:rsid w:val="743B7B7A"/>
    <w:rsid w:val="744A1058"/>
    <w:rsid w:val="744C3764"/>
    <w:rsid w:val="745939D5"/>
    <w:rsid w:val="74604B19"/>
    <w:rsid w:val="746F2FAE"/>
    <w:rsid w:val="74846230"/>
    <w:rsid w:val="748A109E"/>
    <w:rsid w:val="74BC04D7"/>
    <w:rsid w:val="74D06143"/>
    <w:rsid w:val="74D75F17"/>
    <w:rsid w:val="7506594A"/>
    <w:rsid w:val="75156662"/>
    <w:rsid w:val="751D2B63"/>
    <w:rsid w:val="75244BCB"/>
    <w:rsid w:val="75385F2E"/>
    <w:rsid w:val="758A2545"/>
    <w:rsid w:val="758E3908"/>
    <w:rsid w:val="75AE16B5"/>
    <w:rsid w:val="75D95209"/>
    <w:rsid w:val="75E8797A"/>
    <w:rsid w:val="760C2CD8"/>
    <w:rsid w:val="761D7624"/>
    <w:rsid w:val="76400B3E"/>
    <w:rsid w:val="765574F4"/>
    <w:rsid w:val="765F33E2"/>
    <w:rsid w:val="7666529B"/>
    <w:rsid w:val="7677011E"/>
    <w:rsid w:val="76805946"/>
    <w:rsid w:val="76974C57"/>
    <w:rsid w:val="76A532C5"/>
    <w:rsid w:val="76BB06B4"/>
    <w:rsid w:val="76CA328D"/>
    <w:rsid w:val="76DD06A3"/>
    <w:rsid w:val="76E64D7F"/>
    <w:rsid w:val="76F36118"/>
    <w:rsid w:val="76FA2174"/>
    <w:rsid w:val="77287154"/>
    <w:rsid w:val="77381D7D"/>
    <w:rsid w:val="77444BC6"/>
    <w:rsid w:val="77A17922"/>
    <w:rsid w:val="77A2369A"/>
    <w:rsid w:val="77B70EF4"/>
    <w:rsid w:val="77FF5426"/>
    <w:rsid w:val="78014865"/>
    <w:rsid w:val="78031235"/>
    <w:rsid w:val="78060F31"/>
    <w:rsid w:val="781A1483"/>
    <w:rsid w:val="783642BA"/>
    <w:rsid w:val="784A6593"/>
    <w:rsid w:val="785C3A45"/>
    <w:rsid w:val="786B1CDE"/>
    <w:rsid w:val="78880AE2"/>
    <w:rsid w:val="78C7160B"/>
    <w:rsid w:val="78CB3F37"/>
    <w:rsid w:val="78D45638"/>
    <w:rsid w:val="78F332B8"/>
    <w:rsid w:val="78FB3510"/>
    <w:rsid w:val="79295E21"/>
    <w:rsid w:val="79315EE1"/>
    <w:rsid w:val="793F2B22"/>
    <w:rsid w:val="79442010"/>
    <w:rsid w:val="7952273A"/>
    <w:rsid w:val="7952555E"/>
    <w:rsid w:val="79570BE0"/>
    <w:rsid w:val="796966B4"/>
    <w:rsid w:val="7984574E"/>
    <w:rsid w:val="799F60E4"/>
    <w:rsid w:val="79A83D0D"/>
    <w:rsid w:val="79AC271D"/>
    <w:rsid w:val="79B7342D"/>
    <w:rsid w:val="79B80F53"/>
    <w:rsid w:val="79FA1CD2"/>
    <w:rsid w:val="79FA613B"/>
    <w:rsid w:val="7A11172C"/>
    <w:rsid w:val="7A2E7D08"/>
    <w:rsid w:val="7A457381"/>
    <w:rsid w:val="7A462A03"/>
    <w:rsid w:val="7A5A025C"/>
    <w:rsid w:val="7A9E3DB9"/>
    <w:rsid w:val="7AA74418"/>
    <w:rsid w:val="7ADE1BAA"/>
    <w:rsid w:val="7AE87D7A"/>
    <w:rsid w:val="7B264D2D"/>
    <w:rsid w:val="7B2A7C2F"/>
    <w:rsid w:val="7B3637B9"/>
    <w:rsid w:val="7B364D01"/>
    <w:rsid w:val="7B3F192C"/>
    <w:rsid w:val="7B41219D"/>
    <w:rsid w:val="7B7C7960"/>
    <w:rsid w:val="7B9D0A2A"/>
    <w:rsid w:val="7BCA7169"/>
    <w:rsid w:val="7BD03F38"/>
    <w:rsid w:val="7C02295A"/>
    <w:rsid w:val="7C06069C"/>
    <w:rsid w:val="7C0B35E0"/>
    <w:rsid w:val="7C2A0A2F"/>
    <w:rsid w:val="7C41273A"/>
    <w:rsid w:val="7C501917"/>
    <w:rsid w:val="7C6D2A56"/>
    <w:rsid w:val="7C7750F6"/>
    <w:rsid w:val="7C79405E"/>
    <w:rsid w:val="7C916173"/>
    <w:rsid w:val="7C944032"/>
    <w:rsid w:val="7CA26617"/>
    <w:rsid w:val="7CC4499D"/>
    <w:rsid w:val="7CC633BE"/>
    <w:rsid w:val="7CCE2C89"/>
    <w:rsid w:val="7CDB38D7"/>
    <w:rsid w:val="7CDF276F"/>
    <w:rsid w:val="7CEA7DD0"/>
    <w:rsid w:val="7D2120CC"/>
    <w:rsid w:val="7D425704"/>
    <w:rsid w:val="7D4A69FC"/>
    <w:rsid w:val="7D5366D1"/>
    <w:rsid w:val="7D6B069D"/>
    <w:rsid w:val="7D7F7520"/>
    <w:rsid w:val="7DAF0AC7"/>
    <w:rsid w:val="7DBF1F3D"/>
    <w:rsid w:val="7DC7465F"/>
    <w:rsid w:val="7DC9754F"/>
    <w:rsid w:val="7DD9089F"/>
    <w:rsid w:val="7DE95B7F"/>
    <w:rsid w:val="7E33651D"/>
    <w:rsid w:val="7E3C2153"/>
    <w:rsid w:val="7E400363"/>
    <w:rsid w:val="7E42532C"/>
    <w:rsid w:val="7E486B2A"/>
    <w:rsid w:val="7E6C1B17"/>
    <w:rsid w:val="7EC64112"/>
    <w:rsid w:val="7ECA4A65"/>
    <w:rsid w:val="7ED3211B"/>
    <w:rsid w:val="7EF277D2"/>
    <w:rsid w:val="7F067B28"/>
    <w:rsid w:val="7F435763"/>
    <w:rsid w:val="7F572FBC"/>
    <w:rsid w:val="7F5B5506"/>
    <w:rsid w:val="7F6820BF"/>
    <w:rsid w:val="7F811ED1"/>
    <w:rsid w:val="7FE02FB2"/>
    <w:rsid w:val="7FE97F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7"/>
      <w:jc w:val="both"/>
    </w:pPr>
    <w:rPr>
      <w:rFonts w:ascii="Times New Roman" w:hAnsi="Times New Roman" w:eastAsia="宋体" w:cs="Times New Roman"/>
      <w:color w:val="000000"/>
      <w:sz w:val="24"/>
      <w:szCs w:val="24"/>
      <w:lang w:val="en-US" w:eastAsia="zh-CN" w:bidi="ar-SA"/>
    </w:rPr>
  </w:style>
  <w:style w:type="paragraph" w:styleId="2">
    <w:name w:val="heading 1"/>
    <w:basedOn w:val="1"/>
    <w:next w:val="1"/>
    <w:qFormat/>
    <w:uiPriority w:val="99"/>
    <w:pPr>
      <w:keepNext/>
      <w:keepLines/>
      <w:spacing w:before="340" w:after="330" w:line="578" w:lineRule="auto"/>
      <w:outlineLvl w:val="0"/>
    </w:pPr>
    <w:rPr>
      <w:b/>
      <w:bCs/>
      <w:kern w:val="44"/>
      <w:sz w:val="44"/>
      <w:szCs w:val="44"/>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toa heading"/>
    <w:basedOn w:val="1"/>
    <w:next w:val="1"/>
    <w:qFormat/>
    <w:uiPriority w:val="99"/>
    <w:rPr>
      <w:rFonts w:ascii="Arial" w:hAnsi="Arial" w:cs="Calibri"/>
    </w:rPr>
  </w:style>
  <w:style w:type="paragraph" w:styleId="4">
    <w:name w:val="Body Text"/>
    <w:basedOn w:val="1"/>
    <w:semiHidden/>
    <w:qFormat/>
    <w:uiPriority w:val="0"/>
    <w:rPr>
      <w:rFonts w:ascii="宋体" w:hAnsi="宋体" w:cs="宋体"/>
      <w:sz w:val="62"/>
      <w:szCs w:val="62"/>
      <w:lang w:eastAsia="en-US"/>
    </w:rPr>
  </w:style>
  <w:style w:type="paragraph" w:styleId="5">
    <w:name w:val="toc 3"/>
    <w:basedOn w:val="1"/>
    <w:next w:val="1"/>
    <w:semiHidden/>
    <w:unhideWhenUsed/>
    <w:qFormat/>
    <w:uiPriority w:val="39"/>
    <w:pPr>
      <w:ind w:left="840" w:leftChars="400"/>
    </w:pPr>
  </w:style>
  <w:style w:type="paragraph" w:styleId="6">
    <w:name w:val="Plain Text"/>
    <w:basedOn w:val="1"/>
    <w:qFormat/>
    <w:uiPriority w:val="0"/>
    <w:rPr>
      <w:rFonts w:ascii="宋体" w:hAnsi="Courier New"/>
      <w:sz w:val="28"/>
      <w:szCs w:val="20"/>
    </w:rPr>
  </w:style>
  <w:style w:type="paragraph" w:styleId="7">
    <w:name w:val="Balloon Text"/>
    <w:basedOn w:val="1"/>
    <w:link w:val="42"/>
    <w:semiHidden/>
    <w:unhideWhenUsed/>
    <w:qFormat/>
    <w:uiPriority w:val="99"/>
    <w:pPr>
      <w:spacing w:line="240" w:lineRule="auto"/>
    </w:pPr>
    <w:rPr>
      <w:sz w:val="18"/>
      <w:szCs w:val="18"/>
    </w:r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link w:val="17"/>
    <w:unhideWhenUsed/>
    <w:qFormat/>
    <w:uiPriority w:val="99"/>
    <w:pPr>
      <w:tabs>
        <w:tab w:val="center" w:pos="4153"/>
        <w:tab w:val="right" w:pos="8306"/>
      </w:tabs>
      <w:snapToGrid w:val="0"/>
      <w:jc w:val="center"/>
    </w:pPr>
    <w:rPr>
      <w:sz w:val="18"/>
      <w:szCs w:val="18"/>
    </w:rPr>
  </w:style>
  <w:style w:type="paragraph" w:styleId="10">
    <w:name w:val="toc 1"/>
    <w:basedOn w:val="1"/>
    <w:next w:val="1"/>
    <w:qFormat/>
    <w:uiPriority w:val="39"/>
  </w:style>
  <w:style w:type="paragraph" w:styleId="11">
    <w:name w:val="toc 2"/>
    <w:basedOn w:val="1"/>
    <w:next w:val="1"/>
    <w:qFormat/>
    <w:uiPriority w:val="39"/>
    <w:pPr>
      <w:ind w:left="420" w:leftChars="200"/>
    </w:pPr>
  </w:style>
  <w:style w:type="paragraph" w:styleId="12">
    <w:name w:val="Normal (Web)"/>
    <w:basedOn w:val="1"/>
    <w:qFormat/>
    <w:uiPriority w:val="0"/>
    <w:pPr>
      <w:spacing w:before="100" w:beforeAutospacing="1" w:after="100" w:afterAutospacing="1"/>
      <w:jc w:val="left"/>
    </w:pPr>
    <w:rPr>
      <w:rFonts w:cs="Arial Unicode MS"/>
      <w:szCs w:val="20"/>
      <w:lang w:bidi="lo-LA"/>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unhideWhenUsed/>
    <w:qFormat/>
    <w:uiPriority w:val="99"/>
    <w:rPr>
      <w:color w:val="0563C1" w:themeColor="hyperlink"/>
      <w:u w:val="single"/>
      <w14:textFill>
        <w14:solidFill>
          <w14:schemeClr w14:val="hlink"/>
        </w14:solidFill>
      </w14:textFill>
    </w:rPr>
  </w:style>
  <w:style w:type="character" w:customStyle="1" w:styleId="17">
    <w:name w:val="页眉 字符"/>
    <w:basedOn w:val="15"/>
    <w:link w:val="9"/>
    <w:qFormat/>
    <w:uiPriority w:val="99"/>
    <w:rPr>
      <w:sz w:val="18"/>
      <w:szCs w:val="18"/>
    </w:rPr>
  </w:style>
  <w:style w:type="character" w:customStyle="1" w:styleId="18">
    <w:name w:val="页脚 字符"/>
    <w:basedOn w:val="15"/>
    <w:link w:val="8"/>
    <w:qFormat/>
    <w:uiPriority w:val="99"/>
    <w:rPr>
      <w:sz w:val="18"/>
      <w:szCs w:val="18"/>
    </w:rPr>
  </w:style>
  <w:style w:type="paragraph" w:customStyle="1" w:styleId="19">
    <w:name w:val="章标题"/>
    <w:next w:val="20"/>
    <w:link w:val="21"/>
    <w:qFormat/>
    <w:uiPriority w:val="0"/>
    <w:pPr>
      <w:spacing w:beforeLines="50" w:afterLines="50"/>
      <w:jc w:val="both"/>
      <w:outlineLvl w:val="1"/>
    </w:pPr>
    <w:rPr>
      <w:rFonts w:ascii="黑体" w:hAnsi="Times New Roman" w:eastAsia="黑体" w:cs="Times New Roman"/>
      <w:sz w:val="21"/>
      <w:lang w:val="en-US" w:eastAsia="zh-CN" w:bidi="ar-SA"/>
    </w:rPr>
  </w:style>
  <w:style w:type="paragraph" w:customStyle="1" w:styleId="2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21">
    <w:name w:val="章标题 Char"/>
    <w:link w:val="19"/>
    <w:autoRedefine/>
    <w:qFormat/>
    <w:uiPriority w:val="0"/>
    <w:rPr>
      <w:rFonts w:ascii="黑体" w:hAnsi="Times New Roman" w:eastAsia="黑体" w:cs="Times New Roman"/>
      <w:kern w:val="0"/>
      <w:szCs w:val="20"/>
      <w14:ligatures w14:val="none"/>
    </w:rPr>
  </w:style>
  <w:style w:type="paragraph" w:customStyle="1" w:styleId="22">
    <w:name w:val="Body text|1"/>
    <w:basedOn w:val="1"/>
    <w:qFormat/>
    <w:uiPriority w:val="0"/>
    <w:pPr>
      <w:spacing w:line="346" w:lineRule="auto"/>
      <w:ind w:left="960" w:firstLine="400"/>
    </w:pPr>
  </w:style>
  <w:style w:type="paragraph" w:customStyle="1" w:styleId="23">
    <w:name w:val="Table caption|1"/>
    <w:basedOn w:val="1"/>
    <w:qFormat/>
    <w:uiPriority w:val="0"/>
    <w:rPr>
      <w:rFonts w:ascii="宋体" w:hAnsi="宋体" w:cs="宋体"/>
      <w:kern w:val="2"/>
      <w:lang w:val="zh-TW" w:eastAsia="zh-TW" w:bidi="zh-TW"/>
    </w:rPr>
  </w:style>
  <w:style w:type="paragraph" w:customStyle="1" w:styleId="24">
    <w:name w:val="Other|1"/>
    <w:basedOn w:val="1"/>
    <w:qFormat/>
    <w:uiPriority w:val="0"/>
    <w:pPr>
      <w:spacing w:after="50" w:line="406" w:lineRule="exact"/>
      <w:jc w:val="center"/>
    </w:pPr>
    <w:rPr>
      <w:rFonts w:ascii="宋体" w:hAnsi="宋体" w:cs="宋体"/>
      <w:kern w:val="2"/>
      <w:sz w:val="22"/>
      <w:lang w:val="zh-TW" w:eastAsia="zh-TW" w:bidi="zh-TW"/>
    </w:rPr>
  </w:style>
  <w:style w:type="paragraph" w:styleId="25">
    <w:name w:val="No Spacing"/>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6">
    <w:name w:val="List Paragraph"/>
    <w:basedOn w:val="1"/>
    <w:qFormat/>
    <w:uiPriority w:val="0"/>
    <w:pPr>
      <w:adjustRightInd w:val="0"/>
      <w:snapToGrid w:val="0"/>
      <w:ind w:firstLine="420" w:firstLineChars="200"/>
    </w:pPr>
    <w:rPr>
      <w:rFonts w:ascii="Calibri" w:hAnsi="Calibri"/>
      <w:kern w:val="2"/>
      <w:sz w:val="32"/>
    </w:rPr>
  </w:style>
  <w:style w:type="paragraph" w:customStyle="1" w:styleId="27">
    <w:name w:val="Table Paragraph"/>
    <w:basedOn w:val="1"/>
    <w:qFormat/>
    <w:uiPriority w:val="0"/>
    <w:pPr>
      <w:autoSpaceDE w:val="0"/>
      <w:autoSpaceDN w:val="0"/>
      <w:adjustRightInd w:val="0"/>
      <w:snapToGrid w:val="0"/>
      <w:ind w:firstLine="640" w:firstLineChars="200"/>
      <w:jc w:val="left"/>
    </w:pPr>
    <w:rPr>
      <w:rFonts w:ascii="仿宋_GB2312" w:hAnsi="华文仿宋" w:eastAsia="仿宋_GB2312"/>
      <w:szCs w:val="32"/>
    </w:rPr>
  </w:style>
  <w:style w:type="paragraph" w:customStyle="1" w:styleId="28">
    <w:name w:val="标准文件_字母编号列项（一级）"/>
    <w:autoRedefine/>
    <w:qFormat/>
    <w:uiPriority w:val="0"/>
    <w:pPr>
      <w:numPr>
        <w:ilvl w:val="0"/>
        <w:numId w:val="1"/>
      </w:numPr>
      <w:jc w:val="both"/>
    </w:pPr>
    <w:rPr>
      <w:rFonts w:ascii="宋体" w:hAnsi="Times New Roman" w:eastAsia="宋体" w:cs="Times New Roman"/>
      <w:sz w:val="21"/>
      <w:lang w:val="en-US" w:eastAsia="zh-CN" w:bidi="ar-SA"/>
    </w:rPr>
  </w:style>
  <w:style w:type="table" w:customStyle="1" w:styleId="29">
    <w:name w:val="Table Normal"/>
    <w:autoRedefine/>
    <w:unhideWhenUsed/>
    <w:qFormat/>
    <w:uiPriority w:val="0"/>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30">
    <w:name w:val="Table Text"/>
    <w:basedOn w:val="1"/>
    <w:semiHidden/>
    <w:qFormat/>
    <w:uiPriority w:val="0"/>
    <w:rPr>
      <w:rFonts w:ascii="宋体" w:hAnsi="宋体" w:cs="宋体"/>
      <w:sz w:val="16"/>
      <w:szCs w:val="16"/>
      <w:lang w:eastAsia="en-US"/>
    </w:rPr>
  </w:style>
  <w:style w:type="paragraph" w:customStyle="1" w:styleId="31">
    <w:name w:val="标准文件_表格"/>
    <w:basedOn w:val="32"/>
    <w:autoRedefine/>
    <w:qFormat/>
    <w:uiPriority w:val="0"/>
    <w:pPr>
      <w:ind w:firstLine="0" w:firstLineChars="0"/>
      <w:jc w:val="center"/>
    </w:pPr>
    <w:rPr>
      <w:sz w:val="18"/>
    </w:rPr>
  </w:style>
  <w:style w:type="paragraph" w:customStyle="1" w:styleId="32">
    <w:name w:val="标准文件_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3">
    <w:name w:val="WPSOffice手动目录 1"/>
    <w:qFormat/>
    <w:uiPriority w:val="0"/>
    <w:rPr>
      <w:rFonts w:asciiTheme="minorHAnsi" w:hAnsiTheme="minorHAnsi" w:eastAsiaTheme="minorEastAsia" w:cstheme="minorBidi"/>
      <w:lang w:val="en-US" w:eastAsia="zh-CN" w:bidi="ar-SA"/>
    </w:rPr>
  </w:style>
  <w:style w:type="paragraph" w:customStyle="1" w:styleId="34">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35">
    <w:name w:val="1）正文"/>
    <w:basedOn w:val="1"/>
    <w:qFormat/>
    <w:uiPriority w:val="0"/>
    <w:pPr>
      <w:spacing w:line="460" w:lineRule="exact"/>
      <w:ind w:firstLine="200" w:firstLineChars="200"/>
    </w:pPr>
    <w:rPr>
      <w:szCs w:val="22"/>
    </w:rPr>
  </w:style>
  <w:style w:type="paragraph" w:customStyle="1" w:styleId="36">
    <w:name w:val="样式1"/>
    <w:basedOn w:val="1"/>
    <w:qFormat/>
    <w:uiPriority w:val="0"/>
  </w:style>
  <w:style w:type="paragraph" w:customStyle="1" w:styleId="37">
    <w:name w:val="样式2"/>
    <w:basedOn w:val="1"/>
    <w:autoRedefine/>
    <w:qFormat/>
    <w:uiPriority w:val="0"/>
    <w:pPr>
      <w:keepNext/>
      <w:snapToGrid w:val="0"/>
      <w:ind w:firstLine="480" w:firstLineChars="200"/>
      <w:jc w:val="left"/>
    </w:pPr>
    <w:rPr>
      <w:rFonts w:eastAsiaTheme="minorEastAsia"/>
      <w:bCs/>
      <w:szCs w:val="22"/>
    </w:rPr>
  </w:style>
  <w:style w:type="paragraph" w:customStyle="1" w:styleId="38">
    <w:name w:val="图名"/>
    <w:basedOn w:val="1"/>
    <w:qFormat/>
    <w:uiPriority w:val="0"/>
    <w:pPr>
      <w:jc w:val="center"/>
    </w:pPr>
    <w:rPr>
      <w:rFonts w:eastAsia="黑体"/>
      <w:bCs/>
      <w:sz w:val="18"/>
      <w:szCs w:val="18"/>
      <w:shd w:val="clear" w:color="auto" w:fill="FFFFFF"/>
    </w:rPr>
  </w:style>
  <w:style w:type="character" w:customStyle="1" w:styleId="39">
    <w:name w:val="未处理的提及1"/>
    <w:basedOn w:val="15"/>
    <w:semiHidden/>
    <w:unhideWhenUsed/>
    <w:qFormat/>
    <w:uiPriority w:val="99"/>
    <w:rPr>
      <w:color w:val="605E5C"/>
      <w:shd w:val="clear" w:color="auto" w:fill="E1DFDD"/>
    </w:rPr>
  </w:style>
  <w:style w:type="paragraph" w:customStyle="1" w:styleId="40">
    <w:name w:val="条文文本"/>
    <w:basedOn w:val="1"/>
    <w:next w:val="1"/>
    <w:qFormat/>
    <w:uiPriority w:val="0"/>
    <w:pPr>
      <w:ind w:left="1"/>
    </w:pPr>
  </w:style>
  <w:style w:type="paragraph" w:customStyle="1" w:styleId="41">
    <w:name w:val="条文文本（空两格）"/>
    <w:basedOn w:val="40"/>
    <w:next w:val="40"/>
    <w:qFormat/>
    <w:uiPriority w:val="0"/>
    <w:pPr>
      <w:ind w:firstLine="480"/>
    </w:pPr>
  </w:style>
  <w:style w:type="character" w:customStyle="1" w:styleId="42">
    <w:name w:val="批注框文本 字符"/>
    <w:basedOn w:val="15"/>
    <w:link w:val="7"/>
    <w:semiHidden/>
    <w:qFormat/>
    <w:uiPriority w:val="99"/>
    <w:rPr>
      <w:color w:val="000000"/>
      <w:sz w:val="18"/>
      <w:szCs w:val="18"/>
    </w:rPr>
  </w:style>
  <w:style w:type="character" w:customStyle="1" w:styleId="43">
    <w:name w:val="Unresolved Mention"/>
    <w:basedOn w:val="1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6.bin"/><Relationship Id="rId98" Type="http://schemas.openxmlformats.org/officeDocument/2006/relationships/image" Target="media/image44.wmf"/><Relationship Id="rId97" Type="http://schemas.openxmlformats.org/officeDocument/2006/relationships/oleObject" Target="embeddings/oleObject45.bin"/><Relationship Id="rId96" Type="http://schemas.openxmlformats.org/officeDocument/2006/relationships/image" Target="media/image43.wmf"/><Relationship Id="rId95" Type="http://schemas.openxmlformats.org/officeDocument/2006/relationships/oleObject" Target="embeddings/oleObject44.bin"/><Relationship Id="rId94" Type="http://schemas.openxmlformats.org/officeDocument/2006/relationships/image" Target="media/image42.wmf"/><Relationship Id="rId93" Type="http://schemas.openxmlformats.org/officeDocument/2006/relationships/image" Target="media/image41.wmf"/><Relationship Id="rId92" Type="http://schemas.openxmlformats.org/officeDocument/2006/relationships/oleObject" Target="embeddings/oleObject43.bin"/><Relationship Id="rId91" Type="http://schemas.openxmlformats.org/officeDocument/2006/relationships/image" Target="media/image40.wmf"/><Relationship Id="rId90" Type="http://schemas.openxmlformats.org/officeDocument/2006/relationships/oleObject" Target="embeddings/oleObject42.bin"/><Relationship Id="rId9" Type="http://schemas.openxmlformats.org/officeDocument/2006/relationships/theme" Target="theme/theme1.xml"/><Relationship Id="rId89" Type="http://schemas.openxmlformats.org/officeDocument/2006/relationships/image" Target="media/image39.wmf"/><Relationship Id="rId88" Type="http://schemas.openxmlformats.org/officeDocument/2006/relationships/oleObject" Target="embeddings/oleObject41.bin"/><Relationship Id="rId87" Type="http://schemas.openxmlformats.org/officeDocument/2006/relationships/oleObject" Target="embeddings/oleObject40.bin"/><Relationship Id="rId86" Type="http://schemas.openxmlformats.org/officeDocument/2006/relationships/image" Target="media/image38.wmf"/><Relationship Id="rId85" Type="http://schemas.openxmlformats.org/officeDocument/2006/relationships/oleObject" Target="embeddings/oleObject39.bin"/><Relationship Id="rId84" Type="http://schemas.openxmlformats.org/officeDocument/2006/relationships/image" Target="media/image37.wmf"/><Relationship Id="rId83" Type="http://schemas.openxmlformats.org/officeDocument/2006/relationships/oleObject" Target="embeddings/oleObject38.bin"/><Relationship Id="rId82" Type="http://schemas.openxmlformats.org/officeDocument/2006/relationships/image" Target="media/image36.wmf"/><Relationship Id="rId81" Type="http://schemas.openxmlformats.org/officeDocument/2006/relationships/oleObject" Target="embeddings/oleObject37.bin"/><Relationship Id="rId80" Type="http://schemas.openxmlformats.org/officeDocument/2006/relationships/oleObject" Target="embeddings/oleObject36.bin"/><Relationship Id="rId8" Type="http://schemas.openxmlformats.org/officeDocument/2006/relationships/footer" Target="footer4.xml"/><Relationship Id="rId79" Type="http://schemas.openxmlformats.org/officeDocument/2006/relationships/image" Target="media/image35.wmf"/><Relationship Id="rId78" Type="http://schemas.openxmlformats.org/officeDocument/2006/relationships/oleObject" Target="embeddings/oleObject35.bin"/><Relationship Id="rId77" Type="http://schemas.openxmlformats.org/officeDocument/2006/relationships/oleObject" Target="embeddings/oleObject34.bin"/><Relationship Id="rId76" Type="http://schemas.openxmlformats.org/officeDocument/2006/relationships/image" Target="media/image34.wmf"/><Relationship Id="rId75" Type="http://schemas.openxmlformats.org/officeDocument/2006/relationships/oleObject" Target="embeddings/oleObject33.bin"/><Relationship Id="rId74" Type="http://schemas.openxmlformats.org/officeDocument/2006/relationships/image" Target="media/image33.wmf"/><Relationship Id="rId73" Type="http://schemas.openxmlformats.org/officeDocument/2006/relationships/oleObject" Target="embeddings/oleObject32.bin"/><Relationship Id="rId72" Type="http://schemas.openxmlformats.org/officeDocument/2006/relationships/oleObject" Target="embeddings/oleObject31.bin"/><Relationship Id="rId71" Type="http://schemas.openxmlformats.org/officeDocument/2006/relationships/image" Target="media/image32.wmf"/><Relationship Id="rId70" Type="http://schemas.openxmlformats.org/officeDocument/2006/relationships/oleObject" Target="embeddings/oleObject30.bin"/><Relationship Id="rId7" Type="http://schemas.openxmlformats.org/officeDocument/2006/relationships/footer" Target="footer3.xml"/><Relationship Id="rId69" Type="http://schemas.openxmlformats.org/officeDocument/2006/relationships/image" Target="media/image31.wmf"/><Relationship Id="rId68" Type="http://schemas.openxmlformats.org/officeDocument/2006/relationships/oleObject" Target="embeddings/oleObject29.bin"/><Relationship Id="rId67" Type="http://schemas.openxmlformats.org/officeDocument/2006/relationships/image" Target="media/image30.wmf"/><Relationship Id="rId66" Type="http://schemas.openxmlformats.org/officeDocument/2006/relationships/oleObject" Target="embeddings/oleObject28.bin"/><Relationship Id="rId65" Type="http://schemas.openxmlformats.org/officeDocument/2006/relationships/image" Target="media/image29.wmf"/><Relationship Id="rId64" Type="http://schemas.openxmlformats.org/officeDocument/2006/relationships/oleObject" Target="embeddings/oleObject27.bin"/><Relationship Id="rId63" Type="http://schemas.openxmlformats.org/officeDocument/2006/relationships/image" Target="media/image28.wmf"/><Relationship Id="rId62" Type="http://schemas.openxmlformats.org/officeDocument/2006/relationships/oleObject" Target="embeddings/oleObject26.bin"/><Relationship Id="rId61" Type="http://schemas.openxmlformats.org/officeDocument/2006/relationships/image" Target="media/image27.wmf"/><Relationship Id="rId60" Type="http://schemas.openxmlformats.org/officeDocument/2006/relationships/oleObject" Target="embeddings/oleObject25.bin"/><Relationship Id="rId6" Type="http://schemas.openxmlformats.org/officeDocument/2006/relationships/footer" Target="footer2.xml"/><Relationship Id="rId59" Type="http://schemas.openxmlformats.org/officeDocument/2006/relationships/image" Target="media/image26.wmf"/><Relationship Id="rId58" Type="http://schemas.openxmlformats.org/officeDocument/2006/relationships/oleObject" Target="embeddings/oleObject24.bin"/><Relationship Id="rId57" Type="http://schemas.openxmlformats.org/officeDocument/2006/relationships/image" Target="media/image25.wmf"/><Relationship Id="rId56" Type="http://schemas.openxmlformats.org/officeDocument/2006/relationships/image" Target="media/image24.wmf"/><Relationship Id="rId55" Type="http://schemas.openxmlformats.org/officeDocument/2006/relationships/oleObject" Target="embeddings/oleObject23.bin"/><Relationship Id="rId54" Type="http://schemas.openxmlformats.org/officeDocument/2006/relationships/image" Target="media/image23.wmf"/><Relationship Id="rId53" Type="http://schemas.openxmlformats.org/officeDocument/2006/relationships/oleObject" Target="embeddings/oleObject22.bin"/><Relationship Id="rId52" Type="http://schemas.openxmlformats.org/officeDocument/2006/relationships/image" Target="media/image22.wmf"/><Relationship Id="rId51" Type="http://schemas.openxmlformats.org/officeDocument/2006/relationships/oleObject" Target="embeddings/oleObject21.bin"/><Relationship Id="rId50" Type="http://schemas.openxmlformats.org/officeDocument/2006/relationships/image" Target="media/image21.wmf"/><Relationship Id="rId5" Type="http://schemas.openxmlformats.org/officeDocument/2006/relationships/footer" Target="footer1.xml"/><Relationship Id="rId49" Type="http://schemas.openxmlformats.org/officeDocument/2006/relationships/oleObject" Target="embeddings/oleObject20.bin"/><Relationship Id="rId48" Type="http://schemas.openxmlformats.org/officeDocument/2006/relationships/image" Target="media/image20.wmf"/><Relationship Id="rId47" Type="http://schemas.openxmlformats.org/officeDocument/2006/relationships/oleObject" Target="embeddings/oleObject19.bin"/><Relationship Id="rId46" Type="http://schemas.openxmlformats.org/officeDocument/2006/relationships/image" Target="media/image19.wmf"/><Relationship Id="rId45" Type="http://schemas.openxmlformats.org/officeDocument/2006/relationships/oleObject" Target="embeddings/oleObject18.bin"/><Relationship Id="rId44" Type="http://schemas.openxmlformats.org/officeDocument/2006/relationships/image" Target="media/image18.wmf"/><Relationship Id="rId43" Type="http://schemas.openxmlformats.org/officeDocument/2006/relationships/oleObject" Target="embeddings/oleObject17.bin"/><Relationship Id="rId42" Type="http://schemas.openxmlformats.org/officeDocument/2006/relationships/image" Target="media/image17.wmf"/><Relationship Id="rId41" Type="http://schemas.openxmlformats.org/officeDocument/2006/relationships/oleObject" Target="embeddings/oleObject16.bin"/><Relationship Id="rId40" Type="http://schemas.openxmlformats.org/officeDocument/2006/relationships/image" Target="media/image16.wmf"/><Relationship Id="rId4" Type="http://schemas.openxmlformats.org/officeDocument/2006/relationships/endnotes" Target="endnotes.xml"/><Relationship Id="rId39" Type="http://schemas.openxmlformats.org/officeDocument/2006/relationships/oleObject" Target="embeddings/oleObject15.bin"/><Relationship Id="rId38" Type="http://schemas.openxmlformats.org/officeDocument/2006/relationships/image" Target="media/image15.wmf"/><Relationship Id="rId37" Type="http://schemas.openxmlformats.org/officeDocument/2006/relationships/oleObject" Target="embeddings/oleObject14.bin"/><Relationship Id="rId36" Type="http://schemas.openxmlformats.org/officeDocument/2006/relationships/image" Target="media/image14.wmf"/><Relationship Id="rId359" Type="http://schemas.openxmlformats.org/officeDocument/2006/relationships/fontTable" Target="fontTable.xml"/><Relationship Id="rId358" Type="http://schemas.openxmlformats.org/officeDocument/2006/relationships/numbering" Target="numbering.xml"/><Relationship Id="rId357" Type="http://schemas.openxmlformats.org/officeDocument/2006/relationships/customXml" Target="../customXml/item1.xml"/><Relationship Id="rId356" Type="http://schemas.openxmlformats.org/officeDocument/2006/relationships/image" Target="media/image181.png"/><Relationship Id="rId355" Type="http://schemas.openxmlformats.org/officeDocument/2006/relationships/image" Target="media/image180.wmf"/><Relationship Id="rId354" Type="http://schemas.openxmlformats.org/officeDocument/2006/relationships/oleObject" Target="embeddings/oleObject166.bin"/><Relationship Id="rId353" Type="http://schemas.openxmlformats.org/officeDocument/2006/relationships/image" Target="media/image179.jpeg"/><Relationship Id="rId352" Type="http://schemas.openxmlformats.org/officeDocument/2006/relationships/image" Target="media/image178.wmf"/><Relationship Id="rId351" Type="http://schemas.openxmlformats.org/officeDocument/2006/relationships/oleObject" Target="embeddings/oleObject165.bin"/><Relationship Id="rId350" Type="http://schemas.openxmlformats.org/officeDocument/2006/relationships/image" Target="media/image177.wmf"/><Relationship Id="rId35" Type="http://schemas.openxmlformats.org/officeDocument/2006/relationships/oleObject" Target="embeddings/oleObject13.bin"/><Relationship Id="rId349" Type="http://schemas.openxmlformats.org/officeDocument/2006/relationships/oleObject" Target="embeddings/oleObject164.bin"/><Relationship Id="rId348" Type="http://schemas.openxmlformats.org/officeDocument/2006/relationships/image" Target="media/image176.png"/><Relationship Id="rId347" Type="http://schemas.openxmlformats.org/officeDocument/2006/relationships/image" Target="media/image175.png"/><Relationship Id="rId346" Type="http://schemas.openxmlformats.org/officeDocument/2006/relationships/image" Target="media/image174.png"/><Relationship Id="rId345" Type="http://schemas.openxmlformats.org/officeDocument/2006/relationships/image" Target="media/image173.png"/><Relationship Id="rId344" Type="http://schemas.openxmlformats.org/officeDocument/2006/relationships/image" Target="media/image172.wmf"/><Relationship Id="rId343" Type="http://schemas.openxmlformats.org/officeDocument/2006/relationships/oleObject" Target="embeddings/oleObject163.bin"/><Relationship Id="rId342" Type="http://schemas.openxmlformats.org/officeDocument/2006/relationships/image" Target="media/image171.wmf"/><Relationship Id="rId341" Type="http://schemas.openxmlformats.org/officeDocument/2006/relationships/image" Target="media/image170.wmf"/><Relationship Id="rId340" Type="http://schemas.openxmlformats.org/officeDocument/2006/relationships/oleObject" Target="embeddings/oleObject162.bin"/><Relationship Id="rId34" Type="http://schemas.openxmlformats.org/officeDocument/2006/relationships/image" Target="media/image13.wmf"/><Relationship Id="rId339" Type="http://schemas.openxmlformats.org/officeDocument/2006/relationships/image" Target="media/image169.wmf"/><Relationship Id="rId338" Type="http://schemas.openxmlformats.org/officeDocument/2006/relationships/oleObject" Target="embeddings/oleObject161.bin"/><Relationship Id="rId337" Type="http://schemas.openxmlformats.org/officeDocument/2006/relationships/image" Target="media/image168.wmf"/><Relationship Id="rId336" Type="http://schemas.openxmlformats.org/officeDocument/2006/relationships/oleObject" Target="embeddings/oleObject160.bin"/><Relationship Id="rId335" Type="http://schemas.openxmlformats.org/officeDocument/2006/relationships/image" Target="media/image167.wmf"/><Relationship Id="rId334" Type="http://schemas.openxmlformats.org/officeDocument/2006/relationships/oleObject" Target="embeddings/oleObject159.bin"/><Relationship Id="rId333" Type="http://schemas.openxmlformats.org/officeDocument/2006/relationships/image" Target="media/image166.wmf"/><Relationship Id="rId332" Type="http://schemas.openxmlformats.org/officeDocument/2006/relationships/image" Target="media/image165.png"/><Relationship Id="rId331" Type="http://schemas.openxmlformats.org/officeDocument/2006/relationships/image" Target="media/image164.png"/><Relationship Id="rId330" Type="http://schemas.openxmlformats.org/officeDocument/2006/relationships/image" Target="media/image163.png"/><Relationship Id="rId33" Type="http://schemas.openxmlformats.org/officeDocument/2006/relationships/oleObject" Target="embeddings/oleObject12.bin"/><Relationship Id="rId329" Type="http://schemas.openxmlformats.org/officeDocument/2006/relationships/image" Target="media/image162.png"/><Relationship Id="rId328" Type="http://schemas.openxmlformats.org/officeDocument/2006/relationships/image" Target="media/image161.png"/><Relationship Id="rId327" Type="http://schemas.openxmlformats.org/officeDocument/2006/relationships/image" Target="media/image160.png"/><Relationship Id="rId326" Type="http://schemas.openxmlformats.org/officeDocument/2006/relationships/image" Target="media/image159.png"/><Relationship Id="rId325" Type="http://schemas.openxmlformats.org/officeDocument/2006/relationships/image" Target="media/image158.wmf"/><Relationship Id="rId324" Type="http://schemas.openxmlformats.org/officeDocument/2006/relationships/oleObject" Target="embeddings/oleObject158.bin"/><Relationship Id="rId323" Type="http://schemas.openxmlformats.org/officeDocument/2006/relationships/image" Target="media/image157.wmf"/><Relationship Id="rId322" Type="http://schemas.openxmlformats.org/officeDocument/2006/relationships/oleObject" Target="embeddings/oleObject157.bin"/><Relationship Id="rId321" Type="http://schemas.openxmlformats.org/officeDocument/2006/relationships/image" Target="media/image156.wmf"/><Relationship Id="rId320" Type="http://schemas.openxmlformats.org/officeDocument/2006/relationships/oleObject" Target="embeddings/oleObject156.bin"/><Relationship Id="rId32" Type="http://schemas.openxmlformats.org/officeDocument/2006/relationships/image" Target="media/image12.wmf"/><Relationship Id="rId319" Type="http://schemas.openxmlformats.org/officeDocument/2006/relationships/image" Target="media/image155.wmf"/><Relationship Id="rId318" Type="http://schemas.openxmlformats.org/officeDocument/2006/relationships/oleObject" Target="embeddings/oleObject155.bin"/><Relationship Id="rId317" Type="http://schemas.openxmlformats.org/officeDocument/2006/relationships/image" Target="media/image154.wmf"/><Relationship Id="rId316" Type="http://schemas.openxmlformats.org/officeDocument/2006/relationships/oleObject" Target="embeddings/oleObject154.bin"/><Relationship Id="rId315" Type="http://schemas.openxmlformats.org/officeDocument/2006/relationships/image" Target="media/image153.wmf"/><Relationship Id="rId314" Type="http://schemas.openxmlformats.org/officeDocument/2006/relationships/oleObject" Target="embeddings/oleObject153.bin"/><Relationship Id="rId313" Type="http://schemas.openxmlformats.org/officeDocument/2006/relationships/image" Target="media/image152.wmf"/><Relationship Id="rId312" Type="http://schemas.openxmlformats.org/officeDocument/2006/relationships/oleObject" Target="embeddings/oleObject152.bin"/><Relationship Id="rId311" Type="http://schemas.openxmlformats.org/officeDocument/2006/relationships/image" Target="media/image151.wmf"/><Relationship Id="rId310" Type="http://schemas.openxmlformats.org/officeDocument/2006/relationships/oleObject" Target="embeddings/oleObject151.bin"/><Relationship Id="rId31" Type="http://schemas.openxmlformats.org/officeDocument/2006/relationships/oleObject" Target="embeddings/oleObject11.bin"/><Relationship Id="rId309" Type="http://schemas.openxmlformats.org/officeDocument/2006/relationships/image" Target="media/image150.wmf"/><Relationship Id="rId308" Type="http://schemas.openxmlformats.org/officeDocument/2006/relationships/oleObject" Target="embeddings/oleObject150.bin"/><Relationship Id="rId307" Type="http://schemas.openxmlformats.org/officeDocument/2006/relationships/image" Target="media/image149.wmf"/><Relationship Id="rId306" Type="http://schemas.openxmlformats.org/officeDocument/2006/relationships/oleObject" Target="embeddings/oleObject149.bin"/><Relationship Id="rId305" Type="http://schemas.openxmlformats.org/officeDocument/2006/relationships/image" Target="media/image148.wmf"/><Relationship Id="rId304" Type="http://schemas.openxmlformats.org/officeDocument/2006/relationships/oleObject" Target="embeddings/oleObject148.bin"/><Relationship Id="rId303" Type="http://schemas.openxmlformats.org/officeDocument/2006/relationships/image" Target="media/image147.wmf"/><Relationship Id="rId302" Type="http://schemas.openxmlformats.org/officeDocument/2006/relationships/oleObject" Target="embeddings/oleObject147.bin"/><Relationship Id="rId301" Type="http://schemas.openxmlformats.org/officeDocument/2006/relationships/image" Target="media/image146.wmf"/><Relationship Id="rId300" Type="http://schemas.openxmlformats.org/officeDocument/2006/relationships/oleObject" Target="embeddings/oleObject146.bin"/><Relationship Id="rId30" Type="http://schemas.openxmlformats.org/officeDocument/2006/relationships/image" Target="media/image11.wmf"/><Relationship Id="rId3" Type="http://schemas.openxmlformats.org/officeDocument/2006/relationships/footnotes" Target="footnotes.xml"/><Relationship Id="rId299" Type="http://schemas.openxmlformats.org/officeDocument/2006/relationships/image" Target="media/image145.wmf"/><Relationship Id="rId298" Type="http://schemas.openxmlformats.org/officeDocument/2006/relationships/oleObject" Target="embeddings/oleObject145.bin"/><Relationship Id="rId297" Type="http://schemas.openxmlformats.org/officeDocument/2006/relationships/image" Target="media/image144.wmf"/><Relationship Id="rId296" Type="http://schemas.openxmlformats.org/officeDocument/2006/relationships/oleObject" Target="embeddings/oleObject144.bin"/><Relationship Id="rId295" Type="http://schemas.openxmlformats.org/officeDocument/2006/relationships/image" Target="media/image143.wmf"/><Relationship Id="rId294" Type="http://schemas.openxmlformats.org/officeDocument/2006/relationships/oleObject" Target="embeddings/oleObject143.bin"/><Relationship Id="rId293" Type="http://schemas.openxmlformats.org/officeDocument/2006/relationships/image" Target="media/image142.wmf"/><Relationship Id="rId292" Type="http://schemas.openxmlformats.org/officeDocument/2006/relationships/oleObject" Target="embeddings/oleObject142.bin"/><Relationship Id="rId291" Type="http://schemas.openxmlformats.org/officeDocument/2006/relationships/image" Target="media/image141.wmf"/><Relationship Id="rId290" Type="http://schemas.openxmlformats.org/officeDocument/2006/relationships/oleObject" Target="embeddings/oleObject141.bin"/><Relationship Id="rId29" Type="http://schemas.openxmlformats.org/officeDocument/2006/relationships/oleObject" Target="embeddings/oleObject10.bin"/><Relationship Id="rId289" Type="http://schemas.openxmlformats.org/officeDocument/2006/relationships/image" Target="media/image140.wmf"/><Relationship Id="rId288" Type="http://schemas.openxmlformats.org/officeDocument/2006/relationships/oleObject" Target="embeddings/oleObject140.bin"/><Relationship Id="rId287" Type="http://schemas.openxmlformats.org/officeDocument/2006/relationships/image" Target="media/image139.wmf"/><Relationship Id="rId286" Type="http://schemas.openxmlformats.org/officeDocument/2006/relationships/oleObject" Target="embeddings/oleObject139.bin"/><Relationship Id="rId285" Type="http://schemas.openxmlformats.org/officeDocument/2006/relationships/image" Target="media/image138.wmf"/><Relationship Id="rId284" Type="http://schemas.openxmlformats.org/officeDocument/2006/relationships/oleObject" Target="embeddings/oleObject138.bin"/><Relationship Id="rId283" Type="http://schemas.openxmlformats.org/officeDocument/2006/relationships/image" Target="media/image137.wmf"/><Relationship Id="rId282" Type="http://schemas.openxmlformats.org/officeDocument/2006/relationships/oleObject" Target="embeddings/oleObject137.bin"/><Relationship Id="rId281" Type="http://schemas.openxmlformats.org/officeDocument/2006/relationships/image" Target="media/image136.wmf"/><Relationship Id="rId280" Type="http://schemas.openxmlformats.org/officeDocument/2006/relationships/oleObject" Target="embeddings/oleObject136.bin"/><Relationship Id="rId28" Type="http://schemas.openxmlformats.org/officeDocument/2006/relationships/image" Target="media/image10.wmf"/><Relationship Id="rId279" Type="http://schemas.openxmlformats.org/officeDocument/2006/relationships/image" Target="media/image135.wmf"/><Relationship Id="rId278" Type="http://schemas.openxmlformats.org/officeDocument/2006/relationships/oleObject" Target="embeddings/oleObject135.bin"/><Relationship Id="rId277" Type="http://schemas.openxmlformats.org/officeDocument/2006/relationships/image" Target="media/image134.wmf"/><Relationship Id="rId276" Type="http://schemas.openxmlformats.org/officeDocument/2006/relationships/oleObject" Target="embeddings/oleObject134.bin"/><Relationship Id="rId275" Type="http://schemas.openxmlformats.org/officeDocument/2006/relationships/image" Target="media/image133.wmf"/><Relationship Id="rId274" Type="http://schemas.openxmlformats.org/officeDocument/2006/relationships/oleObject" Target="embeddings/oleObject133.bin"/><Relationship Id="rId273" Type="http://schemas.openxmlformats.org/officeDocument/2006/relationships/image" Target="media/image132.wmf"/><Relationship Id="rId272" Type="http://schemas.openxmlformats.org/officeDocument/2006/relationships/oleObject" Target="embeddings/oleObject132.bin"/><Relationship Id="rId271" Type="http://schemas.openxmlformats.org/officeDocument/2006/relationships/image" Target="media/image131.wmf"/><Relationship Id="rId270" Type="http://schemas.openxmlformats.org/officeDocument/2006/relationships/oleObject" Target="embeddings/oleObject131.bin"/><Relationship Id="rId27" Type="http://schemas.openxmlformats.org/officeDocument/2006/relationships/oleObject" Target="embeddings/oleObject9.bin"/><Relationship Id="rId269" Type="http://schemas.openxmlformats.org/officeDocument/2006/relationships/image" Target="media/image130.wmf"/><Relationship Id="rId268" Type="http://schemas.openxmlformats.org/officeDocument/2006/relationships/oleObject" Target="embeddings/oleObject130.bin"/><Relationship Id="rId267" Type="http://schemas.openxmlformats.org/officeDocument/2006/relationships/image" Target="media/image129.wmf"/><Relationship Id="rId266" Type="http://schemas.openxmlformats.org/officeDocument/2006/relationships/oleObject" Target="embeddings/oleObject129.bin"/><Relationship Id="rId265" Type="http://schemas.openxmlformats.org/officeDocument/2006/relationships/oleObject" Target="embeddings/oleObject128.bin"/><Relationship Id="rId264" Type="http://schemas.openxmlformats.org/officeDocument/2006/relationships/image" Target="media/image128.wmf"/><Relationship Id="rId263" Type="http://schemas.openxmlformats.org/officeDocument/2006/relationships/oleObject" Target="embeddings/oleObject127.bin"/><Relationship Id="rId262" Type="http://schemas.openxmlformats.org/officeDocument/2006/relationships/image" Target="media/image127.wmf"/><Relationship Id="rId261" Type="http://schemas.openxmlformats.org/officeDocument/2006/relationships/image" Target="media/image126.wmf"/><Relationship Id="rId260" Type="http://schemas.openxmlformats.org/officeDocument/2006/relationships/image" Target="media/image125.wmf"/><Relationship Id="rId26" Type="http://schemas.openxmlformats.org/officeDocument/2006/relationships/image" Target="media/image9.wmf"/><Relationship Id="rId259" Type="http://schemas.openxmlformats.org/officeDocument/2006/relationships/image" Target="media/image124.wmf"/><Relationship Id="rId258" Type="http://schemas.openxmlformats.org/officeDocument/2006/relationships/oleObject" Target="embeddings/oleObject126.bin"/><Relationship Id="rId257" Type="http://schemas.openxmlformats.org/officeDocument/2006/relationships/image" Target="media/image123.wmf"/><Relationship Id="rId256" Type="http://schemas.openxmlformats.org/officeDocument/2006/relationships/oleObject" Target="embeddings/oleObject125.bin"/><Relationship Id="rId255" Type="http://schemas.openxmlformats.org/officeDocument/2006/relationships/image" Target="media/image122.wmf"/><Relationship Id="rId254" Type="http://schemas.openxmlformats.org/officeDocument/2006/relationships/oleObject" Target="embeddings/oleObject124.bin"/><Relationship Id="rId253" Type="http://schemas.openxmlformats.org/officeDocument/2006/relationships/image" Target="media/image121.wmf"/><Relationship Id="rId252" Type="http://schemas.openxmlformats.org/officeDocument/2006/relationships/oleObject" Target="embeddings/oleObject123.bin"/><Relationship Id="rId251" Type="http://schemas.openxmlformats.org/officeDocument/2006/relationships/image" Target="media/image120.wmf"/><Relationship Id="rId250" Type="http://schemas.openxmlformats.org/officeDocument/2006/relationships/oleObject" Target="embeddings/oleObject122.bin"/><Relationship Id="rId25" Type="http://schemas.openxmlformats.org/officeDocument/2006/relationships/oleObject" Target="embeddings/oleObject8.bin"/><Relationship Id="rId249" Type="http://schemas.openxmlformats.org/officeDocument/2006/relationships/image" Target="media/image119.wmf"/><Relationship Id="rId248" Type="http://schemas.openxmlformats.org/officeDocument/2006/relationships/oleObject" Target="embeddings/oleObject121.bin"/><Relationship Id="rId247" Type="http://schemas.openxmlformats.org/officeDocument/2006/relationships/image" Target="media/image118.wmf"/><Relationship Id="rId246" Type="http://schemas.openxmlformats.org/officeDocument/2006/relationships/oleObject" Target="embeddings/oleObject120.bin"/><Relationship Id="rId245" Type="http://schemas.openxmlformats.org/officeDocument/2006/relationships/image" Target="media/image117.wmf"/><Relationship Id="rId244" Type="http://schemas.openxmlformats.org/officeDocument/2006/relationships/oleObject" Target="embeddings/oleObject119.bin"/><Relationship Id="rId243" Type="http://schemas.openxmlformats.org/officeDocument/2006/relationships/image" Target="media/image116.wmf"/><Relationship Id="rId242" Type="http://schemas.openxmlformats.org/officeDocument/2006/relationships/oleObject" Target="embeddings/oleObject118.bin"/><Relationship Id="rId241" Type="http://schemas.openxmlformats.org/officeDocument/2006/relationships/image" Target="media/image115.wmf"/><Relationship Id="rId240" Type="http://schemas.openxmlformats.org/officeDocument/2006/relationships/oleObject" Target="embeddings/oleObject117.bin"/><Relationship Id="rId24" Type="http://schemas.openxmlformats.org/officeDocument/2006/relationships/image" Target="media/image8.wmf"/><Relationship Id="rId239" Type="http://schemas.openxmlformats.org/officeDocument/2006/relationships/image" Target="media/image114.wmf"/><Relationship Id="rId238" Type="http://schemas.openxmlformats.org/officeDocument/2006/relationships/oleObject" Target="embeddings/oleObject116.bin"/><Relationship Id="rId237" Type="http://schemas.openxmlformats.org/officeDocument/2006/relationships/image" Target="media/image113.wmf"/><Relationship Id="rId236" Type="http://schemas.openxmlformats.org/officeDocument/2006/relationships/oleObject" Target="embeddings/oleObject115.bin"/><Relationship Id="rId235" Type="http://schemas.openxmlformats.org/officeDocument/2006/relationships/image" Target="media/image112.wmf"/><Relationship Id="rId234" Type="http://schemas.openxmlformats.org/officeDocument/2006/relationships/oleObject" Target="embeddings/oleObject114.bin"/><Relationship Id="rId233" Type="http://schemas.openxmlformats.org/officeDocument/2006/relationships/image" Target="media/image111.wmf"/><Relationship Id="rId232" Type="http://schemas.openxmlformats.org/officeDocument/2006/relationships/oleObject" Target="embeddings/oleObject113.bin"/><Relationship Id="rId231" Type="http://schemas.openxmlformats.org/officeDocument/2006/relationships/image" Target="media/image110.wmf"/><Relationship Id="rId230" Type="http://schemas.openxmlformats.org/officeDocument/2006/relationships/oleObject" Target="embeddings/oleObject112.bin"/><Relationship Id="rId23" Type="http://schemas.openxmlformats.org/officeDocument/2006/relationships/oleObject" Target="embeddings/oleObject7.bin"/><Relationship Id="rId229" Type="http://schemas.openxmlformats.org/officeDocument/2006/relationships/image" Target="media/image109.wmf"/><Relationship Id="rId228" Type="http://schemas.openxmlformats.org/officeDocument/2006/relationships/oleObject" Target="embeddings/oleObject111.bin"/><Relationship Id="rId227" Type="http://schemas.openxmlformats.org/officeDocument/2006/relationships/image" Target="media/image108.wmf"/><Relationship Id="rId226" Type="http://schemas.openxmlformats.org/officeDocument/2006/relationships/oleObject" Target="embeddings/oleObject110.bin"/><Relationship Id="rId225" Type="http://schemas.openxmlformats.org/officeDocument/2006/relationships/image" Target="media/image107.wmf"/><Relationship Id="rId224" Type="http://schemas.openxmlformats.org/officeDocument/2006/relationships/oleObject" Target="embeddings/oleObject109.bin"/><Relationship Id="rId223" Type="http://schemas.openxmlformats.org/officeDocument/2006/relationships/image" Target="media/image106.wmf"/><Relationship Id="rId222" Type="http://schemas.openxmlformats.org/officeDocument/2006/relationships/oleObject" Target="embeddings/oleObject108.bin"/><Relationship Id="rId221" Type="http://schemas.openxmlformats.org/officeDocument/2006/relationships/image" Target="media/image105.wmf"/><Relationship Id="rId220" Type="http://schemas.openxmlformats.org/officeDocument/2006/relationships/oleObject" Target="embeddings/oleObject107.bin"/><Relationship Id="rId22" Type="http://schemas.openxmlformats.org/officeDocument/2006/relationships/image" Target="media/image7.wmf"/><Relationship Id="rId219" Type="http://schemas.openxmlformats.org/officeDocument/2006/relationships/image" Target="media/image104.wmf"/><Relationship Id="rId218" Type="http://schemas.openxmlformats.org/officeDocument/2006/relationships/oleObject" Target="embeddings/oleObject106.bin"/><Relationship Id="rId217" Type="http://schemas.openxmlformats.org/officeDocument/2006/relationships/image" Target="media/image103.wmf"/><Relationship Id="rId216" Type="http://schemas.openxmlformats.org/officeDocument/2006/relationships/oleObject" Target="embeddings/oleObject105.bin"/><Relationship Id="rId215" Type="http://schemas.openxmlformats.org/officeDocument/2006/relationships/image" Target="media/image102.wmf"/><Relationship Id="rId214" Type="http://schemas.openxmlformats.org/officeDocument/2006/relationships/oleObject" Target="embeddings/oleObject104.bin"/><Relationship Id="rId213" Type="http://schemas.openxmlformats.org/officeDocument/2006/relationships/image" Target="media/image101.wmf"/><Relationship Id="rId212" Type="http://schemas.openxmlformats.org/officeDocument/2006/relationships/oleObject" Target="embeddings/oleObject103.bin"/><Relationship Id="rId211" Type="http://schemas.openxmlformats.org/officeDocument/2006/relationships/image" Target="media/image100.wmf"/><Relationship Id="rId210" Type="http://schemas.openxmlformats.org/officeDocument/2006/relationships/oleObject" Target="embeddings/oleObject102.bin"/><Relationship Id="rId21" Type="http://schemas.openxmlformats.org/officeDocument/2006/relationships/oleObject" Target="embeddings/oleObject6.bin"/><Relationship Id="rId209" Type="http://schemas.openxmlformats.org/officeDocument/2006/relationships/image" Target="media/image99.wmf"/><Relationship Id="rId208" Type="http://schemas.openxmlformats.org/officeDocument/2006/relationships/oleObject" Target="embeddings/oleObject101.bin"/><Relationship Id="rId207" Type="http://schemas.openxmlformats.org/officeDocument/2006/relationships/image" Target="media/image98.wmf"/><Relationship Id="rId206" Type="http://schemas.openxmlformats.org/officeDocument/2006/relationships/oleObject" Target="embeddings/oleObject100.bin"/><Relationship Id="rId205" Type="http://schemas.openxmlformats.org/officeDocument/2006/relationships/image" Target="media/image97.wmf"/><Relationship Id="rId204" Type="http://schemas.openxmlformats.org/officeDocument/2006/relationships/oleObject" Target="embeddings/oleObject99.bin"/><Relationship Id="rId203" Type="http://schemas.openxmlformats.org/officeDocument/2006/relationships/image" Target="media/image96.wmf"/><Relationship Id="rId202" Type="http://schemas.openxmlformats.org/officeDocument/2006/relationships/oleObject" Target="embeddings/oleObject98.bin"/><Relationship Id="rId201" Type="http://schemas.openxmlformats.org/officeDocument/2006/relationships/image" Target="media/image95.wmf"/><Relationship Id="rId200" Type="http://schemas.openxmlformats.org/officeDocument/2006/relationships/image" Target="media/image94.png"/><Relationship Id="rId20" Type="http://schemas.openxmlformats.org/officeDocument/2006/relationships/image" Target="media/image6.wmf"/><Relationship Id="rId2" Type="http://schemas.openxmlformats.org/officeDocument/2006/relationships/settings" Target="settings.xml"/><Relationship Id="rId199" Type="http://schemas.openxmlformats.org/officeDocument/2006/relationships/image" Target="media/image93.wmf"/><Relationship Id="rId198" Type="http://schemas.openxmlformats.org/officeDocument/2006/relationships/oleObject" Target="embeddings/oleObject97.bin"/><Relationship Id="rId197" Type="http://schemas.openxmlformats.org/officeDocument/2006/relationships/image" Target="media/image92.wmf"/><Relationship Id="rId196" Type="http://schemas.openxmlformats.org/officeDocument/2006/relationships/oleObject" Target="embeddings/oleObject96.bin"/><Relationship Id="rId195" Type="http://schemas.openxmlformats.org/officeDocument/2006/relationships/image" Target="media/image91.wmf"/><Relationship Id="rId194" Type="http://schemas.openxmlformats.org/officeDocument/2006/relationships/oleObject" Target="embeddings/oleObject95.bin"/><Relationship Id="rId193" Type="http://schemas.openxmlformats.org/officeDocument/2006/relationships/image" Target="media/image90.wmf"/><Relationship Id="rId192" Type="http://schemas.openxmlformats.org/officeDocument/2006/relationships/oleObject" Target="embeddings/oleObject94.bin"/><Relationship Id="rId191" Type="http://schemas.openxmlformats.org/officeDocument/2006/relationships/image" Target="media/image89.wmf"/><Relationship Id="rId190" Type="http://schemas.openxmlformats.org/officeDocument/2006/relationships/oleObject" Target="embeddings/oleObject93.bin"/><Relationship Id="rId19" Type="http://schemas.openxmlformats.org/officeDocument/2006/relationships/oleObject" Target="embeddings/oleObject5.bin"/><Relationship Id="rId189" Type="http://schemas.openxmlformats.org/officeDocument/2006/relationships/image" Target="media/image88.png"/><Relationship Id="rId188" Type="http://schemas.openxmlformats.org/officeDocument/2006/relationships/image" Target="media/image87.wmf"/><Relationship Id="rId187" Type="http://schemas.openxmlformats.org/officeDocument/2006/relationships/oleObject" Target="embeddings/oleObject92.bin"/><Relationship Id="rId186" Type="http://schemas.openxmlformats.org/officeDocument/2006/relationships/image" Target="media/image86.wmf"/><Relationship Id="rId185" Type="http://schemas.openxmlformats.org/officeDocument/2006/relationships/oleObject" Target="embeddings/oleObject91.bin"/><Relationship Id="rId184" Type="http://schemas.openxmlformats.org/officeDocument/2006/relationships/image" Target="media/image85.wmf"/><Relationship Id="rId183" Type="http://schemas.openxmlformats.org/officeDocument/2006/relationships/oleObject" Target="embeddings/oleObject90.bin"/><Relationship Id="rId182" Type="http://schemas.openxmlformats.org/officeDocument/2006/relationships/image" Target="media/image84.wmf"/><Relationship Id="rId181" Type="http://schemas.openxmlformats.org/officeDocument/2006/relationships/oleObject" Target="embeddings/oleObject89.bin"/><Relationship Id="rId180" Type="http://schemas.openxmlformats.org/officeDocument/2006/relationships/oleObject" Target="embeddings/oleObject88.bin"/><Relationship Id="rId18" Type="http://schemas.openxmlformats.org/officeDocument/2006/relationships/image" Target="media/image5.wmf"/><Relationship Id="rId179" Type="http://schemas.openxmlformats.org/officeDocument/2006/relationships/image" Target="media/image83.wmf"/><Relationship Id="rId178" Type="http://schemas.openxmlformats.org/officeDocument/2006/relationships/oleObject" Target="embeddings/oleObject87.bin"/><Relationship Id="rId177" Type="http://schemas.openxmlformats.org/officeDocument/2006/relationships/image" Target="media/image82.wmf"/><Relationship Id="rId176" Type="http://schemas.openxmlformats.org/officeDocument/2006/relationships/oleObject" Target="embeddings/oleObject86.bin"/><Relationship Id="rId175" Type="http://schemas.openxmlformats.org/officeDocument/2006/relationships/image" Target="media/image81.wmf"/><Relationship Id="rId174" Type="http://schemas.openxmlformats.org/officeDocument/2006/relationships/oleObject" Target="embeddings/oleObject85.bin"/><Relationship Id="rId173" Type="http://schemas.openxmlformats.org/officeDocument/2006/relationships/image" Target="media/image80.wmf"/><Relationship Id="rId172" Type="http://schemas.openxmlformats.org/officeDocument/2006/relationships/oleObject" Target="embeddings/oleObject84.bin"/><Relationship Id="rId171" Type="http://schemas.openxmlformats.org/officeDocument/2006/relationships/image" Target="media/image79.wmf"/><Relationship Id="rId170" Type="http://schemas.openxmlformats.org/officeDocument/2006/relationships/oleObject" Target="embeddings/oleObject83.bin"/><Relationship Id="rId17" Type="http://schemas.openxmlformats.org/officeDocument/2006/relationships/oleObject" Target="embeddings/oleObject4.bin"/><Relationship Id="rId169" Type="http://schemas.openxmlformats.org/officeDocument/2006/relationships/image" Target="media/image78.wmf"/><Relationship Id="rId168" Type="http://schemas.openxmlformats.org/officeDocument/2006/relationships/oleObject" Target="embeddings/oleObject82.bin"/><Relationship Id="rId167" Type="http://schemas.openxmlformats.org/officeDocument/2006/relationships/image" Target="media/image77.wmf"/><Relationship Id="rId166" Type="http://schemas.openxmlformats.org/officeDocument/2006/relationships/oleObject" Target="embeddings/oleObject81.bin"/><Relationship Id="rId165" Type="http://schemas.openxmlformats.org/officeDocument/2006/relationships/image" Target="media/image76.wmf"/><Relationship Id="rId164" Type="http://schemas.openxmlformats.org/officeDocument/2006/relationships/oleObject" Target="embeddings/oleObject80.bin"/><Relationship Id="rId163" Type="http://schemas.openxmlformats.org/officeDocument/2006/relationships/image" Target="media/image75.wmf"/><Relationship Id="rId162" Type="http://schemas.openxmlformats.org/officeDocument/2006/relationships/oleObject" Target="embeddings/oleObject79.bin"/><Relationship Id="rId161" Type="http://schemas.openxmlformats.org/officeDocument/2006/relationships/image" Target="media/image74.wmf"/><Relationship Id="rId160" Type="http://schemas.openxmlformats.org/officeDocument/2006/relationships/oleObject" Target="embeddings/oleObject78.bin"/><Relationship Id="rId16" Type="http://schemas.openxmlformats.org/officeDocument/2006/relationships/image" Target="media/image4.wmf"/><Relationship Id="rId159" Type="http://schemas.openxmlformats.org/officeDocument/2006/relationships/image" Target="media/image73.wmf"/><Relationship Id="rId158" Type="http://schemas.openxmlformats.org/officeDocument/2006/relationships/oleObject" Target="embeddings/oleObject77.bin"/><Relationship Id="rId157" Type="http://schemas.openxmlformats.org/officeDocument/2006/relationships/image" Target="media/image72.wmf"/><Relationship Id="rId156" Type="http://schemas.openxmlformats.org/officeDocument/2006/relationships/oleObject" Target="embeddings/oleObject76.bin"/><Relationship Id="rId155" Type="http://schemas.openxmlformats.org/officeDocument/2006/relationships/oleObject" Target="embeddings/oleObject75.bin"/><Relationship Id="rId154" Type="http://schemas.openxmlformats.org/officeDocument/2006/relationships/image" Target="media/image71.wmf"/><Relationship Id="rId153" Type="http://schemas.openxmlformats.org/officeDocument/2006/relationships/oleObject" Target="embeddings/oleObject74.bin"/><Relationship Id="rId152" Type="http://schemas.openxmlformats.org/officeDocument/2006/relationships/image" Target="media/image70.wmf"/><Relationship Id="rId151" Type="http://schemas.openxmlformats.org/officeDocument/2006/relationships/oleObject" Target="embeddings/oleObject73.bin"/><Relationship Id="rId150" Type="http://schemas.openxmlformats.org/officeDocument/2006/relationships/image" Target="media/image69.wmf"/><Relationship Id="rId15" Type="http://schemas.openxmlformats.org/officeDocument/2006/relationships/oleObject" Target="embeddings/oleObject3.bin"/><Relationship Id="rId149" Type="http://schemas.openxmlformats.org/officeDocument/2006/relationships/oleObject" Target="embeddings/oleObject72.bin"/><Relationship Id="rId148" Type="http://schemas.openxmlformats.org/officeDocument/2006/relationships/oleObject" Target="embeddings/oleObject71.bin"/><Relationship Id="rId147" Type="http://schemas.openxmlformats.org/officeDocument/2006/relationships/image" Target="media/image68.wmf"/><Relationship Id="rId146" Type="http://schemas.openxmlformats.org/officeDocument/2006/relationships/oleObject" Target="embeddings/oleObject70.bin"/><Relationship Id="rId145" Type="http://schemas.openxmlformats.org/officeDocument/2006/relationships/image" Target="media/image67.wmf"/><Relationship Id="rId144" Type="http://schemas.openxmlformats.org/officeDocument/2006/relationships/oleObject" Target="embeddings/oleObject69.bin"/><Relationship Id="rId143" Type="http://schemas.openxmlformats.org/officeDocument/2006/relationships/image" Target="media/image66.wmf"/><Relationship Id="rId142" Type="http://schemas.openxmlformats.org/officeDocument/2006/relationships/oleObject" Target="embeddings/oleObject68.bin"/><Relationship Id="rId141" Type="http://schemas.openxmlformats.org/officeDocument/2006/relationships/image" Target="media/image65.wmf"/><Relationship Id="rId140" Type="http://schemas.openxmlformats.org/officeDocument/2006/relationships/image" Target="media/image64.wmf"/><Relationship Id="rId14" Type="http://schemas.openxmlformats.org/officeDocument/2006/relationships/image" Target="media/image3.wmf"/><Relationship Id="rId139" Type="http://schemas.openxmlformats.org/officeDocument/2006/relationships/oleObject" Target="embeddings/oleObject67.bin"/><Relationship Id="rId138" Type="http://schemas.openxmlformats.org/officeDocument/2006/relationships/image" Target="media/image63.wmf"/><Relationship Id="rId137" Type="http://schemas.openxmlformats.org/officeDocument/2006/relationships/oleObject" Target="embeddings/oleObject66.bin"/><Relationship Id="rId136" Type="http://schemas.openxmlformats.org/officeDocument/2006/relationships/image" Target="media/image62.wmf"/><Relationship Id="rId135" Type="http://schemas.openxmlformats.org/officeDocument/2006/relationships/oleObject" Target="embeddings/oleObject65.bin"/><Relationship Id="rId134" Type="http://schemas.openxmlformats.org/officeDocument/2006/relationships/image" Target="media/image61.wmf"/><Relationship Id="rId133" Type="http://schemas.openxmlformats.org/officeDocument/2006/relationships/oleObject" Target="embeddings/oleObject64.bin"/><Relationship Id="rId132" Type="http://schemas.openxmlformats.org/officeDocument/2006/relationships/image" Target="media/image60.wmf"/><Relationship Id="rId131" Type="http://schemas.openxmlformats.org/officeDocument/2006/relationships/oleObject" Target="embeddings/oleObject63.bin"/><Relationship Id="rId130" Type="http://schemas.openxmlformats.org/officeDocument/2006/relationships/image" Target="media/image59.wmf"/><Relationship Id="rId13" Type="http://schemas.openxmlformats.org/officeDocument/2006/relationships/oleObject" Target="embeddings/oleObject2.bin"/><Relationship Id="rId129" Type="http://schemas.openxmlformats.org/officeDocument/2006/relationships/oleObject" Target="embeddings/oleObject62.bin"/><Relationship Id="rId128" Type="http://schemas.openxmlformats.org/officeDocument/2006/relationships/oleObject" Target="embeddings/oleObject61.bin"/><Relationship Id="rId127" Type="http://schemas.openxmlformats.org/officeDocument/2006/relationships/image" Target="media/image58.wmf"/><Relationship Id="rId126" Type="http://schemas.openxmlformats.org/officeDocument/2006/relationships/oleObject" Target="embeddings/oleObject60.bin"/><Relationship Id="rId125" Type="http://schemas.openxmlformats.org/officeDocument/2006/relationships/image" Target="media/image57.wmf"/><Relationship Id="rId124" Type="http://schemas.openxmlformats.org/officeDocument/2006/relationships/oleObject" Target="embeddings/oleObject59.bin"/><Relationship Id="rId123" Type="http://schemas.openxmlformats.org/officeDocument/2006/relationships/image" Target="media/image56.wmf"/><Relationship Id="rId122" Type="http://schemas.openxmlformats.org/officeDocument/2006/relationships/oleObject" Target="embeddings/oleObject58.bin"/><Relationship Id="rId121" Type="http://schemas.openxmlformats.org/officeDocument/2006/relationships/image" Target="media/image55.wmf"/><Relationship Id="rId120" Type="http://schemas.openxmlformats.org/officeDocument/2006/relationships/oleObject" Target="embeddings/oleObject57.bin"/><Relationship Id="rId12" Type="http://schemas.openxmlformats.org/officeDocument/2006/relationships/image" Target="media/image2.wmf"/><Relationship Id="rId119" Type="http://schemas.openxmlformats.org/officeDocument/2006/relationships/image" Target="media/image54.wmf"/><Relationship Id="rId118" Type="http://schemas.openxmlformats.org/officeDocument/2006/relationships/oleObject" Target="embeddings/oleObject56.bin"/><Relationship Id="rId117" Type="http://schemas.openxmlformats.org/officeDocument/2006/relationships/image" Target="media/image53.wmf"/><Relationship Id="rId116" Type="http://schemas.openxmlformats.org/officeDocument/2006/relationships/oleObject" Target="embeddings/oleObject55.bin"/><Relationship Id="rId115" Type="http://schemas.openxmlformats.org/officeDocument/2006/relationships/image" Target="media/image52.wmf"/><Relationship Id="rId114" Type="http://schemas.openxmlformats.org/officeDocument/2006/relationships/oleObject" Target="embeddings/oleObject54.bin"/><Relationship Id="rId113" Type="http://schemas.openxmlformats.org/officeDocument/2006/relationships/image" Target="media/image51.wmf"/><Relationship Id="rId112" Type="http://schemas.openxmlformats.org/officeDocument/2006/relationships/oleObject" Target="embeddings/oleObject53.bin"/><Relationship Id="rId111" Type="http://schemas.openxmlformats.org/officeDocument/2006/relationships/image" Target="media/image50.wmf"/><Relationship Id="rId110" Type="http://schemas.openxmlformats.org/officeDocument/2006/relationships/oleObject" Target="embeddings/oleObject52.bin"/><Relationship Id="rId11" Type="http://schemas.openxmlformats.org/officeDocument/2006/relationships/oleObject" Target="embeddings/oleObject1.bin"/><Relationship Id="rId109" Type="http://schemas.openxmlformats.org/officeDocument/2006/relationships/image" Target="media/image49.wmf"/><Relationship Id="rId108" Type="http://schemas.openxmlformats.org/officeDocument/2006/relationships/oleObject" Target="embeddings/oleObject51.bin"/><Relationship Id="rId107" Type="http://schemas.openxmlformats.org/officeDocument/2006/relationships/oleObject" Target="embeddings/oleObject50.bin"/><Relationship Id="rId106" Type="http://schemas.openxmlformats.org/officeDocument/2006/relationships/image" Target="media/image48.wmf"/><Relationship Id="rId105" Type="http://schemas.openxmlformats.org/officeDocument/2006/relationships/oleObject" Target="embeddings/oleObject49.bin"/><Relationship Id="rId104" Type="http://schemas.openxmlformats.org/officeDocument/2006/relationships/image" Target="media/image47.wmf"/><Relationship Id="rId103" Type="http://schemas.openxmlformats.org/officeDocument/2006/relationships/oleObject" Target="embeddings/oleObject48.bin"/><Relationship Id="rId102" Type="http://schemas.openxmlformats.org/officeDocument/2006/relationships/image" Target="media/image46.wmf"/><Relationship Id="rId101" Type="http://schemas.openxmlformats.org/officeDocument/2006/relationships/oleObject" Target="embeddings/oleObject47.bin"/><Relationship Id="rId100" Type="http://schemas.openxmlformats.org/officeDocument/2006/relationships/image" Target="media/image45.wmf"/><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125</Pages>
  <Words>1678</Words>
  <Characters>3006</Characters>
  <Lines>534</Lines>
  <Paragraphs>150</Paragraphs>
  <TotalTime>6</TotalTime>
  <ScaleCrop>false</ScaleCrop>
  <LinksUpToDate>false</LinksUpToDate>
  <CharactersWithSpaces>3368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2025-02-06T02:30:00Z</dcterms:created>
  <dc:creator>张大磊</dc:creator>
  <cp:lastModifiedBy>砚雨神</cp:lastModifiedBy>
  <dcterms:modified xsi:type="dcterms:W3CDTF">2025-04-01T02:08:50Z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eyJoZGlkIjoiMjZlOTM2YmJkNWVkNDUwY2NiODk2ZGZlZTIzYjZhZDYiLCJ1c2VySWQiOiI1OTE1MTk3MDkifQ==</vt:lpwstr>
  </property>
  <property fmtid="{D5CDD505-2E9C-101B-9397-08002B2CF9AE}" pid="3" name="KSOProductBuildVer">
    <vt:lpwstr>2052-12.1.0.20305</vt:lpwstr>
  </property>
  <property fmtid="{D5CDD505-2E9C-101B-9397-08002B2CF9AE}" pid="4" name="ICV">
    <vt:lpwstr>15478B6B80D74A369DD388796062CE78_13</vt:lpwstr>
  </property>
</Properties>
</file>