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2AB6C">
      <w:pPr>
        <w:spacing w:line="240" w:lineRule="auto"/>
        <w:ind w:firstLine="0" w:firstLineChars="0"/>
        <w:jc w:val="left"/>
        <w:rPr>
          <w:rFonts w:ascii="Arial" w:hAnsi="Arial" w:eastAsia="黑体" w:cs="Arial"/>
          <w:b/>
          <w:bCs/>
          <w:i/>
          <w:color w:val="000000" w:themeColor="text1"/>
          <w:sz w:val="72"/>
          <w:szCs w:val="72"/>
          <w14:textFill>
            <w14:solidFill>
              <w14:schemeClr w14:val="tx1"/>
            </w14:solidFill>
          </w14:textFill>
        </w:rPr>
      </w:pPr>
      <w:bookmarkStart w:id="0" w:name="_Toc437556855"/>
      <w:bookmarkStart w:id="1" w:name="_Toc5114"/>
      <w:bookmarkStart w:id="2" w:name="_Toc437556860"/>
      <w:bookmarkStart w:id="3" w:name="_Toc4686"/>
      <w:r>
        <w:rPr>
          <w:rFonts w:ascii="Arial" w:hAnsi="Arial" w:eastAsia="黑体" w:cs="Arial"/>
          <w:b/>
          <w:bCs/>
          <w:i/>
          <w:color w:val="000000" w:themeColor="text1"/>
          <w:sz w:val="72"/>
          <w:szCs w:val="72"/>
          <w14:textFill>
            <w14:solidFill>
              <w14:schemeClr w14:val="tx1"/>
            </w14:solidFill>
          </w14:textFill>
        </w:rPr>
        <w:t>CECS</w:t>
      </w:r>
    </w:p>
    <w:p w14:paraId="1DA1AB38">
      <w:pPr>
        <w:spacing w:after="312" w:afterLines="100"/>
        <w:ind w:firstLine="0" w:firstLineChars="0"/>
        <w:jc w:val="right"/>
        <w:rPr>
          <w:rFonts w:eastAsia="黑体"/>
          <w:b/>
          <w:bCs/>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417195</wp:posOffset>
                </wp:positionV>
                <wp:extent cx="5391150" cy="0"/>
                <wp:effectExtent l="0" t="12700" r="0" b="1587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25400">
                          <a:solidFill>
                            <a:srgbClr val="000000"/>
                          </a:solidFill>
                          <a:round/>
                        </a:ln>
                        <a:effectLst/>
                      </wps:spPr>
                      <wps:bodyPr/>
                    </wps:wsp>
                  </a:graphicData>
                </a:graphic>
              </wp:anchor>
            </w:drawing>
          </mc:Choice>
          <mc:Fallback>
            <w:pict>
              <v:line id="_x0000_s1026" o:spid="_x0000_s1026" o:spt="20" style="position:absolute;left:0pt;margin-left:-2.25pt;margin-top:32.85pt;height:0pt;width:424.5pt;z-index:251665408;mso-width-relative:page;mso-height-relative:page;" filled="f" stroked="t" coordsize="21600,21600" o:gfxdata="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9Jh7&#10;1gAAAAgBAAAPAAAAAAAAAAEAIAAAACIAAABkcnMvZG93bnJldi54bWxQSwECFAAUAAAACACHTuJA&#10;pLVdAOoBAAC5AwAADgAAAAAAAAABACAAAAAlAQAAZHJzL2Uyb0RvYy54bWxQSwUGAAAAAAYABgBZ&#10;AQAAgQUAAAAA&#10;">
                <v:fill on="f" focussize="0,0"/>
                <v:stroke weight="2pt" color="#000000" joinstyle="round"/>
                <v:imagedata o:title=""/>
                <o:lock v:ext="edit" aspectratio="f"/>
              </v:line>
            </w:pict>
          </mc:Fallback>
        </mc:AlternateContent>
      </w:r>
      <w:r>
        <w:rPr>
          <w:rFonts w:hint="eastAsia" w:eastAsia="黑体"/>
          <w:b/>
          <w:bCs/>
          <w:color w:val="000000" w:themeColor="text1"/>
          <w:sz w:val="44"/>
          <w:szCs w:val="44"/>
          <w14:textFill>
            <w14:solidFill>
              <w14:schemeClr w14:val="tx1"/>
            </w14:solidFill>
          </w14:textFill>
        </w:rPr>
        <w:t>T/CECS xxx</w:t>
      </w:r>
      <w:r>
        <w:rPr>
          <w:rFonts w:hint="eastAsia" w:eastAsia="黑体"/>
          <w:b/>
          <w:bCs/>
          <w:color w:val="000000" w:themeColor="text1"/>
          <w:sz w:val="44"/>
          <w:szCs w:val="44"/>
          <w:lang w:val="en-US" w:eastAsia="zh-CN"/>
          <w14:textFill>
            <w14:solidFill>
              <w14:schemeClr w14:val="tx1"/>
            </w14:solidFill>
          </w14:textFill>
        </w:rPr>
        <w:t>x</w:t>
      </w:r>
      <w:r>
        <w:rPr>
          <w:rFonts w:hint="eastAsia" w:eastAsia="黑体"/>
          <w:b/>
          <w:bCs/>
          <w:color w:val="000000" w:themeColor="text1"/>
          <w:sz w:val="44"/>
          <w:szCs w:val="44"/>
          <w14:textFill>
            <w14:solidFill>
              <w14:schemeClr w14:val="tx1"/>
            </w14:solidFill>
          </w14:textFill>
        </w:rPr>
        <w:t>-202x</w:t>
      </w:r>
    </w:p>
    <w:p w14:paraId="190ECC03">
      <w:pPr>
        <w:spacing w:before="312" w:beforeLines="100" w:after="312" w:afterLines="100"/>
        <w:ind w:firstLine="0" w:firstLineChars="0"/>
        <w:jc w:val="center"/>
        <w:rPr>
          <w:rFonts w:cs="宋体"/>
          <w:b/>
          <w:bCs/>
          <w:color w:val="000000" w:themeColor="text1"/>
          <w:sz w:val="32"/>
          <w:szCs w:val="32"/>
          <w14:textFill>
            <w14:solidFill>
              <w14:schemeClr w14:val="tx1"/>
            </w14:solidFill>
          </w14:textFill>
        </w:rPr>
      </w:pPr>
    </w:p>
    <w:p w14:paraId="5109B2E1">
      <w:pPr>
        <w:spacing w:before="312" w:beforeLines="100" w:after="312" w:afterLines="100"/>
        <w:ind w:firstLine="0" w:firstLineChars="0"/>
        <w:jc w:val="center"/>
        <w:rPr>
          <w:rFonts w:cs="宋体"/>
          <w:bCs/>
          <w:color w:val="000000" w:themeColor="text1"/>
          <w:sz w:val="44"/>
          <w:szCs w:val="44"/>
          <w14:textFill>
            <w14:solidFill>
              <w14:schemeClr w14:val="tx1"/>
            </w14:solidFill>
          </w14:textFill>
        </w:rPr>
      </w:pPr>
      <w:r>
        <w:rPr>
          <w:rFonts w:cs="宋体"/>
          <w:bCs/>
          <w:color w:val="000000" w:themeColor="text1"/>
          <w:sz w:val="44"/>
          <w:szCs w:val="44"/>
          <w14:textFill>
            <w14:solidFill>
              <w14:schemeClr w14:val="tx1"/>
            </w14:solidFill>
          </w14:textFill>
        </w:rPr>
        <w:t>中国工程建设标准化协会标准</w:t>
      </w:r>
    </w:p>
    <w:p w14:paraId="22485340">
      <w:pPr>
        <w:spacing w:before="312" w:beforeLines="100" w:after="312" w:afterLines="100"/>
        <w:ind w:firstLine="643"/>
        <w:jc w:val="center"/>
        <w:rPr>
          <w:rFonts w:cs="宋体"/>
          <w:b/>
          <w:bCs/>
          <w:color w:val="000000" w:themeColor="text1"/>
          <w:sz w:val="32"/>
          <w:szCs w:val="32"/>
          <w14:textFill>
            <w14:solidFill>
              <w14:schemeClr w14:val="tx1"/>
            </w14:solidFill>
          </w14:textFill>
        </w:rPr>
      </w:pPr>
    </w:p>
    <w:p w14:paraId="2615FE51">
      <w:pPr>
        <w:spacing w:before="312" w:beforeLines="100" w:after="312" w:afterLines="100"/>
        <w:ind w:firstLine="0" w:firstLineChars="0"/>
        <w:jc w:val="center"/>
        <w:rPr>
          <w:rFonts w:hint="eastAsia" w:eastAsia="黑体" w:cs="黑体"/>
          <w:bCs/>
          <w:color w:val="000000" w:themeColor="text1"/>
          <w:sz w:val="48"/>
          <w:szCs w:val="48"/>
          <w14:textFill>
            <w14:solidFill>
              <w14:schemeClr w14:val="tx1"/>
            </w14:solidFill>
          </w14:textFill>
        </w:rPr>
      </w:pPr>
      <w:r>
        <w:rPr>
          <w:rFonts w:hint="eastAsia" w:eastAsia="黑体" w:cs="黑体"/>
          <w:bCs/>
          <w:color w:val="000000" w:themeColor="text1"/>
          <w:sz w:val="48"/>
          <w:szCs w:val="48"/>
          <w14:textFill>
            <w14:solidFill>
              <w14:schemeClr w14:val="tx1"/>
            </w14:solidFill>
          </w14:textFill>
        </w:rPr>
        <w:t>装配式混凝土框架结构</w:t>
      </w:r>
      <w:r>
        <w:rPr>
          <w:rFonts w:hint="eastAsia" w:eastAsia="黑体" w:cs="黑体"/>
          <w:bCs/>
          <w:color w:val="000000" w:themeColor="text1"/>
          <w:sz w:val="48"/>
          <w:szCs w:val="48"/>
          <w:lang w:val="en-US" w:eastAsia="zh-CN"/>
          <w14:textFill>
            <w14:solidFill>
              <w14:schemeClr w14:val="tx1"/>
            </w14:solidFill>
          </w14:textFill>
        </w:rPr>
        <w:t xml:space="preserve">钢组件连接   </w:t>
      </w:r>
      <w:r>
        <w:rPr>
          <w:rFonts w:hint="eastAsia" w:eastAsia="黑体" w:cs="黑体"/>
          <w:bCs/>
          <w:color w:val="000000" w:themeColor="text1"/>
          <w:sz w:val="48"/>
          <w:szCs w:val="48"/>
          <w14:textFill>
            <w14:solidFill>
              <w14:schemeClr w14:val="tx1"/>
            </w14:solidFill>
          </w14:textFill>
        </w:rPr>
        <w:t>技术规程</w:t>
      </w:r>
    </w:p>
    <w:p w14:paraId="6263546B">
      <w:pPr>
        <w:spacing w:before="312" w:beforeLines="100" w:after="312" w:afterLines="100"/>
        <w:ind w:firstLine="0" w:firstLineChars="0"/>
        <w:jc w:val="center"/>
        <w:rPr>
          <w:rFonts w:asciiTheme="majorEastAsia" w:hAnsiTheme="majorEastAsia" w:eastAsiaTheme="majorEastAsia"/>
          <w:bCs/>
          <w:color w:val="000000" w:themeColor="text1"/>
          <w:sz w:val="36"/>
          <w:szCs w:val="36"/>
          <w14:textFill>
            <w14:solidFill>
              <w14:schemeClr w14:val="tx1"/>
            </w14:solidFill>
          </w14:textFill>
        </w:rPr>
      </w:pPr>
      <w:r>
        <w:rPr>
          <w:rFonts w:hint="eastAsia" w:cs="黑体" w:asciiTheme="majorEastAsia" w:hAnsiTheme="majorEastAsia" w:eastAsiaTheme="majorEastAsia"/>
          <w:bCs/>
          <w:color w:val="000000" w:themeColor="text1"/>
          <w:sz w:val="36"/>
          <w:szCs w:val="36"/>
          <w14:textFill>
            <w14:solidFill>
              <w14:schemeClr w14:val="tx1"/>
            </w14:solidFill>
          </w14:textFill>
        </w:rPr>
        <w:t>（</w:t>
      </w:r>
      <w:r>
        <w:rPr>
          <w:rFonts w:hint="eastAsia" w:cs="黑体" w:asciiTheme="majorEastAsia" w:hAnsiTheme="majorEastAsia" w:eastAsiaTheme="majorEastAsia"/>
          <w:bCs/>
          <w:color w:val="000000" w:themeColor="text1"/>
          <w:sz w:val="36"/>
          <w:szCs w:val="36"/>
          <w:lang w:val="en-US" w:eastAsia="zh-CN"/>
          <w14:textFill>
            <w14:solidFill>
              <w14:schemeClr w14:val="tx1"/>
            </w14:solidFill>
          </w14:textFill>
        </w:rPr>
        <w:t>征求意见</w:t>
      </w:r>
      <w:r>
        <w:rPr>
          <w:rFonts w:hint="eastAsia" w:cs="黑体" w:asciiTheme="majorEastAsia" w:hAnsiTheme="majorEastAsia" w:eastAsiaTheme="majorEastAsia"/>
          <w:bCs/>
          <w:color w:val="000000" w:themeColor="text1"/>
          <w:sz w:val="36"/>
          <w:szCs w:val="36"/>
          <w14:textFill>
            <w14:solidFill>
              <w14:schemeClr w14:val="tx1"/>
            </w14:solidFill>
          </w14:textFill>
        </w:rPr>
        <w:t>稿）</w:t>
      </w:r>
    </w:p>
    <w:p w14:paraId="4E6C1C72">
      <w:pPr>
        <w:spacing w:before="156" w:beforeLines="50" w:after="156" w:afterLines="50"/>
        <w:ind w:firstLine="0" w:firstLineChars="0"/>
        <w:jc w:val="center"/>
        <w:rPr>
          <w:rFonts w:hint="default" w:eastAsia="Arial Unicode MS"/>
          <w:bCs/>
          <w:color w:val="auto"/>
          <w:sz w:val="32"/>
          <w:szCs w:val="32"/>
          <w:lang w:val="en-US" w:eastAsia="zh-CN"/>
        </w:rPr>
      </w:pPr>
      <w:r>
        <w:rPr>
          <w:rFonts w:hint="eastAsia" w:eastAsia="Arial Unicode MS"/>
          <w:bCs/>
          <w:color w:val="auto"/>
          <w:sz w:val="32"/>
          <w:szCs w:val="32"/>
        </w:rPr>
        <w:t xml:space="preserve">Technical </w:t>
      </w:r>
      <w:r>
        <w:rPr>
          <w:rFonts w:hint="eastAsia" w:eastAsia="Arial Unicode MS"/>
          <w:bCs/>
          <w:color w:val="auto"/>
          <w:sz w:val="32"/>
          <w:szCs w:val="32"/>
          <w:lang w:val="en-US" w:eastAsia="zh-CN"/>
        </w:rPr>
        <w:t>specification</w:t>
      </w:r>
      <w:r>
        <w:rPr>
          <w:rFonts w:hint="eastAsia" w:eastAsia="Arial Unicode MS"/>
          <w:bCs/>
          <w:color w:val="auto"/>
          <w:sz w:val="32"/>
          <w:szCs w:val="32"/>
        </w:rPr>
        <w:t xml:space="preserve"> for </w:t>
      </w:r>
      <w:r>
        <w:rPr>
          <w:rFonts w:hint="eastAsia" w:eastAsia="Arial Unicode MS"/>
          <w:bCs/>
          <w:color w:val="auto"/>
          <w:sz w:val="32"/>
          <w:szCs w:val="32"/>
          <w:lang w:val="en-US" w:eastAsia="zh-CN"/>
        </w:rPr>
        <w:t>steel connection in precast concrete frame structures</w:t>
      </w:r>
    </w:p>
    <w:p w14:paraId="3C5E5107">
      <w:pPr>
        <w:spacing w:before="312" w:beforeLines="100" w:after="312" w:afterLines="100"/>
        <w:ind w:firstLine="723"/>
        <w:jc w:val="center"/>
        <w:rPr>
          <w:b/>
          <w:bCs/>
          <w:color w:val="000000" w:themeColor="text1"/>
          <w:sz w:val="36"/>
          <w:szCs w:val="36"/>
          <w14:textFill>
            <w14:solidFill>
              <w14:schemeClr w14:val="tx1"/>
            </w14:solidFill>
          </w14:textFill>
        </w:rPr>
      </w:pPr>
    </w:p>
    <w:p w14:paraId="665EAE06">
      <w:pPr>
        <w:spacing w:before="312" w:beforeLines="100" w:after="312" w:afterLines="100"/>
        <w:ind w:firstLine="723"/>
        <w:jc w:val="center"/>
        <w:rPr>
          <w:b/>
          <w:bCs/>
          <w:color w:val="000000" w:themeColor="text1"/>
          <w:sz w:val="36"/>
          <w:szCs w:val="36"/>
          <w14:textFill>
            <w14:solidFill>
              <w14:schemeClr w14:val="tx1"/>
            </w14:solidFill>
          </w14:textFill>
        </w:rPr>
      </w:pPr>
    </w:p>
    <w:p w14:paraId="0A0E430F">
      <w:pPr>
        <w:spacing w:before="312" w:beforeLines="100" w:after="312" w:afterLines="100"/>
        <w:ind w:firstLine="723"/>
        <w:jc w:val="center"/>
        <w:rPr>
          <w:b/>
          <w:bCs/>
          <w:color w:val="000000" w:themeColor="text1"/>
          <w:sz w:val="36"/>
          <w:szCs w:val="36"/>
          <w14:textFill>
            <w14:solidFill>
              <w14:schemeClr w14:val="tx1"/>
            </w14:solidFill>
          </w14:textFill>
        </w:rPr>
      </w:pPr>
    </w:p>
    <w:p w14:paraId="4B4B0893">
      <w:pPr>
        <w:ind w:firstLine="0" w:firstLineChars="0"/>
        <w:jc w:val="center"/>
        <w:rPr>
          <w:rFonts w:ascii="华文仿宋" w:hAnsi="华文仿宋" w:eastAsia="华文仿宋" w:cs="Times New Roman"/>
          <w:bCs/>
          <w:color w:val="auto"/>
          <w:sz w:val="44"/>
          <w:szCs w:val="44"/>
        </w:rPr>
      </w:pPr>
      <w:r>
        <w:rPr>
          <w:rFonts w:hint="eastAsia" w:ascii="华文仿宋" w:hAnsi="华文仿宋" w:eastAsia="华文仿宋" w:cs="Times New Roman"/>
          <w:bCs/>
          <w:color w:val="auto"/>
          <w:sz w:val="44"/>
          <w:szCs w:val="44"/>
        </w:rPr>
        <w:t>中国xx出版社</w:t>
      </w:r>
    </w:p>
    <w:p w14:paraId="443C9A28">
      <w:pPr>
        <w:ind w:left="0" w:leftChars="0" w:firstLine="0" w:firstLineChars="0"/>
        <w:rPr>
          <w:rFonts w:hint="eastAsia"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br w:type="page"/>
      </w:r>
    </w:p>
    <w:p w14:paraId="620E9128">
      <w:pPr>
        <w:spacing w:before="312" w:beforeLines="100" w:after="312" w:afterLines="100"/>
        <w:ind w:firstLine="0" w:firstLineChars="0"/>
        <w:jc w:val="center"/>
        <w:rPr>
          <w:rFonts w:ascii="黑体" w:hAnsi="黑体" w:eastAsia="黑体" w:cs="宋体"/>
          <w:bCs/>
          <w:color w:val="000000" w:themeColor="text1"/>
          <w:sz w:val="36"/>
          <w:szCs w:val="36"/>
          <w14:textFill>
            <w14:solidFill>
              <w14:schemeClr w14:val="tx1"/>
            </w14:solidFill>
          </w14:textFill>
        </w:rPr>
      </w:pPr>
    </w:p>
    <w:p w14:paraId="42421D42">
      <w:pPr>
        <w:spacing w:before="312" w:beforeLines="100" w:after="312" w:afterLines="100"/>
        <w:ind w:firstLine="0" w:firstLineChars="0"/>
        <w:jc w:val="center"/>
        <w:rPr>
          <w:rFonts w:ascii="黑体" w:hAnsi="黑体" w:eastAsia="黑体" w:cs="宋体"/>
          <w:bCs/>
          <w:color w:val="000000" w:themeColor="text1"/>
          <w:sz w:val="36"/>
          <w:szCs w:val="36"/>
          <w14:textFill>
            <w14:solidFill>
              <w14:schemeClr w14:val="tx1"/>
            </w14:solidFill>
          </w14:textFill>
        </w:rPr>
      </w:pPr>
      <w:r>
        <w:rPr>
          <w:rFonts w:ascii="黑体" w:hAnsi="黑体" w:eastAsia="黑体" w:cs="宋体"/>
          <w:bCs/>
          <w:color w:val="000000" w:themeColor="text1"/>
          <w:sz w:val="36"/>
          <w:szCs w:val="36"/>
          <w14:textFill>
            <w14:solidFill>
              <w14:schemeClr w14:val="tx1"/>
            </w14:solidFill>
          </w14:textFill>
        </w:rPr>
        <w:t>中国工程建设标准化协会标准</w:t>
      </w:r>
    </w:p>
    <w:p w14:paraId="0982430D">
      <w:pPr>
        <w:spacing w:before="312" w:beforeLines="100" w:after="312" w:afterLines="100"/>
        <w:ind w:firstLine="0" w:firstLineChars="0"/>
        <w:jc w:val="center"/>
        <w:rPr>
          <w:rFonts w:hint="default" w:cs="黑体" w:asciiTheme="majorEastAsia" w:hAnsiTheme="majorEastAsia" w:eastAsiaTheme="majorEastAsia"/>
          <w:bCs/>
          <w:color w:val="000000" w:themeColor="text1"/>
          <w:sz w:val="44"/>
          <w:szCs w:val="44"/>
          <w:lang w:val="en-US" w:eastAsia="zh-CN"/>
          <w14:textFill>
            <w14:solidFill>
              <w14:schemeClr w14:val="tx1"/>
            </w14:solidFill>
          </w14:textFill>
        </w:rPr>
      </w:pPr>
      <w:r>
        <w:rPr>
          <w:rFonts w:hint="eastAsia" w:cs="黑体" w:asciiTheme="majorEastAsia" w:hAnsiTheme="majorEastAsia" w:eastAsiaTheme="majorEastAsia"/>
          <w:bCs/>
          <w:color w:val="000000" w:themeColor="text1"/>
          <w:sz w:val="44"/>
          <w:szCs w:val="44"/>
          <w14:textFill>
            <w14:solidFill>
              <w14:schemeClr w14:val="tx1"/>
            </w14:solidFill>
          </w14:textFill>
        </w:rPr>
        <w:t>装配式混凝土框架结构</w:t>
      </w:r>
      <w:r>
        <w:rPr>
          <w:rFonts w:hint="eastAsia" w:cs="黑体" w:asciiTheme="majorEastAsia" w:hAnsiTheme="majorEastAsia" w:eastAsiaTheme="majorEastAsia"/>
          <w:bCs/>
          <w:color w:val="000000" w:themeColor="text1"/>
          <w:sz w:val="44"/>
          <w:szCs w:val="44"/>
          <w:lang w:val="en-US" w:eastAsia="zh-CN"/>
          <w14:textFill>
            <w14:solidFill>
              <w14:schemeClr w14:val="tx1"/>
            </w14:solidFill>
          </w14:textFill>
        </w:rPr>
        <w:t>钢组件连接</w:t>
      </w:r>
    </w:p>
    <w:p w14:paraId="40CB84D3">
      <w:pPr>
        <w:spacing w:before="312" w:beforeLines="100" w:after="312" w:afterLines="100"/>
        <w:ind w:firstLine="0" w:firstLineChars="0"/>
        <w:jc w:val="center"/>
        <w:rPr>
          <w:rFonts w:hint="eastAsia" w:asciiTheme="majorEastAsia" w:hAnsiTheme="majorEastAsia" w:eastAsiaTheme="majorEastAsia"/>
          <w:bCs/>
          <w:color w:val="000000" w:themeColor="text1"/>
          <w:sz w:val="44"/>
          <w:szCs w:val="44"/>
          <w:lang w:eastAsia="zh-CN"/>
          <w14:textFill>
            <w14:solidFill>
              <w14:schemeClr w14:val="tx1"/>
            </w14:solidFill>
          </w14:textFill>
        </w:rPr>
      </w:pPr>
      <w:r>
        <w:rPr>
          <w:rFonts w:hint="eastAsia" w:cs="黑体" w:asciiTheme="majorEastAsia" w:hAnsiTheme="majorEastAsia" w:eastAsiaTheme="majorEastAsia"/>
          <w:bCs/>
          <w:color w:val="000000" w:themeColor="text1"/>
          <w:sz w:val="44"/>
          <w:szCs w:val="44"/>
          <w14:textFill>
            <w14:solidFill>
              <w14:schemeClr w14:val="tx1"/>
            </w14:solidFill>
          </w14:textFill>
        </w:rPr>
        <w:t>技术</w:t>
      </w:r>
      <w:r>
        <w:rPr>
          <w:rFonts w:hint="eastAsia" w:cs="黑体" w:asciiTheme="majorEastAsia" w:hAnsiTheme="majorEastAsia" w:eastAsiaTheme="majorEastAsia"/>
          <w:bCs/>
          <w:color w:val="000000" w:themeColor="text1"/>
          <w:sz w:val="44"/>
          <w:szCs w:val="44"/>
          <w:lang w:eastAsia="zh-CN"/>
          <w14:textFill>
            <w14:solidFill>
              <w14:schemeClr w14:val="tx1"/>
            </w14:solidFill>
          </w14:textFill>
        </w:rPr>
        <w:t>规程</w:t>
      </w:r>
    </w:p>
    <w:p w14:paraId="7DC5FD96">
      <w:pPr>
        <w:keepNext w:val="0"/>
        <w:keepLines w:val="0"/>
        <w:pageBreakBefore w:val="0"/>
        <w:widowControl w:val="0"/>
        <w:kinsoku/>
        <w:wordWrap/>
        <w:overflowPunct/>
        <w:topLinePunct w:val="0"/>
        <w:autoSpaceDE/>
        <w:autoSpaceDN/>
        <w:bidi w:val="0"/>
        <w:adjustRightInd w:val="0"/>
        <w:snapToGrid w:val="0"/>
        <w:spacing w:before="156" w:beforeLines="50" w:after="156" w:afterLines="50"/>
        <w:ind w:firstLine="0" w:firstLineChars="0"/>
        <w:jc w:val="center"/>
        <w:textAlignment w:val="auto"/>
        <w:rPr>
          <w:bCs/>
          <w:color w:val="auto"/>
          <w:sz w:val="32"/>
          <w:szCs w:val="32"/>
        </w:rPr>
      </w:pPr>
      <w:r>
        <w:rPr>
          <w:rFonts w:hint="eastAsia" w:eastAsia="Arial Unicode MS"/>
          <w:bCs/>
          <w:color w:val="auto"/>
          <w:sz w:val="32"/>
          <w:szCs w:val="32"/>
        </w:rPr>
        <w:t>Technical specification for steel connection in precast concrete frame structures</w:t>
      </w:r>
    </w:p>
    <w:p w14:paraId="1A064841">
      <w:pPr>
        <w:spacing w:before="156" w:beforeLines="50" w:after="156" w:afterLines="50"/>
        <w:ind w:firstLine="0" w:firstLineChars="0"/>
        <w:jc w:val="center"/>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t>T</w:t>
      </w:r>
      <w:r>
        <w:rPr>
          <w:rFonts w:hint="eastAsia"/>
          <w:b/>
          <w:bCs/>
          <w:color w:val="000000" w:themeColor="text1"/>
          <w:sz w:val="36"/>
          <w:szCs w:val="36"/>
          <w14:textFill>
            <w14:solidFill>
              <w14:schemeClr w14:val="tx1"/>
            </w14:solidFill>
          </w14:textFill>
        </w:rPr>
        <w:t>/CECS xx</w:t>
      </w:r>
      <w:r>
        <w:rPr>
          <w:rFonts w:hint="eastAsia"/>
          <w:b/>
          <w:bCs/>
          <w:color w:val="000000" w:themeColor="text1"/>
          <w:sz w:val="36"/>
          <w:szCs w:val="36"/>
          <w:lang w:val="en-US" w:eastAsia="zh-CN"/>
          <w14:textFill>
            <w14:solidFill>
              <w14:schemeClr w14:val="tx1"/>
            </w14:solidFill>
          </w14:textFill>
        </w:rPr>
        <w:t>x</w:t>
      </w:r>
      <w:r>
        <w:rPr>
          <w:rFonts w:hint="eastAsia"/>
          <w:b/>
          <w:bCs/>
          <w:color w:val="000000" w:themeColor="text1"/>
          <w:sz w:val="36"/>
          <w:szCs w:val="36"/>
          <w14:textFill>
            <w14:solidFill>
              <w14:schemeClr w14:val="tx1"/>
            </w14:solidFill>
          </w14:textFill>
        </w:rPr>
        <w:t>x-202x</w:t>
      </w:r>
    </w:p>
    <w:p w14:paraId="6462464F">
      <w:pPr>
        <w:ind w:firstLine="0" w:firstLineChars="0"/>
        <w:jc w:val="center"/>
        <w:rPr>
          <w:bCs/>
          <w:color w:val="000000" w:themeColor="text1"/>
          <w:sz w:val="36"/>
          <w:szCs w:val="36"/>
          <w14:textFill>
            <w14:solidFill>
              <w14:schemeClr w14:val="tx1"/>
            </w14:solidFill>
          </w14:textFill>
        </w:rPr>
      </w:pPr>
    </w:p>
    <w:p w14:paraId="5A04742A">
      <w:pPr>
        <w:ind w:firstLine="816" w:firstLineChars="255"/>
        <w:rPr>
          <w:rFonts w:hint="eastAsia" w:eastAsia="宋体"/>
          <w:bCs/>
          <w:color w:val="000000" w:themeColor="text1"/>
          <w:sz w:val="32"/>
          <w:szCs w:val="32"/>
          <w:lang w:eastAsia="zh-CN"/>
          <w14:textFill>
            <w14:solidFill>
              <w14:schemeClr w14:val="tx1"/>
            </w14:solidFill>
          </w14:textFill>
        </w:rPr>
      </w:pPr>
      <w:r>
        <w:rPr>
          <w:bCs/>
          <w:color w:val="000000" w:themeColor="text1"/>
          <w:sz w:val="32"/>
          <w:szCs w:val="32"/>
          <w14:textFill>
            <w14:solidFill>
              <w14:schemeClr w14:val="tx1"/>
            </w14:solidFill>
          </w14:textFill>
        </w:rPr>
        <w:t>主编单位</w:t>
      </w:r>
      <w:r>
        <w:rPr>
          <w:rFonts w:hint="eastAsia"/>
          <w:bCs/>
          <w:color w:val="000000" w:themeColor="text1"/>
          <w:sz w:val="32"/>
          <w:szCs w:val="32"/>
          <w14:textFill>
            <w14:solidFill>
              <w14:schemeClr w14:val="tx1"/>
            </w14:solidFill>
          </w14:textFill>
        </w:rPr>
        <w:t>：中国建筑科学研究院有限公</w:t>
      </w:r>
      <w:r>
        <w:rPr>
          <w:rFonts w:hint="eastAsia"/>
          <w:bCs/>
          <w:color w:val="000000" w:themeColor="text1"/>
          <w:sz w:val="32"/>
          <w:szCs w:val="32"/>
          <w:lang w:eastAsia="zh-CN"/>
          <w14:textFill>
            <w14:solidFill>
              <w14:schemeClr w14:val="tx1"/>
            </w14:solidFill>
          </w14:textFill>
        </w:rPr>
        <w:t>司</w:t>
      </w:r>
    </w:p>
    <w:p w14:paraId="1F66BCDE">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 xml:space="preserve">    </w:t>
      </w:r>
      <w:r>
        <w:rPr>
          <w:rFonts w:hint="eastAsia"/>
          <w:bCs/>
          <w:color w:val="000000" w:themeColor="text1"/>
          <w:sz w:val="32"/>
          <w:szCs w:val="32"/>
          <w:lang w:val="en-US" w:eastAsia="zh-CN"/>
          <w14:textFill>
            <w14:solidFill>
              <w14:schemeClr w14:val="tx1"/>
            </w14:solidFill>
          </w14:textFill>
        </w:rPr>
        <w:t xml:space="preserve">      湖南圣堡住宅工业有限公司</w:t>
      </w:r>
    </w:p>
    <w:p w14:paraId="24A07C22">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批准单位：中国工程建设标准化协会</w:t>
      </w:r>
    </w:p>
    <w:p w14:paraId="58632F4D">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施行日期：202x年x月x日</w:t>
      </w:r>
    </w:p>
    <w:p w14:paraId="5DB10035">
      <w:pPr>
        <w:spacing w:before="312" w:beforeLines="100" w:after="312" w:afterLines="100"/>
        <w:ind w:firstLine="723"/>
        <w:jc w:val="center"/>
        <w:rPr>
          <w:b/>
          <w:bCs/>
          <w:color w:val="000000" w:themeColor="text1"/>
          <w:sz w:val="36"/>
          <w:szCs w:val="36"/>
          <w14:textFill>
            <w14:solidFill>
              <w14:schemeClr w14:val="tx1"/>
            </w14:solidFill>
          </w14:textFill>
        </w:rPr>
      </w:pPr>
    </w:p>
    <w:p w14:paraId="277F152C">
      <w:pPr>
        <w:spacing w:before="312" w:beforeLines="100" w:after="312" w:afterLines="100"/>
        <w:ind w:firstLine="723"/>
        <w:jc w:val="center"/>
        <w:rPr>
          <w:b/>
          <w:bCs/>
          <w:color w:val="000000" w:themeColor="text1"/>
          <w:sz w:val="36"/>
          <w:szCs w:val="36"/>
          <w14:textFill>
            <w14:solidFill>
              <w14:schemeClr w14:val="tx1"/>
            </w14:solidFill>
          </w14:textFill>
        </w:rPr>
      </w:pPr>
    </w:p>
    <w:p w14:paraId="2D3BE72C">
      <w:pPr>
        <w:ind w:firstLine="0" w:firstLineChars="0"/>
        <w:jc w:val="center"/>
        <w:rPr>
          <w:rFonts w:ascii="华文仿宋" w:hAnsi="华文仿宋" w:eastAsia="华文仿宋"/>
          <w:bCs/>
          <w:color w:val="000000" w:themeColor="text1"/>
          <w:sz w:val="44"/>
          <w:szCs w:val="44"/>
          <w14:textFill>
            <w14:solidFill>
              <w14:schemeClr w14:val="tx1"/>
            </w14:solidFill>
          </w14:textFill>
        </w:rPr>
      </w:pPr>
      <w:r>
        <w:rPr>
          <w:rFonts w:hint="eastAsia" w:ascii="华文仿宋" w:hAnsi="华文仿宋" w:eastAsia="华文仿宋"/>
          <w:bCs/>
          <w:color w:val="000000" w:themeColor="text1"/>
          <w:sz w:val="44"/>
          <w:szCs w:val="44"/>
          <w14:textFill>
            <w14:solidFill>
              <w14:schemeClr w14:val="tx1"/>
            </w14:solidFill>
          </w14:textFill>
        </w:rPr>
        <w:t>中国xx出版社</w:t>
      </w:r>
    </w:p>
    <w:p w14:paraId="05F99CB5">
      <w:pPr>
        <w:ind w:left="0" w:leftChars="0" w:firstLine="0" w:firstLineChars="0"/>
        <w:jc w:val="center"/>
        <w:rPr>
          <w:rFonts w:hint="eastAsia" w:ascii="黑体" w:hAnsi="黑体" w:eastAsia="黑体"/>
          <w:color w:val="000000" w:themeColor="text1"/>
          <w:sz w:val="30"/>
          <w:szCs w:val="30"/>
          <w14:textFill>
            <w14:solidFill>
              <w14:schemeClr w14:val="tx1"/>
            </w14:solidFill>
          </w14:textFill>
        </w:rPr>
      </w:pPr>
      <w:r>
        <w:rPr>
          <w:rFonts w:eastAsia="黑体"/>
          <w:bCs/>
          <w:color w:val="000000" w:themeColor="text1"/>
          <w:sz w:val="36"/>
          <w:szCs w:val="36"/>
          <w14:textFill>
            <w14:solidFill>
              <w14:schemeClr w14:val="tx1"/>
            </w14:solidFill>
          </w14:textFill>
        </w:rPr>
        <w:t>202</w:t>
      </w:r>
      <w:r>
        <w:rPr>
          <w:rFonts w:hint="eastAsia" w:eastAsia="黑体"/>
          <w:bCs/>
          <w:color w:val="000000" w:themeColor="text1"/>
          <w:sz w:val="36"/>
          <w:szCs w:val="36"/>
          <w:lang w:val="en-US" w:eastAsia="zh-CN"/>
          <w14:textFill>
            <w14:solidFill>
              <w14:schemeClr w14:val="tx1"/>
            </w14:solidFill>
          </w14:textFill>
        </w:rPr>
        <w:t>x</w:t>
      </w:r>
      <w:r>
        <w:rPr>
          <w:rFonts w:eastAsia="黑体"/>
          <w:bCs/>
          <w:color w:val="000000" w:themeColor="text1"/>
          <w:sz w:val="36"/>
          <w:szCs w:val="36"/>
          <w14:textFill>
            <w14:solidFill>
              <w14:schemeClr w14:val="tx1"/>
            </w14:solidFill>
          </w14:textFill>
        </w:rPr>
        <w:t xml:space="preserve">  北  京</w:t>
      </w:r>
      <w:r>
        <w:rPr>
          <w:rFonts w:hint="eastAsia" w:ascii="黑体" w:hAnsi="黑体" w:eastAsia="黑体"/>
          <w:color w:val="000000" w:themeColor="text1"/>
          <w:sz w:val="30"/>
          <w:szCs w:val="30"/>
          <w14:textFill>
            <w14:solidFill>
              <w14:schemeClr w14:val="tx1"/>
            </w14:solidFill>
          </w14:textFill>
        </w:rPr>
        <w:br w:type="page"/>
      </w:r>
    </w:p>
    <w:p w14:paraId="1E977E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前    言</w:t>
      </w:r>
    </w:p>
    <w:p w14:paraId="39F409BF">
      <w:pPr>
        <w:ind w:firstLine="0" w:firstLineChars="0"/>
        <w:jc w:val="center"/>
        <w:rPr>
          <w:rFonts w:ascii="黑体" w:hAnsi="黑体" w:eastAsia="黑体"/>
          <w:color w:val="000000" w:themeColor="text1"/>
          <w:sz w:val="30"/>
          <w:szCs w:val="30"/>
          <w14:textFill>
            <w14:solidFill>
              <w14:schemeClr w14:val="tx1"/>
            </w14:solidFill>
          </w14:textFill>
        </w:rPr>
      </w:pPr>
    </w:p>
    <w:p w14:paraId="2D21D57D">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《装配式混凝土框架结构钢组件连接技术规程》（以下简称规程）是根据中国工程建设标准化协会《关于印发&lt;20</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年第</w:t>
      </w:r>
      <w:r>
        <w:rPr>
          <w:rFonts w:hint="eastAsia"/>
          <w:color w:val="000000" w:themeColor="text1"/>
          <w:lang w:eastAsia="zh-CN"/>
          <w14:textFill>
            <w14:solidFill>
              <w14:schemeClr w14:val="tx1"/>
            </w14:solidFill>
          </w14:textFill>
        </w:rPr>
        <w:t>一</w:t>
      </w:r>
      <w:r>
        <w:rPr>
          <w:rFonts w:hint="eastAsia"/>
          <w:color w:val="000000" w:themeColor="text1"/>
          <w14:textFill>
            <w14:solidFill>
              <w14:schemeClr w14:val="tx1"/>
            </w14:solidFill>
          </w14:textFill>
        </w:rPr>
        <w:t>批协会标准制订、修订计划&gt;的通知》（建标协字[202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号）的要求进行编制。编制组经广泛调查研究，认真总结实践经验，参考国内外有关标准，并在广泛征求意见的基础上，制定本规程。</w:t>
      </w:r>
    </w:p>
    <w:p w14:paraId="4B8650D9">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本规程共</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章，主要内容包括：总则、术语和符号、材料、</w:t>
      </w:r>
      <w:r>
        <w:rPr>
          <w:rFonts w:hint="eastAsia"/>
          <w:color w:val="000000" w:themeColor="text1"/>
          <w:lang w:val="en-US" w:eastAsia="zh-CN"/>
          <w14:textFill>
            <w14:solidFill>
              <w14:schemeClr w14:val="tx1"/>
            </w14:solidFill>
          </w14:textFill>
        </w:rPr>
        <w:t>设计基本规定、结构分析与构件设计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连接</w:t>
      </w:r>
      <w:r>
        <w:rPr>
          <w:rFonts w:hint="eastAsia"/>
          <w:color w:val="000000" w:themeColor="text1"/>
          <w:lang w:val="en-US" w:eastAsia="zh-CN"/>
          <w14:textFill>
            <w14:solidFill>
              <w14:schemeClr w14:val="tx1"/>
            </w14:solidFill>
          </w14:textFill>
        </w:rPr>
        <w:t>节点</w:t>
      </w:r>
      <w:r>
        <w:rPr>
          <w:rFonts w:hint="eastAsia"/>
          <w:color w:val="000000" w:themeColor="text1"/>
          <w14:textFill>
            <w14:solidFill>
              <w14:schemeClr w14:val="tx1"/>
            </w14:solidFill>
          </w14:textFill>
        </w:rPr>
        <w:t>设计、制作与</w:t>
      </w:r>
      <w:r>
        <w:rPr>
          <w:rFonts w:hint="eastAsia"/>
          <w:color w:val="000000" w:themeColor="text1"/>
          <w:lang w:val="en-US" w:eastAsia="zh-CN"/>
          <w14:textFill>
            <w14:solidFill>
              <w14:schemeClr w14:val="tx1"/>
            </w14:solidFill>
          </w14:textFill>
        </w:rPr>
        <w:t>施工</w:t>
      </w:r>
      <w:r>
        <w:rPr>
          <w:rFonts w:hint="eastAsia"/>
          <w:color w:val="000000" w:themeColor="text1"/>
          <w14:textFill>
            <w14:solidFill>
              <w14:schemeClr w14:val="tx1"/>
            </w14:solidFill>
          </w14:textFill>
        </w:rPr>
        <w:t>、质量验收。</w:t>
      </w:r>
    </w:p>
    <w:p w14:paraId="18091AB0">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本规程某些内容可能涉及</w:t>
      </w:r>
      <w:r>
        <w:rPr>
          <w:rFonts w:hint="eastAsia"/>
          <w:color w:val="000000" w:themeColor="text1"/>
          <w:lang w:val="en-US" w:eastAsia="zh-CN"/>
          <w14:textFill>
            <w14:solidFill>
              <w14:schemeClr w14:val="tx1"/>
            </w14:solidFill>
          </w14:textFill>
        </w:rPr>
        <w:t>专利</w:t>
      </w:r>
      <w:r>
        <w:rPr>
          <w:rFonts w:hint="eastAsia"/>
          <w:color w:val="000000" w:themeColor="text1"/>
          <w14:textFill>
            <w14:solidFill>
              <w14:schemeClr w14:val="tx1"/>
            </w14:solidFill>
          </w14:textFill>
        </w:rPr>
        <w:t>。涉及专利的具体技术问题，使用者可直接与</w:t>
      </w:r>
      <w:r>
        <w:rPr>
          <w:rFonts w:hint="eastAsia"/>
          <w:color w:val="000000" w:themeColor="text1"/>
          <w:lang w:val="en-US" w:eastAsia="zh-CN"/>
          <w14:textFill>
            <w14:solidFill>
              <w14:schemeClr w14:val="tx1"/>
            </w14:solidFill>
          </w14:textFill>
        </w:rPr>
        <w:t>主编单位</w:t>
      </w:r>
      <w:r>
        <w:rPr>
          <w:rFonts w:hint="eastAsia"/>
          <w:color w:val="000000" w:themeColor="text1"/>
          <w14:textFill>
            <w14:solidFill>
              <w14:schemeClr w14:val="tx1"/>
            </w14:solidFill>
          </w14:textFill>
        </w:rPr>
        <w:t>协商处理。</w:t>
      </w:r>
    </w:p>
    <w:p w14:paraId="0F00062D">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规程由中国工程建设标准化协会混凝土结构专业委员会归口管理，由中国建筑科学研究院有限公司负责具体技术内容的解释，执行过程中如有意见或建议，请寄送至解释单位（地址：北京市北三环东路30号C座19层，邮编：100013，邮箱：</w:t>
      </w:r>
      <w:r>
        <w:rPr>
          <w:rFonts w:hint="eastAsia"/>
          <w:color w:val="000000" w:themeColor="text1"/>
          <w:u w:val="none"/>
          <w:lang w:val="en-US" w:eastAsia="zh-CN"/>
          <w14:textFill>
            <w14:solidFill>
              <w14:schemeClr w14:val="tx1"/>
            </w14:solidFill>
          </w14:textFill>
        </w:rPr>
        <w:t>wangzhenxing</w:t>
      </w:r>
      <w:r>
        <w:rPr>
          <w:rFonts w:hint="eastAsia"/>
          <w:color w:val="000000" w:themeColor="text1"/>
          <w:u w:val="none"/>
          <w14:textFill>
            <w14:solidFill>
              <w14:schemeClr w14:val="tx1"/>
            </w14:solidFill>
          </w14:textFill>
        </w:rPr>
        <w:t>@cabrtech.com）。</w:t>
      </w:r>
    </w:p>
    <w:p w14:paraId="3B47CD65">
      <w:pPr>
        <w:ind w:firstLine="480"/>
        <w:rPr>
          <w:rFonts w:hint="eastAsia" w:eastAsia="宋体"/>
          <w:color w:val="000000" w:themeColor="text1"/>
          <w:lang w:val="en-US" w:eastAsia="zh-CN"/>
          <w14:textFill>
            <w14:solidFill>
              <w14:schemeClr w14:val="tx1"/>
            </w14:solidFill>
          </w14:textFill>
        </w:rPr>
      </w:pPr>
      <w:r>
        <w:rPr>
          <w:rFonts w:hint="eastAsia" w:ascii="黑体" w:hAnsi="黑体" w:eastAsia="黑体"/>
          <w:color w:val="000000" w:themeColor="text1"/>
          <w14:textFill>
            <w14:solidFill>
              <w14:schemeClr w14:val="tx1"/>
            </w14:solidFill>
          </w14:textFill>
        </w:rPr>
        <w:t>主编单位：</w:t>
      </w:r>
      <w:r>
        <w:rPr>
          <w:rFonts w:hint="eastAsia"/>
          <w:color w:val="000000" w:themeColor="text1"/>
          <w14:textFill>
            <w14:solidFill>
              <w14:schemeClr w14:val="tx1"/>
            </w14:solidFill>
          </w14:textFill>
        </w:rPr>
        <w:t>中国建筑科学研究院有限公</w:t>
      </w:r>
      <w:r>
        <w:rPr>
          <w:rFonts w:hint="eastAsia"/>
          <w:color w:val="000000" w:themeColor="text1"/>
          <w:lang w:eastAsia="zh-CN"/>
          <w14:textFill>
            <w14:solidFill>
              <w14:schemeClr w14:val="tx1"/>
            </w14:solidFill>
          </w14:textFill>
        </w:rPr>
        <w:t>司</w:t>
      </w:r>
    </w:p>
    <w:p w14:paraId="5A3230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湖南圣堡住宅工业有限公司</w:t>
      </w:r>
    </w:p>
    <w:p w14:paraId="51F48A36">
      <w:pPr>
        <w:ind w:firstLine="480" w:firstLineChars="0"/>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参编单位：</w:t>
      </w:r>
    </w:p>
    <w:p w14:paraId="46E4E608">
      <w:pPr>
        <w:pStyle w:val="2"/>
        <w:rPr>
          <w:rFonts w:hint="eastAsia"/>
          <w:lang w:val="en-US" w:eastAsia="zh-CN"/>
        </w:rPr>
      </w:pPr>
    </w:p>
    <w:p w14:paraId="5F5398E6">
      <w:pPr>
        <w:ind w:firstLine="48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主要起草人：</w:t>
      </w:r>
    </w:p>
    <w:p w14:paraId="181DA7E5">
      <w:pPr>
        <w:pStyle w:val="2"/>
        <w:rPr>
          <w:rFonts w:hint="eastAsia"/>
          <w:lang w:eastAsia="zh-CN"/>
        </w:rPr>
      </w:pPr>
    </w:p>
    <w:p w14:paraId="34BAF01E">
      <w:pPr>
        <w:ind w:firstLine="480"/>
        <w:jc w:val="left"/>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主要审查人：</w:t>
      </w:r>
    </w:p>
    <w:p w14:paraId="28938308">
      <w:pPr>
        <w:rPr>
          <w:rFonts w:eastAsiaTheme="minorEastAsia"/>
          <w:b/>
          <w:sz w:val="30"/>
          <w:szCs w:val="30"/>
        </w:rPr>
      </w:pPr>
    </w:p>
    <w:p w14:paraId="1559D382">
      <w:pPr>
        <w:rPr>
          <w:rFonts w:eastAsiaTheme="minorEastAsia"/>
          <w:b/>
          <w:sz w:val="30"/>
          <w:szCs w:val="30"/>
        </w:rPr>
      </w:pPr>
      <w:r>
        <w:rPr>
          <w:rFonts w:eastAsiaTheme="minorEastAsia"/>
          <w:b/>
          <w:sz w:val="30"/>
          <w:szCs w:val="30"/>
        </w:rPr>
        <w:br w:type="page"/>
      </w:r>
    </w:p>
    <w:p w14:paraId="18930E62">
      <w:pPr>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eastAsiaTheme="minorEastAsia"/>
          <w:b/>
          <w:sz w:val="30"/>
          <w:szCs w:val="30"/>
        </w:rPr>
      </w:pPr>
      <w:r>
        <w:rPr>
          <w:rFonts w:eastAsiaTheme="minorEastAsia"/>
          <w:b/>
          <w:sz w:val="30"/>
          <w:szCs w:val="30"/>
        </w:rPr>
        <w:t>目</w:t>
      </w:r>
      <w:r>
        <w:rPr>
          <w:rFonts w:hint="eastAsia" w:eastAsiaTheme="minorEastAsia"/>
          <w:b/>
          <w:sz w:val="30"/>
          <w:szCs w:val="30"/>
        </w:rPr>
        <w:t xml:space="preserve">  </w:t>
      </w:r>
      <w:r>
        <w:rPr>
          <w:rFonts w:eastAsiaTheme="minorEastAsia"/>
          <w:b/>
          <w:sz w:val="30"/>
          <w:szCs w:val="30"/>
        </w:rPr>
        <w:t xml:space="preserve">  </w:t>
      </w:r>
      <w:r>
        <w:rPr>
          <w:rFonts w:hint="eastAsia" w:eastAsiaTheme="minorEastAsia"/>
          <w:b/>
          <w:sz w:val="30"/>
          <w:szCs w:val="30"/>
        </w:rPr>
        <w:t>次</w:t>
      </w:r>
    </w:p>
    <w:p w14:paraId="0D843512">
      <w:pPr>
        <w:pStyle w:val="20"/>
        <w:tabs>
          <w:tab w:val="right" w:leader="dot" w:pos="8300"/>
          <w:tab w:val="clear" w:pos="420"/>
          <w:tab w:val="clear" w:pos="8296"/>
        </w:tabs>
      </w:pPr>
      <w:r>
        <w:rPr>
          <w:rFonts w:eastAsia="黑体"/>
          <w:b/>
          <w:color w:val="0D0D0D" w:themeColor="text1" w:themeTint="F2"/>
          <w:kern w:val="0"/>
          <w14:textFill>
            <w14:solidFill>
              <w14:schemeClr w14:val="tx1">
                <w14:lumMod w14:val="95000"/>
                <w14:lumOff w14:val="5000"/>
              </w14:schemeClr>
            </w14:solidFill>
          </w14:textFill>
        </w:rPr>
        <w:fldChar w:fldCharType="begin"/>
      </w:r>
      <w:r>
        <w:rPr>
          <w:rFonts w:eastAsia="黑体"/>
          <w:b/>
          <w:color w:val="0D0D0D" w:themeColor="text1" w:themeTint="F2"/>
          <w14:textFill>
            <w14:solidFill>
              <w14:schemeClr w14:val="tx1">
                <w14:lumMod w14:val="95000"/>
                <w14:lumOff w14:val="5000"/>
              </w14:schemeClr>
            </w14:solidFill>
          </w14:textFill>
        </w:rPr>
        <w:instrText xml:space="preserve"> TOC \o "1-2" \h \z \u </w:instrText>
      </w:r>
      <w:r>
        <w:rPr>
          <w:rFonts w:eastAsia="黑体"/>
          <w:b/>
          <w:color w:val="0D0D0D" w:themeColor="text1" w:themeTint="F2"/>
          <w:kern w:val="0"/>
          <w14:textFill>
            <w14:solidFill>
              <w14:schemeClr w14:val="tx1">
                <w14:lumMod w14:val="95000"/>
                <w14:lumOff w14:val="5000"/>
              </w14:schemeClr>
            </w14:solidFill>
          </w14:textFill>
        </w:rPr>
        <w:fldChar w:fldCharType="separate"/>
      </w:r>
      <w:r>
        <w:rPr>
          <w:rFonts w:eastAsia="黑体"/>
          <w:color w:val="0D0D0D" w:themeColor="text1" w:themeTint="F2"/>
          <w:kern w:val="0"/>
          <w14:textFill>
            <w14:solidFill>
              <w14:schemeClr w14:val="tx1">
                <w14:lumMod w14:val="95000"/>
                <w14:lumOff w14:val="5000"/>
              </w14:schemeClr>
            </w14:solidFill>
          </w14:textFill>
        </w:rPr>
        <w:fldChar w:fldCharType="begin"/>
      </w:r>
      <w:r>
        <w:rPr>
          <w:rFonts w:eastAsia="黑体"/>
          <w:color w:val="0D0DFF" w:themeColor="hyperlink" w:themeTint="F2"/>
          <w:kern w:val="0"/>
          <w14:textFill>
            <w14:solidFill>
              <w14:schemeClr w14:val="hlink">
                <w14:lumMod w14:val="95000"/>
                <w14:lumOff w14:val="5000"/>
              </w14:schemeClr>
            </w14:solidFill>
          </w14:textFill>
        </w:rPr>
        <w:instrText xml:space="preserve"> HYPERLINK \l _Toc746 </w:instrText>
      </w:r>
      <w:r>
        <w:rPr>
          <w:rFonts w:eastAsia="黑体"/>
          <w:color w:val="0D0DFF" w:themeColor="hyperlink" w:themeTint="F2"/>
          <w:kern w:val="0"/>
          <w14:textFill>
            <w14:solidFill>
              <w14:schemeClr w14:val="hlink">
                <w14:lumMod w14:val="95000"/>
                <w14:lumOff w14:val="5000"/>
              </w14:schemeClr>
            </w14:solidFill>
          </w14:textFill>
        </w:rPr>
        <w:fldChar w:fldCharType="separate"/>
      </w:r>
      <w:r>
        <w:t>1 总则</w:t>
      </w:r>
      <w:r>
        <w:tab/>
      </w:r>
      <w:r>
        <w:fldChar w:fldCharType="begin"/>
      </w:r>
      <w:r>
        <w:instrText xml:space="preserve"> PAGEREF _Toc746 \h </w:instrText>
      </w:r>
      <w:r>
        <w:fldChar w:fldCharType="separate"/>
      </w:r>
      <w:r>
        <w:t>1</w:t>
      </w:r>
      <w:r>
        <w:fldChar w:fldCharType="end"/>
      </w:r>
      <w:r>
        <w:rPr>
          <w:rFonts w:eastAsia="黑体"/>
          <w:color w:val="0D0D0D" w:themeColor="text1" w:themeTint="F2"/>
          <w:kern w:val="0"/>
          <w14:textFill>
            <w14:solidFill>
              <w14:schemeClr w14:val="tx1">
                <w14:lumMod w14:val="95000"/>
                <w14:lumOff w14:val="5000"/>
              </w14:schemeClr>
            </w14:solidFill>
          </w14:textFill>
        </w:rPr>
        <w:fldChar w:fldCharType="end"/>
      </w:r>
    </w:p>
    <w:p w14:paraId="640A844A">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_Toc28381 </w:instrText>
      </w:r>
      <w:r>
        <w:rPr>
          <w:rFonts w:eastAsia="黑体"/>
          <w:color w:val="0D0DFF" w:themeColor="hyperlink" w:themeTint="F2"/>
          <w14:textFill>
            <w14:solidFill>
              <w14:schemeClr w14:val="hlink">
                <w14:lumMod w14:val="95000"/>
                <w14:lumOff w14:val="5000"/>
              </w14:schemeClr>
            </w14:solidFill>
          </w14:textFill>
        </w:rPr>
        <w:fldChar w:fldCharType="separate"/>
      </w:r>
      <w:r>
        <w:t>2 术语</w:t>
      </w:r>
      <w:r>
        <w:rPr>
          <w:rFonts w:hint="eastAsia"/>
        </w:rPr>
        <w:t>和符号</w:t>
      </w:r>
      <w:r>
        <w:tab/>
      </w:r>
      <w:r>
        <w:fldChar w:fldCharType="begin"/>
      </w:r>
      <w:r>
        <w:instrText xml:space="preserve"> PAGEREF _Toc28381 \h </w:instrText>
      </w:r>
      <w:r>
        <w:fldChar w:fldCharType="separate"/>
      </w:r>
      <w:r>
        <w:t>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2880D23">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_Toc606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2.1 </w:t>
      </w:r>
      <w:r>
        <w:rPr>
          <w:rFonts w:hint="eastAsia"/>
        </w:rPr>
        <w:t>术语</w:t>
      </w:r>
      <w:r>
        <w:tab/>
      </w:r>
      <w:r>
        <w:fldChar w:fldCharType="begin"/>
      </w:r>
      <w:r>
        <w:instrText xml:space="preserve"> PAGEREF _Toc606 \h </w:instrText>
      </w:r>
      <w:r>
        <w:fldChar w:fldCharType="separate"/>
      </w:r>
      <w:r>
        <w:t>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7E13CC80">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_Toc20733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2.2 </w:t>
      </w:r>
      <w:r>
        <w:rPr>
          <w:rFonts w:hint="eastAsia"/>
        </w:rPr>
        <w:t>符号</w:t>
      </w:r>
      <w:r>
        <w:tab/>
      </w:r>
      <w:r>
        <w:fldChar w:fldCharType="begin"/>
      </w:r>
      <w:r>
        <w:instrText xml:space="preserve"> PAGEREF _Toc20733 \h </w:instrText>
      </w:r>
      <w:r>
        <w:fldChar w:fldCharType="separate"/>
      </w:r>
      <w:r>
        <w:t>3</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53D098E7">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_Toc23593 </w:instrText>
      </w:r>
      <w:r>
        <w:rPr>
          <w:rFonts w:eastAsia="黑体"/>
          <w:color w:val="0D0DFF" w:themeColor="hyperlink" w:themeTint="F2"/>
          <w14:textFill>
            <w14:solidFill>
              <w14:schemeClr w14:val="hlink">
                <w14:lumMod w14:val="95000"/>
                <w14:lumOff w14:val="5000"/>
              </w14:schemeClr>
            </w14:solidFill>
          </w14:textFill>
        </w:rPr>
        <w:fldChar w:fldCharType="separate"/>
      </w:r>
      <w:r>
        <w:t xml:space="preserve">3 </w:t>
      </w:r>
      <w:r>
        <w:rPr>
          <w:rFonts w:hint="eastAsia"/>
        </w:rPr>
        <w:t>材料</w:t>
      </w:r>
      <w:r>
        <w:tab/>
      </w:r>
      <w:r>
        <w:fldChar w:fldCharType="begin"/>
      </w:r>
      <w:r>
        <w:instrText xml:space="preserve"> PAGEREF _Toc23593 \h </w:instrText>
      </w:r>
      <w:r>
        <w:fldChar w:fldCharType="separate"/>
      </w:r>
      <w:r>
        <w:t>5</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C9E46DC">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_Toc24119 </w:instrText>
      </w:r>
      <w:r>
        <w:rPr>
          <w:rFonts w:eastAsia="黑体"/>
          <w:color w:val="0D0DFF" w:themeColor="hyperlink" w:themeTint="F2"/>
          <w14:textFill>
            <w14:solidFill>
              <w14:schemeClr w14:val="hlink">
                <w14:lumMod w14:val="95000"/>
                <w14:lumOff w14:val="5000"/>
              </w14:schemeClr>
            </w14:solidFill>
          </w14:textFill>
        </w:rPr>
        <w:fldChar w:fldCharType="separate"/>
      </w:r>
      <w:r>
        <w:t xml:space="preserve">4 </w:t>
      </w:r>
      <w:r>
        <w:rPr>
          <w:rFonts w:hint="eastAsia"/>
          <w:lang w:val="en-US" w:eastAsia="zh-CN"/>
        </w:rPr>
        <w:t>设计基本规定</w:t>
      </w:r>
      <w:r>
        <w:tab/>
      </w:r>
      <w:r>
        <w:fldChar w:fldCharType="begin"/>
      </w:r>
      <w:r>
        <w:instrText xml:space="preserve"> PAGEREF _Toc24119 \h </w:instrText>
      </w:r>
      <w:r>
        <w:fldChar w:fldCharType="separate"/>
      </w:r>
      <w:r>
        <w:t>7</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7E308B10">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_Toc4941 </w:instrText>
      </w:r>
      <w:r>
        <w:rPr>
          <w:rFonts w:eastAsia="黑体"/>
          <w:color w:val="0D0DFF" w:themeColor="hyperlink" w:themeTint="F2"/>
          <w14:textFill>
            <w14:solidFill>
              <w14:schemeClr w14:val="hlink">
                <w14:lumMod w14:val="95000"/>
                <w14:lumOff w14:val="5000"/>
              </w14:schemeClr>
            </w14:solidFill>
          </w14:textFill>
        </w:rPr>
        <w:fldChar w:fldCharType="separate"/>
      </w:r>
      <w:r>
        <w:t xml:space="preserve">5 </w:t>
      </w:r>
      <w:r>
        <w:rPr>
          <w:rFonts w:hint="eastAsia"/>
          <w:lang w:val="en-US" w:eastAsia="zh-CN"/>
        </w:rPr>
        <w:t>结构分析与构件设计</w:t>
      </w:r>
      <w:r>
        <w:tab/>
      </w:r>
      <w:r>
        <w:fldChar w:fldCharType="begin"/>
      </w:r>
      <w:r>
        <w:instrText xml:space="preserve"> PAGEREF _Toc4941 \h </w:instrText>
      </w:r>
      <w:r>
        <w:fldChar w:fldCharType="separate"/>
      </w:r>
      <w:r>
        <w:t>11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11DEAB6">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_Toc4225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5.1 </w:t>
      </w:r>
      <w:r>
        <w:rPr>
          <w:rFonts w:hint="eastAsia"/>
        </w:rPr>
        <w:t>结构分析</w:t>
      </w:r>
      <w:r>
        <w:tab/>
      </w:r>
      <w:r>
        <w:fldChar w:fldCharType="begin"/>
      </w:r>
      <w:r>
        <w:instrText xml:space="preserve"> PAGEREF _Toc4225 \h </w:instrText>
      </w:r>
      <w:r>
        <w:fldChar w:fldCharType="separate"/>
      </w:r>
      <w:r>
        <w:t>11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E415A11">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_Toc6384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5.2 </w:t>
      </w:r>
      <w:r>
        <w:rPr>
          <w:rFonts w:hint="eastAsia"/>
          <w:lang w:val="en-US" w:eastAsia="zh-CN"/>
        </w:rPr>
        <w:t>构件与钢组件设计</w:t>
      </w:r>
      <w:r>
        <w:tab/>
      </w:r>
      <w:r>
        <w:fldChar w:fldCharType="begin"/>
      </w:r>
      <w:r>
        <w:instrText xml:space="preserve"> PAGEREF _Toc6384 \h </w:instrText>
      </w:r>
      <w:r>
        <w:fldChar w:fldCharType="separate"/>
      </w:r>
      <w:r>
        <w:t>11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588F2199">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_Toc3777 </w:instrText>
      </w:r>
      <w:r>
        <w:rPr>
          <w:rFonts w:eastAsia="黑体"/>
          <w:color w:val="0D0DFF" w:themeColor="hyperlink" w:themeTint="F2"/>
          <w14:textFill>
            <w14:solidFill>
              <w14:schemeClr w14:val="hlink">
                <w14:lumMod w14:val="95000"/>
                <w14:lumOff w14:val="5000"/>
              </w14:schemeClr>
            </w14:solidFill>
          </w14:textFill>
        </w:rPr>
        <w:fldChar w:fldCharType="separate"/>
      </w:r>
      <w:r>
        <w:t xml:space="preserve">6 </w:t>
      </w:r>
      <w:r>
        <w:rPr>
          <w:rFonts w:hint="eastAsia"/>
        </w:rPr>
        <w:t>连接</w:t>
      </w:r>
      <w:r>
        <w:rPr>
          <w:rFonts w:hint="eastAsia"/>
          <w:lang w:val="en-US" w:eastAsia="zh-CN"/>
        </w:rPr>
        <w:t>节点</w:t>
      </w:r>
      <w:r>
        <w:rPr>
          <w:rFonts w:hint="eastAsia"/>
        </w:rPr>
        <w:t>设计</w:t>
      </w:r>
      <w:r>
        <w:tab/>
      </w:r>
      <w:r>
        <w:fldChar w:fldCharType="begin"/>
      </w:r>
      <w:r>
        <w:instrText xml:space="preserve"> PAGEREF _Toc3777 \h </w:instrText>
      </w:r>
      <w:r>
        <w:fldChar w:fldCharType="separate"/>
      </w:r>
      <w:r>
        <w:t>33</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72E7749B">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_Toc5712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6.1 </w:t>
      </w:r>
      <w:r>
        <w:rPr>
          <w:rFonts w:hint="eastAsia"/>
          <w:lang w:val="en-US" w:eastAsia="zh-CN"/>
        </w:rPr>
        <w:t>梁柱连接节点</w:t>
      </w:r>
      <w:r>
        <w:tab/>
      </w:r>
      <w:r>
        <w:fldChar w:fldCharType="begin"/>
      </w:r>
      <w:r>
        <w:instrText xml:space="preserve"> PAGEREF _Toc5712 \h </w:instrText>
      </w:r>
      <w:r>
        <w:fldChar w:fldCharType="separate"/>
      </w:r>
      <w:r>
        <w:t>33</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0EEEAB2A">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_Toc9533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6.2 </w:t>
      </w:r>
      <w:r>
        <w:rPr>
          <w:rFonts w:hint="eastAsia"/>
        </w:rPr>
        <w:t>预制柱连接</w:t>
      </w:r>
      <w:r>
        <w:tab/>
      </w:r>
      <w:r>
        <w:fldChar w:fldCharType="begin"/>
      </w:r>
      <w:r>
        <w:instrText xml:space="preserve"> PAGEREF _Toc9533 \h </w:instrText>
      </w:r>
      <w:r>
        <w:fldChar w:fldCharType="separate"/>
      </w:r>
      <w:r>
        <w:t>38</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61371CC">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_Toc11864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6.3 </w:t>
      </w:r>
      <w:r>
        <w:rPr>
          <w:rFonts w:hint="eastAsia"/>
          <w:lang w:val="en-US" w:eastAsia="zh-CN"/>
        </w:rPr>
        <w:t>柱脚节点</w:t>
      </w:r>
      <w:r>
        <w:tab/>
      </w:r>
      <w:r>
        <w:fldChar w:fldCharType="begin"/>
      </w:r>
      <w:r>
        <w:instrText xml:space="preserve"> PAGEREF _Toc11864 \h </w:instrText>
      </w:r>
      <w:r>
        <w:fldChar w:fldCharType="separate"/>
      </w:r>
      <w:r>
        <w:t>41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3AF00E0">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_Toc15697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6.4 </w:t>
      </w:r>
      <w:r>
        <w:rPr>
          <w:rFonts w:hint="eastAsia"/>
          <w:lang w:eastAsia="zh-CN"/>
        </w:rPr>
        <w:t>楼盖节点</w:t>
      </w:r>
      <w:r>
        <w:tab/>
      </w:r>
      <w:r>
        <w:fldChar w:fldCharType="begin"/>
      </w:r>
      <w:r>
        <w:instrText xml:space="preserve"> PAGEREF _Toc15697 \h </w:instrText>
      </w:r>
      <w:r>
        <w:fldChar w:fldCharType="separate"/>
      </w:r>
      <w:r>
        <w:t>42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35EDEAD">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_Toc28089 </w:instrText>
      </w:r>
      <w:r>
        <w:rPr>
          <w:rFonts w:eastAsia="黑体"/>
          <w:color w:val="0D0DFF" w:themeColor="hyperlink" w:themeTint="F2"/>
          <w14:textFill>
            <w14:solidFill>
              <w14:schemeClr w14:val="hlink">
                <w14:lumMod w14:val="95000"/>
                <w14:lumOff w14:val="5000"/>
              </w14:schemeClr>
            </w14:solidFill>
          </w14:textFill>
        </w:rPr>
        <w:fldChar w:fldCharType="separate"/>
      </w:r>
      <w:r>
        <w:t xml:space="preserve">7 </w:t>
      </w:r>
      <w:r>
        <w:rPr>
          <w:rFonts w:hint="eastAsia"/>
        </w:rPr>
        <w:t>制作与</w:t>
      </w:r>
      <w:r>
        <w:rPr>
          <w:rFonts w:hint="eastAsia"/>
          <w:lang w:val="en-US" w:eastAsia="zh-CN"/>
        </w:rPr>
        <w:t>施工</w:t>
      </w:r>
      <w:r>
        <w:tab/>
      </w:r>
      <w:r>
        <w:fldChar w:fldCharType="begin"/>
      </w:r>
      <w:r>
        <w:instrText xml:space="preserve"> PAGEREF _Toc28089 \h </w:instrText>
      </w:r>
      <w:r>
        <w:fldChar w:fldCharType="separate"/>
      </w:r>
      <w:r>
        <w:t>46</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8F20815">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_Toc28663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7.1 </w:t>
      </w:r>
      <w:r>
        <w:t>一般规定</w:t>
      </w:r>
      <w:r>
        <w:tab/>
      </w:r>
      <w:r>
        <w:fldChar w:fldCharType="begin"/>
      </w:r>
      <w:r>
        <w:instrText xml:space="preserve"> PAGEREF _Toc28663 \h </w:instrText>
      </w:r>
      <w:r>
        <w:fldChar w:fldCharType="separate"/>
      </w:r>
      <w:r>
        <w:t>46</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95665EB">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_Toc27793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7.2 </w:t>
      </w:r>
      <w:r>
        <w:rPr>
          <w:rFonts w:hint="eastAsia"/>
        </w:rPr>
        <w:t>制作与检验</w:t>
      </w:r>
      <w:r>
        <w:tab/>
      </w:r>
      <w:r>
        <w:fldChar w:fldCharType="begin"/>
      </w:r>
      <w:r>
        <w:instrText xml:space="preserve"> PAGEREF _Toc27793 \h </w:instrText>
      </w:r>
      <w:r>
        <w:fldChar w:fldCharType="separate"/>
      </w:r>
      <w:r>
        <w:t>46</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18FF0E9">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_Toc29621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7.3 </w:t>
      </w:r>
      <w:r>
        <w:rPr>
          <w:rFonts w:hint="eastAsia"/>
        </w:rPr>
        <w:t>安装与连接</w:t>
      </w:r>
      <w:r>
        <w:tab/>
      </w:r>
      <w:r>
        <w:fldChar w:fldCharType="begin"/>
      </w:r>
      <w:r>
        <w:instrText xml:space="preserve"> PAGEREF _Toc29621 \h </w:instrText>
      </w:r>
      <w:r>
        <w:fldChar w:fldCharType="separate"/>
      </w:r>
      <w:r>
        <w:t>50</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0ADD533">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_Toc4773 </w:instrText>
      </w:r>
      <w:r>
        <w:rPr>
          <w:rFonts w:eastAsia="黑体"/>
          <w:color w:val="0D0DFF" w:themeColor="hyperlink" w:themeTint="F2"/>
          <w14:textFill>
            <w14:solidFill>
              <w14:schemeClr w14:val="hlink">
                <w14:lumMod w14:val="95000"/>
                <w14:lumOff w14:val="5000"/>
              </w14:schemeClr>
            </w14:solidFill>
          </w14:textFill>
        </w:rPr>
        <w:fldChar w:fldCharType="separate"/>
      </w:r>
      <w:r>
        <w:t xml:space="preserve">8 </w:t>
      </w:r>
      <w:r>
        <w:rPr>
          <w:rFonts w:hint="eastAsia"/>
        </w:rPr>
        <w:t>质量</w:t>
      </w:r>
      <w:r>
        <w:t>验收</w:t>
      </w:r>
      <w:r>
        <w:tab/>
      </w:r>
      <w:r>
        <w:fldChar w:fldCharType="begin"/>
      </w:r>
      <w:r>
        <w:instrText xml:space="preserve"> PAGEREF _Toc4773 \h </w:instrText>
      </w:r>
      <w:r>
        <w:fldChar w:fldCharType="separate"/>
      </w:r>
      <w:r>
        <w:t>52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6A50244F">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_Toc22319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8.1 </w:t>
      </w:r>
      <w:r>
        <w:t>一般规定</w:t>
      </w:r>
      <w:r>
        <w:tab/>
      </w:r>
      <w:r>
        <w:fldChar w:fldCharType="begin"/>
      </w:r>
      <w:r>
        <w:instrText xml:space="preserve"> PAGEREF _Toc22319 \h </w:instrText>
      </w:r>
      <w:r>
        <w:fldChar w:fldCharType="separate"/>
      </w:r>
      <w:r>
        <w:t>52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364444E9">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_Toc10804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8.2 </w:t>
      </w:r>
      <w:r>
        <w:rPr>
          <w:rFonts w:hint="eastAsia"/>
        </w:rPr>
        <w:t>预制构件进场验收</w:t>
      </w:r>
      <w:r>
        <w:tab/>
      </w:r>
      <w:r>
        <w:fldChar w:fldCharType="begin"/>
      </w:r>
      <w:r>
        <w:instrText xml:space="preserve"> PAGEREF _Toc10804 \h </w:instrText>
      </w:r>
      <w:r>
        <w:fldChar w:fldCharType="separate"/>
      </w:r>
      <w:r>
        <w:t>53</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914B84E">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_Toc296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szCs w:val="24"/>
        </w:rPr>
        <w:t xml:space="preserve">8.3 </w:t>
      </w:r>
      <w:r>
        <w:rPr>
          <w:rFonts w:hint="eastAsia"/>
          <w:szCs w:val="24"/>
        </w:rPr>
        <w:t>安装与连接质量验收</w:t>
      </w:r>
      <w:r>
        <w:tab/>
      </w:r>
      <w:r>
        <w:fldChar w:fldCharType="begin"/>
      </w:r>
      <w:r>
        <w:instrText xml:space="preserve"> PAGEREF _Toc296 \h </w:instrText>
      </w:r>
      <w:r>
        <w:fldChar w:fldCharType="separate"/>
      </w:r>
      <w:r>
        <w:t>54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31684D4">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_Toc13935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eastAsia="zh-CN"/>
        </w:rPr>
        <w:t>附录</w:t>
      </w:r>
      <w:r>
        <w:rPr>
          <w:rFonts w:hint="eastAsia"/>
          <w:lang w:val="en-US" w:eastAsia="zh-CN"/>
        </w:rPr>
        <w:t>A 柱端钢组件拉伸性能检验</w:t>
      </w:r>
      <w:r>
        <w:tab/>
      </w:r>
      <w:r>
        <w:fldChar w:fldCharType="begin"/>
      </w:r>
      <w:r>
        <w:instrText xml:space="preserve"> PAGEREF _Toc13935 \h </w:instrText>
      </w:r>
      <w:r>
        <w:fldChar w:fldCharType="separate"/>
      </w:r>
      <w:r>
        <w:t>57</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6C9520CE">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_Toc10661 </w:instrText>
      </w:r>
      <w:r>
        <w:rPr>
          <w:rFonts w:eastAsia="黑体"/>
          <w:color w:val="0D0DFF" w:themeColor="hyperlink" w:themeTint="F2"/>
          <w14:textFill>
            <w14:solidFill>
              <w14:schemeClr w14:val="hlink">
                <w14:lumMod w14:val="95000"/>
                <w14:lumOff w14:val="5000"/>
              </w14:schemeClr>
            </w14:solidFill>
          </w14:textFill>
        </w:rPr>
        <w:fldChar w:fldCharType="separate"/>
      </w:r>
      <w:r>
        <w:t>用词说明</w:t>
      </w:r>
      <w:r>
        <w:tab/>
      </w:r>
      <w:r>
        <w:fldChar w:fldCharType="begin"/>
      </w:r>
      <w:r>
        <w:instrText xml:space="preserve"> PAGEREF _Toc10661 \h </w:instrText>
      </w:r>
      <w:r>
        <w:fldChar w:fldCharType="separate"/>
      </w:r>
      <w:r>
        <w:t>58</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5424F53C">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_Toc4754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rPr>
        <w:t>引用</w:t>
      </w:r>
      <w:r>
        <w:t>标准名录</w:t>
      </w:r>
      <w:r>
        <w:tab/>
      </w:r>
      <w:r>
        <w:fldChar w:fldCharType="begin"/>
      </w:r>
      <w:r>
        <w:instrText xml:space="preserve"> PAGEREF _Toc4754 \h </w:instrText>
      </w:r>
      <w:r>
        <w:fldChar w:fldCharType="separate"/>
      </w:r>
      <w:r>
        <w:t>59</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C98F87E">
      <w:pPr>
        <w:pStyle w:val="20"/>
        <w:tabs>
          <w:tab w:val="right" w:leader="dot" w:pos="8300"/>
          <w:tab w:val="clear" w:pos="420"/>
          <w:tab w:val="clear" w:pos="8296"/>
        </w:tabs>
      </w:pPr>
      <w:r>
        <w:rPr>
          <w:rFonts w:hint="eastAsia" w:ascii="Times New Roman" w:hAnsi="Times New Roman" w:cs="Times New Roman"/>
          <w:kern w:val="2"/>
          <w:szCs w:val="32"/>
          <w:lang w:val="en-US" w:eastAsia="zh-CN"/>
        </w:rPr>
        <w:t>附：</w:t>
      </w: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_Toc23824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Times New Roman" w:hAnsi="Times New Roman" w:cs="Times New Roman"/>
          <w:kern w:val="2"/>
          <w:szCs w:val="32"/>
        </w:rPr>
        <w:t>条文说明</w:t>
      </w:r>
      <w:r>
        <w:tab/>
      </w:r>
      <w:r>
        <w:fldChar w:fldCharType="begin"/>
      </w:r>
      <w:r>
        <w:instrText xml:space="preserve"> PAGEREF _Toc23824 \h </w:instrText>
      </w:r>
      <w:r>
        <w:fldChar w:fldCharType="separate"/>
      </w:r>
      <w:r>
        <w:t>61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5EED9104">
      <w:pPr>
        <w:spacing w:before="312" w:beforeLines="100" w:after="312" w:afterLines="100"/>
        <w:ind w:firstLine="482"/>
        <w:jc w:val="center"/>
        <w:rPr>
          <w:rFonts w:eastAsia="仿宋_GB2312"/>
          <w:b/>
          <w:color w:val="0D0D0D" w:themeColor="text1" w:themeTint="F2"/>
          <w14:textFill>
            <w14:solidFill>
              <w14:schemeClr w14:val="tx1">
                <w14:lumMod w14:val="95000"/>
                <w14:lumOff w14:val="5000"/>
              </w14:schemeClr>
            </w14:solidFill>
          </w14:textFill>
        </w:rPr>
      </w:pPr>
      <w:r>
        <w:rPr>
          <w:rFonts w:eastAsia="黑体"/>
          <w:color w:val="0D0D0D" w:themeColor="text1" w:themeTint="F2"/>
          <w14:textFill>
            <w14:solidFill>
              <w14:schemeClr w14:val="tx1">
                <w14:lumMod w14:val="95000"/>
                <w14:lumOff w14:val="5000"/>
              </w14:schemeClr>
            </w14:solidFill>
          </w14:textFill>
        </w:rPr>
        <w:fldChar w:fldCharType="end"/>
      </w:r>
    </w:p>
    <w:p w14:paraId="161C8765">
      <w:pPr>
        <w:ind w:firstLine="482"/>
        <w:jc w:val="distribute"/>
        <w:rPr>
          <w:rFonts w:eastAsia="仿宋_GB2312"/>
          <w:b/>
          <w:color w:val="0D0D0D" w:themeColor="text1" w:themeTint="F2"/>
          <w14:textFill>
            <w14:solidFill>
              <w14:schemeClr w14:val="tx1">
                <w14:lumMod w14:val="95000"/>
                <w14:lumOff w14:val="5000"/>
              </w14:schemeClr>
            </w14:solidFill>
          </w14:textFill>
        </w:rPr>
        <w:sectPr>
          <w:headerReference r:id="rId6" w:type="first"/>
          <w:footerReference r:id="rId9" w:type="first"/>
          <w:headerReference r:id="rId5" w:type="default"/>
          <w:footerReference r:id="rId7" w:type="default"/>
          <w:footerReference r:id="rId8" w:type="even"/>
          <w:pgSz w:w="11906" w:h="16838"/>
          <w:pgMar w:top="1440" w:right="1803" w:bottom="1440" w:left="1803" w:header="283" w:footer="850" w:gutter="0"/>
          <w:pgNumType w:fmt="decimal"/>
          <w:cols w:space="0" w:num="1"/>
          <w:titlePg/>
          <w:rtlGutter w:val="0"/>
          <w:docGrid w:type="lines" w:linePitch="328" w:charSpace="0"/>
        </w:sectPr>
      </w:pPr>
    </w:p>
    <w:p w14:paraId="253D5AD3">
      <w:pPr>
        <w:pStyle w:val="39"/>
        <w:spacing w:before="312" w:after="312"/>
      </w:pPr>
      <w:bookmarkStart w:id="4" w:name="_Toc10126"/>
      <w:r>
        <w:rPr>
          <w:rFonts w:hint="eastAsia"/>
          <w:lang w:val="en-US" w:eastAsia="zh-CN"/>
        </w:rPr>
        <w:t xml:space="preserve"> </w:t>
      </w:r>
      <w:bookmarkStart w:id="5" w:name="_Toc746"/>
      <w:r>
        <w:t>总则</w:t>
      </w:r>
      <w:bookmarkEnd w:id="0"/>
      <w:bookmarkEnd w:id="1"/>
      <w:bookmarkEnd w:id="4"/>
      <w:bookmarkEnd w:id="5"/>
    </w:p>
    <w:p w14:paraId="6C012D2E">
      <w:pPr>
        <w:pStyle w:val="42"/>
        <w:numPr>
          <w:ilvl w:val="0"/>
          <w:numId w:val="4"/>
        </w:numPr>
        <w:rPr>
          <w:color w:val="auto"/>
        </w:rPr>
      </w:pPr>
      <w:r>
        <w:rPr>
          <w:color w:val="auto"/>
        </w:rPr>
        <w:t>为</w:t>
      </w:r>
      <w:r>
        <w:rPr>
          <w:rFonts w:hint="eastAsia"/>
          <w:color w:val="auto"/>
        </w:rPr>
        <w:t>规范和</w:t>
      </w:r>
      <w:r>
        <w:rPr>
          <w:color w:val="auto"/>
        </w:rPr>
        <w:t>促进</w:t>
      </w:r>
      <w:r>
        <w:rPr>
          <w:rFonts w:hint="eastAsia"/>
          <w:color w:val="auto"/>
          <w:lang w:val="en-US" w:eastAsia="zh-CN"/>
        </w:rPr>
        <w:t>钢组件连接装配式混凝土</w:t>
      </w:r>
      <w:r>
        <w:rPr>
          <w:rFonts w:hint="default"/>
          <w:color w:val="auto"/>
        </w:rPr>
        <w:t>框架结构</w:t>
      </w:r>
      <w:r>
        <w:rPr>
          <w:rFonts w:hint="eastAsia"/>
          <w:color w:val="auto"/>
          <w:lang w:val="en-US" w:eastAsia="zh-CN"/>
        </w:rPr>
        <w:t>技术</w:t>
      </w:r>
      <w:r>
        <w:rPr>
          <w:rFonts w:hint="eastAsia"/>
          <w:color w:val="auto"/>
        </w:rPr>
        <w:t>的</w:t>
      </w:r>
      <w:r>
        <w:rPr>
          <w:color w:val="auto"/>
        </w:rPr>
        <w:t>应用，</w:t>
      </w:r>
      <w:r>
        <w:rPr>
          <w:rFonts w:hint="eastAsia"/>
          <w:color w:val="auto"/>
        </w:rPr>
        <w:t>做到安全适用、技术先进、经济合理、质量可靠</w:t>
      </w:r>
      <w:r>
        <w:rPr>
          <w:color w:val="auto"/>
        </w:rPr>
        <w:t>，制定本规程。</w:t>
      </w:r>
    </w:p>
    <w:p w14:paraId="6FE4C8C7">
      <w:pPr>
        <w:pStyle w:val="42"/>
        <w:numPr>
          <w:ilvl w:val="0"/>
          <w:numId w:val="4"/>
        </w:numPr>
        <w:rPr>
          <w:color w:val="auto"/>
        </w:rPr>
      </w:pPr>
      <w:r>
        <w:rPr>
          <w:color w:val="auto"/>
        </w:rPr>
        <w:t>本规程适用于</w:t>
      </w:r>
      <w:r>
        <w:rPr>
          <w:rFonts w:hint="eastAsia"/>
          <w:color w:val="auto"/>
        </w:rPr>
        <w:t>抗震设防烈度为8度及以下地区</w:t>
      </w:r>
      <w:r>
        <w:rPr>
          <w:rFonts w:hint="eastAsia"/>
          <w:color w:val="auto"/>
          <w:lang w:val="en-US" w:eastAsia="zh-CN"/>
        </w:rPr>
        <w:t>工业与民用建（构）筑物的钢组件连接装配式混凝土框架</w:t>
      </w:r>
      <w:r>
        <w:rPr>
          <w:rFonts w:hint="default"/>
          <w:color w:val="auto"/>
        </w:rPr>
        <w:t>结构</w:t>
      </w:r>
      <w:r>
        <w:rPr>
          <w:rFonts w:hint="eastAsia"/>
          <w:color w:val="auto"/>
        </w:rPr>
        <w:t>的设计、制作、施工及验收。</w:t>
      </w:r>
    </w:p>
    <w:p w14:paraId="756CD581">
      <w:pPr>
        <w:pStyle w:val="42"/>
        <w:numPr>
          <w:ilvl w:val="0"/>
          <w:numId w:val="4"/>
        </w:numPr>
        <w:rPr>
          <w:color w:val="auto"/>
        </w:rPr>
        <w:sectPr>
          <w:footerReference r:id="rId12" w:type="first"/>
          <w:footerReference r:id="rId10" w:type="default"/>
          <w:footerReference r:id="rId11" w:type="even"/>
          <w:pgSz w:w="11906" w:h="16838"/>
          <w:pgMar w:top="1440" w:right="1803" w:bottom="1440" w:left="1803" w:header="283" w:footer="850" w:gutter="0"/>
          <w:pgNumType w:fmt="decimal" w:start="1"/>
          <w:cols w:space="0" w:num="1"/>
          <w:titlePg/>
          <w:rtlGutter w:val="0"/>
          <w:docGrid w:type="lines" w:linePitch="328" w:charSpace="0"/>
        </w:sectPr>
      </w:pPr>
      <w:r>
        <w:rPr>
          <w:rFonts w:hint="eastAsia"/>
          <w:color w:val="auto"/>
          <w:lang w:val="en-US" w:eastAsia="zh-CN"/>
        </w:rPr>
        <w:t>钢组件连接装配式混凝土</w:t>
      </w:r>
      <w:r>
        <w:rPr>
          <w:rFonts w:hint="default"/>
          <w:color w:val="auto"/>
        </w:rPr>
        <w:t>框架结构</w:t>
      </w:r>
      <w:r>
        <w:rPr>
          <w:rFonts w:hint="eastAsia"/>
          <w:color w:val="auto"/>
        </w:rPr>
        <w:t>的设计、制作、施工及验收，除应符合本规程的规定外，尚应符合国家现行有关标准的规定。</w:t>
      </w:r>
      <w:bookmarkStart w:id="6" w:name="_Toc437556856"/>
      <w:bookmarkStart w:id="7" w:name="_Toc10098"/>
    </w:p>
    <w:p w14:paraId="3D11CAA6">
      <w:pPr>
        <w:pStyle w:val="39"/>
        <w:spacing w:before="312" w:after="312"/>
      </w:pPr>
      <w:bookmarkStart w:id="8" w:name="_Toc25517"/>
      <w:r>
        <w:rPr>
          <w:rFonts w:hint="eastAsia"/>
          <w:lang w:val="en-US" w:eastAsia="zh-CN"/>
        </w:rPr>
        <w:t xml:space="preserve"> </w:t>
      </w:r>
      <w:bookmarkStart w:id="9" w:name="_Toc28381"/>
      <w:r>
        <w:t>术语</w:t>
      </w:r>
      <w:bookmarkEnd w:id="6"/>
      <w:bookmarkEnd w:id="7"/>
      <w:r>
        <w:rPr>
          <w:rFonts w:hint="eastAsia"/>
        </w:rPr>
        <w:t>和符号</w:t>
      </w:r>
      <w:bookmarkEnd w:id="8"/>
      <w:bookmarkEnd w:id="9"/>
    </w:p>
    <w:p w14:paraId="40CD84B1">
      <w:pPr>
        <w:pStyle w:val="41"/>
        <w:spacing w:before="312" w:after="312"/>
      </w:pPr>
      <w:bookmarkStart w:id="10" w:name="_Toc32473"/>
      <w:bookmarkStart w:id="11" w:name="_Toc606"/>
      <w:r>
        <w:rPr>
          <w:rFonts w:hint="eastAsia"/>
        </w:rPr>
        <w:t>术语</w:t>
      </w:r>
      <w:bookmarkEnd w:id="10"/>
      <w:bookmarkEnd w:id="11"/>
    </w:p>
    <w:p w14:paraId="78C88306">
      <w:pPr>
        <w:pStyle w:val="42"/>
        <w:rPr>
          <w:rFonts w:hint="eastAsia"/>
        </w:rPr>
      </w:pPr>
      <w:bookmarkStart w:id="12" w:name="OLE_LINK8"/>
      <w:bookmarkStart w:id="13" w:name="_Toc437556858"/>
      <w:bookmarkStart w:id="14" w:name="_Toc23792"/>
      <w:r>
        <w:rPr>
          <w:rFonts w:hint="eastAsia"/>
          <w:lang w:val="en-US" w:eastAsia="zh-CN"/>
        </w:rPr>
        <w:t>钢组件连接装配式混凝土框架结构</w:t>
      </w:r>
      <w:bookmarkEnd w:id="12"/>
      <w:r>
        <w:rPr>
          <w:rFonts w:hint="eastAsia"/>
          <w:lang w:val="en-US" w:eastAsia="zh-CN"/>
        </w:rPr>
        <w:t xml:space="preserve"> precast concrete frame structures with steel component connection</w:t>
      </w:r>
    </w:p>
    <w:p w14:paraId="4D5DC4A7">
      <w:pPr>
        <w:bidi w:val="0"/>
        <w:rPr>
          <w:rFonts w:hint="default" w:eastAsia="宋体"/>
          <w:lang w:val="en-US" w:eastAsia="zh-CN"/>
        </w:rPr>
      </w:pPr>
      <w:r>
        <w:rPr>
          <w:rFonts w:hint="eastAsia"/>
          <w:lang w:val="en-US" w:eastAsia="zh-CN"/>
        </w:rPr>
        <w:t>预制柱、预制梁通过钢组件连接的装配式混凝土框架结构，简称钢组件框架结构</w:t>
      </w:r>
      <w:r>
        <w:rPr>
          <w:rFonts w:hint="eastAsia"/>
        </w:rPr>
        <w:t>。</w:t>
      </w:r>
      <w:r>
        <w:rPr>
          <w:rFonts w:hint="eastAsia"/>
          <w:lang w:val="en-US" w:eastAsia="zh-CN"/>
        </w:rPr>
        <w:t>当预制柱采用矩形柱时，简称矩形柱钢组件框架结构；当预制柱采用异形柱时，简称异形柱钢组件框架结构。</w:t>
      </w:r>
    </w:p>
    <w:p w14:paraId="61A61BBF">
      <w:pPr>
        <w:pStyle w:val="42"/>
        <w:rPr>
          <w:rFonts w:hint="eastAsia"/>
        </w:rPr>
      </w:pPr>
      <w:r>
        <w:rPr>
          <w:rFonts w:hint="eastAsia"/>
          <w:lang w:val="en-US" w:eastAsia="zh-CN"/>
        </w:rPr>
        <w:t>钢组件 steel component</w:t>
      </w:r>
    </w:p>
    <w:p w14:paraId="5BFE8C26">
      <w:pPr>
        <w:bidi w:val="0"/>
        <w:rPr>
          <w:rFonts w:hint="eastAsia"/>
        </w:rPr>
      </w:pPr>
      <w:r>
        <w:rPr>
          <w:rFonts w:hint="eastAsia"/>
          <w:lang w:val="en-US" w:eastAsia="zh-CN"/>
        </w:rPr>
        <w:t>设置</w:t>
      </w:r>
      <w:r>
        <w:rPr>
          <w:rFonts w:hint="eastAsia"/>
        </w:rPr>
        <w:t>在</w:t>
      </w:r>
      <w:r>
        <w:rPr>
          <w:rFonts w:hint="eastAsia"/>
          <w:lang w:val="en-US" w:eastAsia="zh-CN"/>
        </w:rPr>
        <w:t>预制</w:t>
      </w:r>
      <w:r>
        <w:rPr>
          <w:rFonts w:hint="eastAsia"/>
        </w:rPr>
        <w:t>混凝土梁</w:t>
      </w:r>
      <w:r>
        <w:rPr>
          <w:rFonts w:hint="eastAsia"/>
          <w:lang w:eastAsia="zh-CN"/>
        </w:rPr>
        <w:t>、</w:t>
      </w:r>
      <w:r>
        <w:rPr>
          <w:rFonts w:hint="eastAsia"/>
          <w:lang w:val="en-US" w:eastAsia="zh-CN"/>
        </w:rPr>
        <w:t>柱构件节点及连接处，用于实现预制梁、柱连接的钢制组件。</w:t>
      </w:r>
      <w:r>
        <w:rPr>
          <w:rFonts w:hint="eastAsia"/>
        </w:rPr>
        <w:t>根据所在部位，分为</w:t>
      </w:r>
      <w:r>
        <w:rPr>
          <w:rFonts w:hint="eastAsia"/>
          <w:lang w:val="en-US" w:eastAsia="zh-CN"/>
        </w:rPr>
        <w:t>节点域钢组件、</w:t>
      </w:r>
      <w:r>
        <w:rPr>
          <w:rFonts w:hint="eastAsia"/>
        </w:rPr>
        <w:t>梁端</w:t>
      </w:r>
      <w:r>
        <w:rPr>
          <w:rFonts w:hint="eastAsia"/>
          <w:lang w:eastAsia="zh-CN"/>
        </w:rPr>
        <w:t>钢组件</w:t>
      </w:r>
      <w:r>
        <w:rPr>
          <w:rFonts w:hint="eastAsia"/>
        </w:rPr>
        <w:t>、柱端钢</w:t>
      </w:r>
      <w:r>
        <w:rPr>
          <w:rFonts w:hint="eastAsia"/>
          <w:lang w:val="en-US" w:eastAsia="zh-CN"/>
        </w:rPr>
        <w:t>组件</w:t>
      </w:r>
      <w:r>
        <w:rPr>
          <w:rFonts w:hint="eastAsia"/>
          <w:lang w:eastAsia="zh-CN"/>
        </w:rPr>
        <w:t>、</w:t>
      </w:r>
      <w:r>
        <w:rPr>
          <w:rFonts w:hint="eastAsia"/>
          <w:lang w:val="en-US" w:eastAsia="zh-CN"/>
        </w:rPr>
        <w:t>柱侧钢组件等</w:t>
      </w:r>
      <w:r>
        <w:rPr>
          <w:rFonts w:hint="eastAsia"/>
        </w:rPr>
        <w:t>。</w:t>
      </w:r>
    </w:p>
    <w:p w14:paraId="12DAC170">
      <w:pPr>
        <w:pStyle w:val="42"/>
        <w:rPr>
          <w:rFonts w:hint="eastAsia"/>
        </w:rPr>
      </w:pPr>
      <w:r>
        <w:rPr>
          <w:rFonts w:hint="eastAsia"/>
          <w:lang w:val="en-US" w:eastAsia="zh-CN"/>
        </w:rPr>
        <w:t>节点域钢组件 joint steel component</w:t>
      </w:r>
    </w:p>
    <w:p w14:paraId="4AD47AA9">
      <w:pPr>
        <w:bidi w:val="0"/>
        <w:rPr>
          <w:rFonts w:hint="eastAsia"/>
        </w:rPr>
      </w:pPr>
      <w:r>
        <w:rPr>
          <w:rFonts w:hint="eastAsia"/>
          <w:lang w:val="en-US" w:eastAsia="zh-CN"/>
        </w:rPr>
        <w:t>设置</w:t>
      </w:r>
      <w:r>
        <w:rPr>
          <w:rFonts w:hint="eastAsia"/>
        </w:rPr>
        <w:t>在</w:t>
      </w:r>
      <w:r>
        <w:rPr>
          <w:rFonts w:hint="eastAsia"/>
          <w:lang w:val="en-US" w:eastAsia="zh-CN"/>
        </w:rPr>
        <w:t>预制</w:t>
      </w:r>
      <w:r>
        <w:rPr>
          <w:rFonts w:hint="eastAsia"/>
        </w:rPr>
        <w:t>混凝土梁</w:t>
      </w:r>
      <w:r>
        <w:rPr>
          <w:rFonts w:hint="eastAsia"/>
          <w:lang w:val="en-US" w:eastAsia="zh-CN"/>
        </w:rPr>
        <w:t>柱节点域内，用于预制柱与预制梁连接的钢组件</w:t>
      </w:r>
      <w:r>
        <w:rPr>
          <w:rFonts w:hint="eastAsia"/>
        </w:rPr>
        <w:t>。</w:t>
      </w:r>
    </w:p>
    <w:p w14:paraId="655756C7">
      <w:pPr>
        <w:pStyle w:val="42"/>
        <w:rPr>
          <w:rFonts w:hint="eastAsia"/>
        </w:rPr>
      </w:pPr>
      <w:r>
        <w:rPr>
          <w:rFonts w:hint="eastAsia"/>
          <w:lang w:val="en-US" w:eastAsia="zh-CN"/>
        </w:rPr>
        <w:t xml:space="preserve">梁端钢组件 steel component at the end of beam </w:t>
      </w:r>
    </w:p>
    <w:p w14:paraId="71CFDF0E">
      <w:pPr>
        <w:bidi w:val="0"/>
        <w:rPr>
          <w:rFonts w:hint="eastAsia"/>
        </w:rPr>
      </w:pPr>
      <w:r>
        <w:rPr>
          <w:rFonts w:hint="eastAsia"/>
          <w:lang w:val="en-US" w:eastAsia="zh-CN"/>
        </w:rPr>
        <w:t>设置</w:t>
      </w:r>
      <w:r>
        <w:rPr>
          <w:rFonts w:hint="eastAsia"/>
        </w:rPr>
        <w:t>在</w:t>
      </w:r>
      <w:r>
        <w:rPr>
          <w:rFonts w:hint="eastAsia"/>
          <w:lang w:val="en-US" w:eastAsia="zh-CN"/>
        </w:rPr>
        <w:t>预制</w:t>
      </w:r>
      <w:r>
        <w:rPr>
          <w:rFonts w:hint="eastAsia"/>
        </w:rPr>
        <w:t>混凝土梁</w:t>
      </w:r>
      <w:r>
        <w:rPr>
          <w:rFonts w:hint="eastAsia"/>
          <w:lang w:val="en-US" w:eastAsia="zh-CN"/>
        </w:rPr>
        <w:t>的端部，用于预制梁与预制柱连接的钢组件</w:t>
      </w:r>
      <w:r>
        <w:rPr>
          <w:rFonts w:hint="eastAsia"/>
        </w:rPr>
        <w:t>。</w:t>
      </w:r>
    </w:p>
    <w:p w14:paraId="24A23210">
      <w:pPr>
        <w:pStyle w:val="42"/>
        <w:rPr>
          <w:rFonts w:hint="eastAsia"/>
        </w:rPr>
      </w:pPr>
      <w:r>
        <w:rPr>
          <w:rFonts w:hint="eastAsia"/>
          <w:lang w:val="en-US" w:eastAsia="zh-CN"/>
        </w:rPr>
        <w:t>柱侧钢组件 steel component at the side of column</w:t>
      </w:r>
    </w:p>
    <w:p w14:paraId="38F64E98">
      <w:pPr>
        <w:bidi w:val="0"/>
        <w:rPr>
          <w:rFonts w:hint="eastAsia"/>
        </w:rPr>
      </w:pPr>
      <w:r>
        <w:rPr>
          <w:rFonts w:hint="eastAsia"/>
          <w:lang w:val="en-US" w:eastAsia="zh-CN"/>
        </w:rPr>
        <w:t>设置</w:t>
      </w:r>
      <w:r>
        <w:rPr>
          <w:rFonts w:hint="eastAsia"/>
        </w:rPr>
        <w:t>在</w:t>
      </w:r>
      <w:r>
        <w:rPr>
          <w:rFonts w:hint="eastAsia"/>
          <w:lang w:val="en-US" w:eastAsia="zh-CN"/>
        </w:rPr>
        <w:t>预制</w:t>
      </w:r>
      <w:r>
        <w:rPr>
          <w:rFonts w:hint="eastAsia"/>
        </w:rPr>
        <w:t>混凝土</w:t>
      </w:r>
      <w:r>
        <w:rPr>
          <w:rFonts w:hint="eastAsia"/>
          <w:lang w:val="en-US" w:eastAsia="zh-CN"/>
        </w:rPr>
        <w:t>柱的侧边，用于预制柱与预制梁连接的钢组件</w:t>
      </w:r>
      <w:r>
        <w:rPr>
          <w:rFonts w:hint="eastAsia"/>
        </w:rPr>
        <w:t>。</w:t>
      </w:r>
    </w:p>
    <w:p w14:paraId="074ED734">
      <w:pPr>
        <w:pStyle w:val="42"/>
        <w:rPr>
          <w:rFonts w:hint="eastAsia"/>
        </w:rPr>
      </w:pPr>
      <w:r>
        <w:rPr>
          <w:rFonts w:hint="eastAsia"/>
          <w:lang w:val="en-US" w:eastAsia="zh-CN"/>
        </w:rPr>
        <w:t xml:space="preserve">柱端钢组件 steel component at the end of column </w:t>
      </w:r>
    </w:p>
    <w:p w14:paraId="04143CF5">
      <w:pPr>
        <w:bidi w:val="0"/>
        <w:rPr>
          <w:rFonts w:hint="eastAsia"/>
          <w:lang w:val="en-US" w:eastAsia="zh-CN"/>
        </w:rPr>
      </w:pPr>
      <w:r>
        <w:rPr>
          <w:rFonts w:hint="eastAsia"/>
          <w:lang w:val="en-US" w:eastAsia="zh-CN"/>
        </w:rPr>
        <w:t>设置</w:t>
      </w:r>
      <w:r>
        <w:rPr>
          <w:rFonts w:hint="eastAsia"/>
        </w:rPr>
        <w:t>在</w:t>
      </w:r>
      <w:r>
        <w:rPr>
          <w:rFonts w:hint="eastAsia"/>
          <w:lang w:val="en-US" w:eastAsia="zh-CN"/>
        </w:rPr>
        <w:t>预制</w:t>
      </w:r>
      <w:r>
        <w:rPr>
          <w:rFonts w:hint="eastAsia"/>
        </w:rPr>
        <w:t>混凝土</w:t>
      </w:r>
      <w:r>
        <w:rPr>
          <w:rFonts w:hint="eastAsia"/>
          <w:lang w:val="en-US" w:eastAsia="zh-CN"/>
        </w:rPr>
        <w:t>柱的端部，用于上下节预制柱连接、预制柱与基础连接的钢组件，包括整体式柱端钢组件和分体式柱端钢组件。</w:t>
      </w:r>
    </w:p>
    <w:p w14:paraId="3436815D">
      <w:pPr>
        <w:pStyle w:val="42"/>
        <w:rPr>
          <w:rFonts w:hint="eastAsia"/>
        </w:rPr>
      </w:pPr>
      <w:r>
        <w:rPr>
          <w:rFonts w:hint="eastAsia" w:ascii="Times New Roman" w:hAnsi="Times New Roman" w:cs="Times New Roman"/>
          <w:lang w:val="en-US" w:eastAsia="zh-CN"/>
        </w:rPr>
        <w:t>A型梁柱连接 type A</w:t>
      </w:r>
      <w:r>
        <w:rPr>
          <w:rFonts w:hint="eastAsia" w:cs="Times New Roman"/>
          <w:lang w:val="en-US" w:eastAsia="zh-CN"/>
        </w:rPr>
        <w:t xml:space="preserve"> beam-column connection</w:t>
      </w:r>
      <w:r>
        <w:rPr>
          <w:rFonts w:hint="eastAsia"/>
          <w:lang w:val="en-US" w:eastAsia="zh-CN"/>
        </w:rPr>
        <w:t xml:space="preserve"> </w:t>
      </w:r>
    </w:p>
    <w:p w14:paraId="527716FB">
      <w:pPr>
        <w:bidi w:val="0"/>
        <w:rPr>
          <w:rFonts w:hint="eastAsia"/>
          <w:lang w:val="en-US" w:eastAsia="zh-CN"/>
        </w:rPr>
      </w:pPr>
      <w:r>
        <w:rPr>
          <w:rFonts w:hint="eastAsia"/>
          <w:lang w:val="en-US" w:eastAsia="zh-CN"/>
        </w:rPr>
        <w:t>采用梁端钢组件与节点域钢组件栓焊连接的预制梁与预制柱连接方式。</w:t>
      </w:r>
    </w:p>
    <w:p w14:paraId="227FD860">
      <w:pPr>
        <w:pStyle w:val="42"/>
        <w:rPr>
          <w:rFonts w:hint="eastAsia"/>
        </w:rPr>
      </w:pPr>
      <w:r>
        <w:rPr>
          <w:rFonts w:hint="eastAsia" w:cs="Times New Roman"/>
          <w:lang w:val="en-US" w:eastAsia="zh-CN"/>
        </w:rPr>
        <w:t>B</w:t>
      </w:r>
      <w:r>
        <w:rPr>
          <w:rFonts w:hint="eastAsia" w:ascii="Times New Roman" w:hAnsi="Times New Roman" w:cs="Times New Roman"/>
          <w:lang w:val="en-US" w:eastAsia="zh-CN"/>
        </w:rPr>
        <w:t>型梁柱连接</w:t>
      </w:r>
      <w:r>
        <w:rPr>
          <w:rFonts w:hint="eastAsia"/>
          <w:lang w:val="en-US" w:eastAsia="zh-CN"/>
        </w:rPr>
        <w:t xml:space="preserve"> </w:t>
      </w:r>
      <w:r>
        <w:rPr>
          <w:rFonts w:hint="eastAsia" w:ascii="Times New Roman" w:hAnsi="Times New Roman" w:cs="Times New Roman"/>
          <w:lang w:val="en-US" w:eastAsia="zh-CN"/>
        </w:rPr>
        <w:t xml:space="preserve">type </w:t>
      </w:r>
      <w:r>
        <w:rPr>
          <w:rFonts w:hint="eastAsia" w:cs="Times New Roman"/>
          <w:lang w:val="en-US" w:eastAsia="zh-CN"/>
        </w:rPr>
        <w:t>B beam-column connection</w:t>
      </w:r>
    </w:p>
    <w:p w14:paraId="633C881E">
      <w:pPr>
        <w:bidi w:val="0"/>
        <w:rPr>
          <w:rFonts w:hint="default"/>
          <w:lang w:val="en-US" w:eastAsia="zh-CN"/>
        </w:rPr>
      </w:pPr>
      <w:r>
        <w:rPr>
          <w:rFonts w:hint="eastAsia"/>
          <w:lang w:val="en-US" w:eastAsia="zh-CN"/>
        </w:rPr>
        <w:t>采用梁端钢组件与柱侧钢组件栓焊连接的预制梁与预制柱连接方式。</w:t>
      </w:r>
    </w:p>
    <w:p w14:paraId="4AE6545E">
      <w:pPr>
        <w:pStyle w:val="42"/>
        <w:rPr>
          <w:rFonts w:hint="eastAsia"/>
        </w:rPr>
      </w:pPr>
      <w:r>
        <w:rPr>
          <w:rFonts w:hint="eastAsia" w:cs="Times New Roman"/>
          <w:lang w:val="en-US" w:eastAsia="zh-CN"/>
        </w:rPr>
        <w:t>C</w:t>
      </w:r>
      <w:r>
        <w:rPr>
          <w:rFonts w:hint="eastAsia" w:ascii="Times New Roman" w:hAnsi="Times New Roman" w:cs="Times New Roman"/>
          <w:lang w:val="en-US" w:eastAsia="zh-CN"/>
        </w:rPr>
        <w:t>型梁柱连接</w:t>
      </w:r>
      <w:r>
        <w:rPr>
          <w:rFonts w:hint="eastAsia"/>
          <w:lang w:val="en-US" w:eastAsia="zh-CN"/>
        </w:rPr>
        <w:t xml:space="preserve"> </w:t>
      </w:r>
      <w:r>
        <w:rPr>
          <w:rFonts w:hint="eastAsia" w:ascii="Times New Roman" w:hAnsi="Times New Roman" w:cs="Times New Roman"/>
          <w:lang w:val="en-US" w:eastAsia="zh-CN"/>
        </w:rPr>
        <w:t xml:space="preserve">type </w:t>
      </w:r>
      <w:r>
        <w:rPr>
          <w:rFonts w:hint="eastAsia" w:cs="Times New Roman"/>
          <w:lang w:val="en-US" w:eastAsia="zh-CN"/>
        </w:rPr>
        <w:t>C beam-column connection</w:t>
      </w:r>
    </w:p>
    <w:p w14:paraId="113366D7">
      <w:pPr>
        <w:bidi w:val="0"/>
        <w:rPr>
          <w:rFonts w:hint="eastAsia"/>
          <w:lang w:val="en-US" w:eastAsia="zh-CN"/>
        </w:rPr>
      </w:pPr>
      <w:r>
        <w:rPr>
          <w:rFonts w:hint="eastAsia"/>
          <w:lang w:val="en-US" w:eastAsia="zh-CN"/>
        </w:rPr>
        <w:t>采用梁端钢组件与柱侧钢组件螺栓连接，且钢筋采用机械连接的预制梁与预制柱连接方式。</w:t>
      </w:r>
    </w:p>
    <w:p w14:paraId="4DD09C12">
      <w:pPr>
        <w:pStyle w:val="42"/>
        <w:rPr>
          <w:rFonts w:hint="eastAsia"/>
        </w:rPr>
      </w:pPr>
      <w:r>
        <w:rPr>
          <w:rFonts w:hint="eastAsia" w:cs="Times New Roman"/>
          <w:lang w:val="en-US" w:eastAsia="zh-CN"/>
        </w:rPr>
        <w:t>钢组件螺栓连接</w:t>
      </w:r>
      <w:r>
        <w:rPr>
          <w:rFonts w:hint="eastAsia"/>
          <w:lang w:val="en-US" w:eastAsia="zh-CN"/>
        </w:rPr>
        <w:t xml:space="preserve"> bolt connection with steel component </w:t>
      </w:r>
    </w:p>
    <w:p w14:paraId="560E17C2">
      <w:pPr>
        <w:bidi w:val="0"/>
        <w:rPr>
          <w:rFonts w:hint="eastAsia"/>
          <w:lang w:val="en-US" w:eastAsia="zh-CN"/>
        </w:rPr>
      </w:pPr>
      <w:r>
        <w:rPr>
          <w:rFonts w:hint="eastAsia"/>
          <w:lang w:val="en-US" w:eastAsia="zh-CN"/>
        </w:rPr>
        <w:t>基础或下节柱顶部预留连接杆，上节预制柱底部设置柱端钢组件，预留连接杆与柱端钢组件采用螺栓连接的钢组件连接方式。</w:t>
      </w:r>
    </w:p>
    <w:p w14:paraId="6B9553AD">
      <w:pPr>
        <w:pStyle w:val="42"/>
        <w:rPr>
          <w:rFonts w:hint="eastAsia"/>
        </w:rPr>
      </w:pPr>
      <w:r>
        <w:rPr>
          <w:rFonts w:hint="eastAsia" w:cs="Times New Roman"/>
          <w:lang w:val="en-US" w:eastAsia="zh-CN"/>
        </w:rPr>
        <w:t xml:space="preserve">钢组件灌浆连接 grouting connection with </w:t>
      </w:r>
      <w:r>
        <w:rPr>
          <w:rFonts w:hint="eastAsia"/>
          <w:lang w:val="en-US" w:eastAsia="zh-CN"/>
        </w:rPr>
        <w:t xml:space="preserve">steel component </w:t>
      </w:r>
    </w:p>
    <w:p w14:paraId="06B43257">
      <w:pPr>
        <w:bidi w:val="0"/>
        <w:rPr>
          <w:rFonts w:hint="eastAsia"/>
          <w:lang w:val="en-US" w:eastAsia="zh-CN"/>
        </w:rPr>
      </w:pPr>
      <w:r>
        <w:rPr>
          <w:rFonts w:hint="eastAsia"/>
          <w:lang w:val="en-US" w:eastAsia="zh-CN"/>
        </w:rPr>
        <w:t>上下节预制柱端部均设置柱端钢组件，钢组件之间设置灌浆层并采用螺栓连接的钢组件连接方式。</w:t>
      </w:r>
    </w:p>
    <w:bookmarkEnd w:id="2"/>
    <w:bookmarkEnd w:id="3"/>
    <w:bookmarkEnd w:id="13"/>
    <w:bookmarkEnd w:id="14"/>
    <w:p w14:paraId="28691FC6">
      <w:pPr>
        <w:pStyle w:val="41"/>
        <w:keepNext w:val="0"/>
        <w:keepLines w:val="0"/>
        <w:pageBreakBefore w:val="0"/>
        <w:widowControl w:val="0"/>
        <w:kinsoku/>
        <w:wordWrap/>
        <w:overflowPunct/>
        <w:topLinePunct w:val="0"/>
        <w:autoSpaceDE/>
        <w:autoSpaceDN/>
        <w:bidi w:val="0"/>
        <w:adjustRightInd w:val="0"/>
        <w:snapToGrid w:val="0"/>
        <w:spacing w:before="312" w:after="312"/>
        <w:textAlignment w:val="auto"/>
      </w:pPr>
      <w:bookmarkStart w:id="15" w:name="_Toc29431"/>
      <w:bookmarkStart w:id="16" w:name="_Toc20733"/>
      <w:r>
        <w:rPr>
          <w:rFonts w:hint="eastAsia"/>
        </w:rPr>
        <w:t>符号</w:t>
      </w:r>
      <w:bookmarkEnd w:id="15"/>
      <w:bookmarkEnd w:id="16"/>
    </w:p>
    <w:p w14:paraId="2EE7FB50">
      <w:pPr>
        <w:pStyle w:val="42"/>
      </w:pPr>
      <w:r>
        <w:rPr>
          <w:rFonts w:hint="eastAsia"/>
        </w:rPr>
        <w:t>材料</w:t>
      </w:r>
      <w:r>
        <w:t>性能</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5"/>
        <w:gridCol w:w="806"/>
        <w:gridCol w:w="6625"/>
      </w:tblGrid>
      <w:tr w14:paraId="47D4E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center"/>
          </w:tcPr>
          <w:p w14:paraId="419C79C0">
            <w:pPr>
              <w:ind w:firstLine="0" w:firstLineChars="0"/>
              <w:jc w:val="right"/>
              <w:rPr>
                <w:rFonts w:ascii="Times New Roman" w:hAnsi="Times New Roman" w:eastAsia="宋体" w:cs="Times New Roman"/>
                <w:color w:val="auto"/>
                <w:kern w:val="2"/>
                <w:sz w:val="24"/>
                <w:lang w:val="en-US" w:eastAsia="zh-CN" w:bidi="ar-SA"/>
              </w:rPr>
            </w:pPr>
            <w:r>
              <w:rPr>
                <w:color w:val="auto"/>
                <w:position w:val="-12"/>
                <w:vertAlign w:val="subscript"/>
              </w:rPr>
              <w:object>
                <v:shape id="_x0000_i1025"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p>
        </w:tc>
        <w:tc>
          <w:tcPr>
            <w:tcW w:w="806" w:type="dxa"/>
            <w:shd w:val="clear" w:color="auto" w:fill="auto"/>
            <w:vAlign w:val="center"/>
          </w:tcPr>
          <w:p w14:paraId="6CFC8E99">
            <w:pPr>
              <w:spacing w:before="32" w:beforeLines="10"/>
              <w:ind w:firstLine="0" w:firstLineChars="0"/>
              <w:jc w:val="center"/>
              <w:rPr>
                <w:rFonts w:ascii="Times New Roman" w:hAnsi="Times New Roman" w:eastAsia="宋体" w:cs="Times New Roman"/>
                <w:color w:val="auto"/>
                <w:kern w:val="2"/>
                <w:sz w:val="24"/>
                <w:lang w:val="en-US" w:eastAsia="zh-CN" w:bidi="ar-SA"/>
              </w:rPr>
            </w:pPr>
            <w:r>
              <w:rPr>
                <w:rFonts w:eastAsiaTheme="minorEastAsia"/>
                <w:color w:val="auto"/>
                <w:szCs w:val="24"/>
              </w:rPr>
              <w:t>——</w:t>
            </w:r>
          </w:p>
        </w:tc>
        <w:tc>
          <w:tcPr>
            <w:tcW w:w="6625" w:type="dxa"/>
            <w:shd w:val="clear" w:color="auto" w:fill="auto"/>
            <w:vAlign w:val="center"/>
          </w:tcPr>
          <w:p w14:paraId="1B6DB2E3">
            <w:pPr>
              <w:ind w:firstLine="0" w:firstLineChars="0"/>
              <w:rPr>
                <w:rFonts w:ascii="Times New Roman" w:hAnsi="Times New Roman" w:eastAsia="宋体" w:cs="Times New Roman"/>
                <w:color w:val="auto"/>
                <w:kern w:val="2"/>
                <w:sz w:val="24"/>
                <w:vertAlign w:val="subscript"/>
                <w:lang w:val="en-US" w:eastAsia="zh-CN" w:bidi="ar-SA"/>
              </w:rPr>
            </w:pPr>
            <w:r>
              <w:rPr>
                <w:rFonts w:hint="eastAsia"/>
                <w:color w:val="auto"/>
              </w:rPr>
              <w:t>混凝土的弹性模量</w:t>
            </w:r>
            <w:r>
              <w:rPr>
                <w:color w:val="auto"/>
              </w:rPr>
              <w:t>；</w:t>
            </w:r>
          </w:p>
        </w:tc>
      </w:tr>
      <w:tr w14:paraId="7C832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center"/>
          </w:tcPr>
          <w:p w14:paraId="39CFB7BD">
            <w:pPr>
              <w:ind w:firstLine="0" w:firstLineChars="0"/>
              <w:jc w:val="right"/>
              <w:rPr>
                <w:rFonts w:ascii="Times New Roman" w:hAnsi="Times New Roman" w:eastAsia="宋体" w:cs="Times New Roman"/>
                <w:i/>
                <w:color w:val="auto"/>
                <w:kern w:val="2"/>
                <w:sz w:val="24"/>
                <w:szCs w:val="24"/>
                <w:lang w:val="en-US" w:eastAsia="zh-CN" w:bidi="ar-SA"/>
              </w:rPr>
            </w:pPr>
            <w:r>
              <w:rPr>
                <w:rFonts w:hint="eastAsia"/>
                <w:color w:val="auto"/>
                <w:position w:val="-12"/>
              </w:rPr>
              <w:object>
                <v:shape id="_x0000_i1026" o:spt="75" type="#_x0000_t75" style="height:18.45pt;width:14.9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p>
        </w:tc>
        <w:tc>
          <w:tcPr>
            <w:tcW w:w="806" w:type="dxa"/>
            <w:shd w:val="clear" w:color="auto" w:fill="auto"/>
            <w:vAlign w:val="center"/>
          </w:tcPr>
          <w:p w14:paraId="36F53FF5">
            <w:pPr>
              <w:ind w:firstLine="0" w:firstLineChars="0"/>
              <w:rPr>
                <w:rFonts w:ascii="Times New Roman" w:hAnsi="Times New Roman" w:eastAsia="宋体" w:cs="Times New Roman"/>
                <w:color w:val="auto"/>
                <w:kern w:val="2"/>
                <w:sz w:val="24"/>
                <w:szCs w:val="24"/>
                <w:lang w:val="en-US" w:eastAsia="zh-CN" w:bidi="ar-SA"/>
              </w:rPr>
            </w:pPr>
            <w:r>
              <w:rPr>
                <w:color w:val="auto"/>
                <w:szCs w:val="24"/>
              </w:rPr>
              <w:t>——</w:t>
            </w:r>
          </w:p>
        </w:tc>
        <w:tc>
          <w:tcPr>
            <w:tcW w:w="6625" w:type="dxa"/>
            <w:shd w:val="clear" w:color="auto" w:fill="auto"/>
            <w:vAlign w:val="center"/>
          </w:tcPr>
          <w:p w14:paraId="3B16A41B">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钢板抗拉强度设计值；</w:t>
            </w:r>
          </w:p>
        </w:tc>
      </w:tr>
      <w:tr w14:paraId="1D832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center"/>
          </w:tcPr>
          <w:p w14:paraId="60B64C02">
            <w:pPr>
              <w:ind w:firstLine="0" w:firstLineChars="0"/>
              <w:rPr>
                <w:rFonts w:ascii="Times New Roman" w:hAnsi="Times New Roman" w:eastAsia="宋体" w:cs="Times New Roman"/>
                <w:color w:val="auto"/>
                <w:kern w:val="2"/>
                <w:sz w:val="24"/>
                <w:lang w:val="en-US" w:eastAsia="zh-CN" w:bidi="ar-SA"/>
              </w:rPr>
            </w:pPr>
            <w:r>
              <w:rPr>
                <w:color w:val="auto"/>
                <w:position w:val="-12"/>
                <w:vertAlign w:val="subscript"/>
              </w:rPr>
              <w:object>
                <v:shape id="_x0000_i1027" o:spt="75" type="#_x0000_t75" style="height:18pt;width:12.75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7" r:id="rId24">
                  <o:LockedField>false</o:LockedField>
                </o:OLEObject>
              </w:object>
            </w:r>
            <w:r>
              <w:rPr>
                <w:rFonts w:hint="eastAsia"/>
                <w:color w:val="auto"/>
              </w:rPr>
              <w:t>、</w:t>
            </w:r>
            <w:r>
              <w:rPr>
                <w:color w:val="auto"/>
                <w:position w:val="-12"/>
                <w:vertAlign w:val="subscript"/>
              </w:rPr>
              <w:object>
                <v:shape id="_x0000_i1028" o:spt="75" type="#_x0000_t75" style="height:18pt;width:16.7pt;" o:ole="t" filled="f" o:preferrelative="t" stroked="f" coordsize="21600,21600">
                  <v:path/>
                  <v:fill on="f" focussize="0,0"/>
                  <v:stroke on="f" joinstyle="miter"/>
                  <v:imagedata r:id="rId27" o:title=""/>
                  <o:lock v:ext="edit" aspectratio="t"/>
                  <w10:wrap type="none"/>
                  <w10:anchorlock/>
                </v:shape>
                <o:OLEObject Type="Embed" ProgID="Equation.DSMT4" ShapeID="_x0000_i1028" DrawAspect="Content" ObjectID="_1468075728" r:id="rId26">
                  <o:LockedField>false</o:LockedField>
                </o:OLEObject>
              </w:object>
            </w:r>
          </w:p>
        </w:tc>
        <w:tc>
          <w:tcPr>
            <w:tcW w:w="806" w:type="dxa"/>
            <w:shd w:val="clear" w:color="auto" w:fill="auto"/>
            <w:vAlign w:val="center"/>
          </w:tcPr>
          <w:p w14:paraId="287A5D13">
            <w:pPr>
              <w:spacing w:before="32" w:beforeLines="10"/>
              <w:ind w:firstLine="0" w:firstLineChars="0"/>
              <w:jc w:val="center"/>
              <w:rPr>
                <w:rFonts w:ascii="Times New Roman" w:hAnsi="Times New Roman" w:eastAsia="宋体" w:cs="Times New Roman"/>
                <w:color w:val="auto"/>
                <w:kern w:val="2"/>
                <w:sz w:val="24"/>
                <w:lang w:val="en-US" w:eastAsia="zh-CN" w:bidi="ar-SA"/>
              </w:rPr>
            </w:pPr>
            <w:r>
              <w:rPr>
                <w:rFonts w:eastAsiaTheme="minorEastAsia"/>
                <w:color w:val="auto"/>
                <w:szCs w:val="24"/>
              </w:rPr>
              <w:t>——</w:t>
            </w:r>
          </w:p>
        </w:tc>
        <w:tc>
          <w:tcPr>
            <w:tcW w:w="6625" w:type="dxa"/>
            <w:shd w:val="clear" w:color="auto" w:fill="auto"/>
            <w:vAlign w:val="center"/>
          </w:tcPr>
          <w:p w14:paraId="46A510A8">
            <w:pPr>
              <w:ind w:firstLine="0" w:firstLineChars="0"/>
              <w:rPr>
                <w:rFonts w:ascii="Times New Roman" w:hAnsi="Times New Roman" w:eastAsia="宋体" w:cs="Times New Roman"/>
                <w:color w:val="auto"/>
                <w:kern w:val="2"/>
                <w:sz w:val="24"/>
                <w:lang w:val="en-US" w:eastAsia="zh-CN" w:bidi="ar-SA"/>
              </w:rPr>
            </w:pPr>
            <w:r>
              <w:rPr>
                <w:rFonts w:hint="eastAsia"/>
                <w:color w:val="auto"/>
              </w:rPr>
              <w:t>混凝土轴心抗压强度设计值、标准值；</w:t>
            </w:r>
          </w:p>
        </w:tc>
      </w:tr>
      <w:tr w14:paraId="195C7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center"/>
          </w:tcPr>
          <w:p w14:paraId="04057101">
            <w:pPr>
              <w:ind w:firstLine="0" w:firstLineChars="0"/>
              <w:rPr>
                <w:rFonts w:ascii="Times New Roman" w:hAnsi="Times New Roman" w:eastAsia="宋体" w:cs="Times New Roman"/>
                <w:color w:val="auto"/>
                <w:kern w:val="2"/>
                <w:sz w:val="24"/>
                <w:lang w:val="en-US" w:eastAsia="zh-CN" w:bidi="ar-SA"/>
              </w:rPr>
            </w:pPr>
            <w:r>
              <w:rPr>
                <w:color w:val="auto"/>
                <w:position w:val="-12"/>
              </w:rPr>
              <w:object>
                <v:shape id="_x0000_i1029" o:spt="75" type="#_x0000_t75" style="height:18pt;width:12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r>
              <w:rPr>
                <w:rFonts w:hint="eastAsia"/>
                <w:color w:val="auto"/>
              </w:rPr>
              <w:t>、</w:t>
            </w:r>
            <w:r>
              <w:rPr>
                <w:color w:val="auto"/>
                <w:position w:val="-12"/>
              </w:rPr>
              <w:object>
                <v:shape id="_x0000_i1030" o:spt="75" type="#_x0000_t75" style="height:18pt;width:16pt;" o:ole="t" filled="f" o:preferrelative="t" stroked="f" coordsize="21600,21600">
                  <v:path/>
                  <v:fill on="f" focussize="0,0"/>
                  <v:stroke on="f" joinstyle="miter"/>
                  <v:imagedata r:id="rId31" o:title=""/>
                  <o:lock v:ext="edit" aspectratio="t"/>
                  <w10:wrap type="none"/>
                  <w10:anchorlock/>
                </v:shape>
                <o:OLEObject Type="Embed" ProgID="Equation.DSMT4" ShapeID="_x0000_i1030" DrawAspect="Content" ObjectID="_1468075730" r:id="rId30">
                  <o:LockedField>false</o:LockedField>
                </o:OLEObject>
              </w:object>
            </w:r>
          </w:p>
        </w:tc>
        <w:tc>
          <w:tcPr>
            <w:tcW w:w="806" w:type="dxa"/>
            <w:shd w:val="clear" w:color="auto" w:fill="auto"/>
            <w:vAlign w:val="center"/>
          </w:tcPr>
          <w:p w14:paraId="277BD524">
            <w:pPr>
              <w:spacing w:before="32" w:beforeLines="10"/>
              <w:ind w:firstLine="0" w:firstLineChars="0"/>
              <w:jc w:val="center"/>
              <w:rPr>
                <w:rFonts w:ascii="Times New Roman" w:hAnsi="Times New Roman" w:eastAsia="宋体" w:cs="Times New Roman"/>
                <w:color w:val="auto"/>
                <w:kern w:val="2"/>
                <w:sz w:val="24"/>
                <w:lang w:val="en-US" w:eastAsia="zh-CN" w:bidi="ar-SA"/>
              </w:rPr>
            </w:pPr>
            <w:r>
              <w:rPr>
                <w:rFonts w:eastAsiaTheme="minorEastAsia"/>
                <w:color w:val="auto"/>
                <w:szCs w:val="24"/>
              </w:rPr>
              <w:t>——</w:t>
            </w:r>
          </w:p>
        </w:tc>
        <w:tc>
          <w:tcPr>
            <w:tcW w:w="6625" w:type="dxa"/>
            <w:shd w:val="clear" w:color="auto" w:fill="auto"/>
            <w:vAlign w:val="center"/>
          </w:tcPr>
          <w:p w14:paraId="1079DA12">
            <w:pPr>
              <w:ind w:firstLine="0" w:firstLineChars="0"/>
              <w:rPr>
                <w:rFonts w:ascii="Times New Roman" w:hAnsi="Times New Roman" w:eastAsia="宋体" w:cs="Times New Roman"/>
                <w:color w:val="auto"/>
                <w:kern w:val="2"/>
                <w:sz w:val="24"/>
                <w:lang w:val="en-US" w:eastAsia="zh-CN" w:bidi="ar-SA"/>
              </w:rPr>
            </w:pPr>
            <w:r>
              <w:rPr>
                <w:rFonts w:hint="eastAsia"/>
                <w:color w:val="auto"/>
              </w:rPr>
              <w:t>混凝土轴心抗拉强度设计值、标准值；</w:t>
            </w:r>
          </w:p>
        </w:tc>
      </w:tr>
      <w:tr w14:paraId="7CC3B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top"/>
          </w:tcPr>
          <w:p w14:paraId="12F7BCA5">
            <w:pPr>
              <w:ind w:firstLine="0" w:firstLineChars="0"/>
              <w:jc w:val="right"/>
              <w:rPr>
                <w:rFonts w:ascii="Times New Roman" w:hAnsi="Times New Roman" w:eastAsia="宋体" w:cs="Times New Roman"/>
                <w:color w:val="auto"/>
                <w:kern w:val="2"/>
                <w:position w:val="-12"/>
                <w:sz w:val="24"/>
                <w:lang w:val="en-US" w:eastAsia="zh-CN" w:bidi="ar-SA"/>
              </w:rPr>
            </w:pPr>
            <w:r>
              <w:rPr>
                <w:i/>
                <w:iCs/>
                <w:color w:val="auto"/>
                <w:position w:val="-12"/>
              </w:rPr>
              <w:object>
                <v:shape id="_x0000_i1031" o:spt="75" type="#_x0000_t75" style="height:19pt;width:18pt;" o:ole="t" filled="f" o:preferrelative="t" stroked="f" coordsize="21600,21600">
                  <v:path/>
                  <v:fill on="f" focussize="0,0"/>
                  <v:stroke on="f" joinstyle="miter"/>
                  <v:imagedata r:id="rId33" o:title=""/>
                  <o:lock v:ext="edit" aspectratio="f"/>
                  <w10:wrap type="none"/>
                  <w10:anchorlock/>
                </v:shape>
                <o:OLEObject Type="Embed" ProgID="Equation.DSMT4" ShapeID="_x0000_i1031" DrawAspect="Content" ObjectID="_1468075731" r:id="rId32">
                  <o:LockedField>false</o:LockedField>
                </o:OLEObject>
              </w:object>
            </w:r>
          </w:p>
        </w:tc>
        <w:tc>
          <w:tcPr>
            <w:tcW w:w="806" w:type="dxa"/>
            <w:shd w:val="clear" w:color="auto" w:fill="auto"/>
            <w:vAlign w:val="top"/>
          </w:tcPr>
          <w:p w14:paraId="56A8CA60">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625" w:type="dxa"/>
            <w:shd w:val="clear" w:color="auto" w:fill="auto"/>
            <w:vAlign w:val="center"/>
          </w:tcPr>
          <w:p w14:paraId="2686EC3F">
            <w:pPr>
              <w:ind w:firstLine="0" w:firstLineChars="0"/>
              <w:rPr>
                <w:rFonts w:hint="eastAsia" w:ascii="Times New Roman" w:hAnsi="Times New Roman" w:cs="Times New Roman" w:eastAsiaTheme="minorEastAsia"/>
                <w:color w:val="auto"/>
                <w:kern w:val="2"/>
                <w:sz w:val="24"/>
                <w:szCs w:val="24"/>
                <w:lang w:val="en-US" w:eastAsia="zh-CN" w:bidi="ar-SA"/>
              </w:rPr>
            </w:pPr>
            <w:r>
              <w:rPr>
                <w:rFonts w:hint="eastAsia" w:eastAsiaTheme="minorEastAsia"/>
                <w:color w:val="auto"/>
                <w:position w:val="-12"/>
              </w:rPr>
              <w:t>对接焊缝抗拉强度设计值</w:t>
            </w:r>
            <w:r>
              <w:rPr>
                <w:rFonts w:hint="eastAsia" w:eastAsiaTheme="minorEastAsia"/>
                <w:color w:val="auto"/>
                <w:position w:val="-12"/>
                <w:lang w:eastAsia="zh-CN"/>
              </w:rPr>
              <w:t>；</w:t>
            </w:r>
          </w:p>
        </w:tc>
      </w:tr>
      <w:tr w14:paraId="35311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top"/>
          </w:tcPr>
          <w:p w14:paraId="3DCEF3FC">
            <w:pPr>
              <w:ind w:firstLine="0" w:firstLineChars="0"/>
              <w:jc w:val="right"/>
              <w:rPr>
                <w:rFonts w:ascii="Times New Roman" w:hAnsi="Times New Roman" w:eastAsia="宋体" w:cs="Times New Roman"/>
                <w:i/>
                <w:iCs/>
                <w:color w:val="auto"/>
                <w:kern w:val="2"/>
                <w:position w:val="-12"/>
                <w:sz w:val="24"/>
                <w:lang w:val="en-US" w:eastAsia="zh-CN" w:bidi="ar-SA"/>
              </w:rPr>
            </w:pPr>
            <w:r>
              <w:rPr>
                <w:color w:val="auto"/>
                <w:position w:val="-12"/>
              </w:rPr>
              <w:object>
                <v:shape id="_x0000_i1032" o:spt="75" type="#_x0000_t75" style="height:18.55pt;width:13.95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4">
                  <o:LockedField>false</o:LockedField>
                </o:OLEObject>
              </w:object>
            </w:r>
          </w:p>
        </w:tc>
        <w:tc>
          <w:tcPr>
            <w:tcW w:w="806" w:type="dxa"/>
            <w:shd w:val="clear" w:color="auto" w:fill="auto"/>
            <w:vAlign w:val="top"/>
          </w:tcPr>
          <w:p w14:paraId="37920A1E">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625" w:type="dxa"/>
            <w:shd w:val="clear" w:color="auto" w:fill="auto"/>
            <w:vAlign w:val="center"/>
          </w:tcPr>
          <w:p w14:paraId="297901E8">
            <w:pPr>
              <w:ind w:firstLine="0" w:firstLineChars="0"/>
              <w:rPr>
                <w:rFonts w:ascii="Times New Roman" w:hAnsi="Times New Roman" w:cs="Times New Roman" w:eastAsiaTheme="minorEastAsia"/>
                <w:color w:val="auto"/>
                <w:kern w:val="2"/>
                <w:sz w:val="24"/>
                <w:lang w:val="en-US" w:eastAsia="zh-CN" w:bidi="ar-SA"/>
              </w:rPr>
            </w:pPr>
            <w:r>
              <w:rPr>
                <w:rFonts w:hint="eastAsia"/>
                <w:color w:val="auto"/>
              </w:rPr>
              <w:t>钢材抗剪强度设计值；</w:t>
            </w:r>
          </w:p>
        </w:tc>
      </w:tr>
      <w:tr w14:paraId="6AECF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top"/>
          </w:tcPr>
          <w:p w14:paraId="1E5707BA">
            <w:pPr>
              <w:ind w:firstLine="0" w:firstLineChars="0"/>
              <w:jc w:val="right"/>
              <w:rPr>
                <w:rFonts w:ascii="Times New Roman" w:hAnsi="Times New Roman" w:eastAsia="宋体" w:cs="Times New Roman"/>
                <w:i/>
                <w:iCs/>
                <w:color w:val="auto"/>
                <w:kern w:val="2"/>
                <w:position w:val="-12"/>
                <w:sz w:val="24"/>
                <w:lang w:val="en-US" w:eastAsia="zh-CN" w:bidi="ar-SA"/>
              </w:rPr>
            </w:pPr>
            <w:r>
              <w:rPr>
                <w:i/>
                <w:iCs/>
                <w:color w:val="auto"/>
                <w:position w:val="-12"/>
              </w:rPr>
              <w:object>
                <v:shape id="_x0000_i1033" o:spt="75" type="#_x0000_t75" style="height:19pt;width:18pt;" o:ole="t" filled="f" o:preferrelative="t" stroked="f" coordsize="21600,21600">
                  <v:path/>
                  <v:fill on="f" focussize="0,0"/>
                  <v:stroke on="f" joinstyle="miter"/>
                  <v:imagedata r:id="rId37" o:title=""/>
                  <o:lock v:ext="edit" aspectratio="f"/>
                  <w10:wrap type="none"/>
                  <w10:anchorlock/>
                </v:shape>
                <o:OLEObject Type="Embed" ProgID="Equation.DSMT4" ShapeID="_x0000_i1033" DrawAspect="Content" ObjectID="_1468075733" r:id="rId36">
                  <o:LockedField>false</o:LockedField>
                </o:OLEObject>
              </w:object>
            </w:r>
          </w:p>
        </w:tc>
        <w:tc>
          <w:tcPr>
            <w:tcW w:w="806" w:type="dxa"/>
            <w:shd w:val="clear" w:color="auto" w:fill="auto"/>
            <w:vAlign w:val="top"/>
          </w:tcPr>
          <w:p w14:paraId="47FE1A9A">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625" w:type="dxa"/>
            <w:shd w:val="clear" w:color="auto" w:fill="auto"/>
            <w:vAlign w:val="center"/>
          </w:tcPr>
          <w:p w14:paraId="417AC4B2">
            <w:pPr>
              <w:ind w:firstLine="0" w:firstLineChars="0"/>
              <w:rPr>
                <w:rFonts w:hint="eastAsia" w:ascii="Times New Roman" w:hAnsi="Times New Roman" w:cs="Times New Roman" w:eastAsiaTheme="minorEastAsia"/>
                <w:color w:val="auto"/>
                <w:kern w:val="2"/>
                <w:position w:val="-12"/>
                <w:sz w:val="24"/>
                <w:lang w:val="en-US" w:eastAsia="zh-CN" w:bidi="ar-SA"/>
              </w:rPr>
            </w:pPr>
            <w:r>
              <w:rPr>
                <w:rFonts w:hint="eastAsia" w:eastAsiaTheme="minorEastAsia"/>
                <w:color w:val="auto"/>
                <w:position w:val="-12"/>
              </w:rPr>
              <w:t>对接焊缝抗剪强度设计值；</w:t>
            </w:r>
          </w:p>
        </w:tc>
      </w:tr>
      <w:tr w14:paraId="1E05A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shd w:val="clear" w:color="auto" w:fill="auto"/>
            <w:vAlign w:val="top"/>
          </w:tcPr>
          <w:p w14:paraId="24358814">
            <w:pPr>
              <w:ind w:firstLine="0" w:firstLineChars="0"/>
              <w:jc w:val="right"/>
              <w:rPr>
                <w:rFonts w:ascii="Times New Roman" w:hAnsi="Times New Roman" w:eastAsia="宋体" w:cs="Times New Roman"/>
                <w:color w:val="auto"/>
                <w:kern w:val="2"/>
                <w:position w:val="-14"/>
                <w:sz w:val="24"/>
                <w:lang w:val="en-US" w:eastAsia="zh-CN" w:bidi="ar-SA"/>
              </w:rPr>
            </w:pPr>
            <w:r>
              <w:rPr>
                <w:color w:val="auto"/>
                <w:position w:val="-14"/>
              </w:rPr>
              <w:object>
                <v:shape id="_x0000_i1034" o:spt="75" type="#_x0000_t75" style="height:19.4pt;width:13.9pt;" o:ole="t" filled="f" o:preferrelative="t" stroked="f" coordsize="21600,21600">
                  <v:path/>
                  <v:fill on="f" focussize="0,0"/>
                  <v:stroke on="f" joinstyle="miter"/>
                  <v:imagedata r:id="rId39" o:title=""/>
                  <o:lock v:ext="edit" aspectratio="t"/>
                  <w10:wrap type="none"/>
                  <w10:anchorlock/>
                </v:shape>
                <o:OLEObject Type="Embed" ProgID="Equation.DSMT4" ShapeID="_x0000_i1034" DrawAspect="Content" ObjectID="_1468075734" r:id="rId38">
                  <o:LockedField>false</o:LockedField>
                </o:OLEObject>
              </w:object>
            </w:r>
          </w:p>
        </w:tc>
        <w:tc>
          <w:tcPr>
            <w:tcW w:w="806" w:type="dxa"/>
            <w:shd w:val="clear" w:color="auto" w:fill="auto"/>
            <w:vAlign w:val="top"/>
          </w:tcPr>
          <w:p w14:paraId="20D171AF">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625" w:type="dxa"/>
            <w:shd w:val="clear" w:color="auto" w:fill="auto"/>
            <w:vAlign w:val="center"/>
          </w:tcPr>
          <w:p w14:paraId="75B6CE94">
            <w:pPr>
              <w:ind w:firstLine="0" w:firstLineChars="0"/>
              <w:rPr>
                <w:rFonts w:hint="eastAsia" w:ascii="Times New Roman" w:hAnsi="Times New Roman" w:cs="Times New Roman" w:eastAsiaTheme="minorEastAsia"/>
                <w:color w:val="auto"/>
                <w:kern w:val="2"/>
                <w:sz w:val="24"/>
                <w:lang w:val="en-US" w:eastAsia="zh-CN" w:bidi="ar-SA"/>
              </w:rPr>
            </w:pPr>
            <w:r>
              <w:rPr>
                <w:rFonts w:hint="eastAsia" w:eastAsiaTheme="minorEastAsia"/>
                <w:color w:val="auto"/>
              </w:rPr>
              <w:t>钢筋抗拉强度</w:t>
            </w:r>
            <w:r>
              <w:rPr>
                <w:rFonts w:hint="eastAsia" w:eastAsiaTheme="minorEastAsia"/>
                <w:color w:val="auto"/>
                <w:lang w:val="en-US" w:eastAsia="zh-CN"/>
              </w:rPr>
              <w:t>设计值</w:t>
            </w:r>
            <w:r>
              <w:rPr>
                <w:rFonts w:hint="eastAsia" w:eastAsiaTheme="minorEastAsia"/>
                <w:color w:val="auto"/>
                <w:lang w:eastAsia="zh-CN"/>
              </w:rPr>
              <w:t>。</w:t>
            </w:r>
          </w:p>
        </w:tc>
      </w:tr>
    </w:tbl>
    <w:p w14:paraId="3843C306">
      <w:pPr>
        <w:pStyle w:val="42"/>
      </w:pPr>
      <w:r>
        <w:rPr>
          <w:rFonts w:hint="eastAsia"/>
        </w:rPr>
        <w:t>作用和</w:t>
      </w:r>
      <w:r>
        <w:t>作用效应</w:t>
      </w:r>
    </w:p>
    <w:tbl>
      <w:tblPr>
        <w:tblStyle w:val="3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3"/>
        <w:gridCol w:w="696"/>
        <w:gridCol w:w="6864"/>
      </w:tblGrid>
      <w:tr w14:paraId="37F28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60" w:type="pct"/>
            <w:shd w:val="clear" w:color="auto" w:fill="auto"/>
            <w:vAlign w:val="center"/>
          </w:tcPr>
          <w:p w14:paraId="68B5AE63">
            <w:pPr>
              <w:ind w:firstLine="0" w:firstLineChars="0"/>
              <w:jc w:val="right"/>
              <w:textAlignment w:val="center"/>
              <w:rPr>
                <w:rFonts w:ascii="Times New Roman" w:hAnsi="Times New Roman" w:eastAsia="宋体" w:cs="Times New Roman"/>
                <w:color w:val="auto"/>
                <w:kern w:val="2"/>
                <w:sz w:val="24"/>
                <w:lang w:val="en-US" w:eastAsia="zh-CN" w:bidi="ar-SA"/>
              </w:rPr>
            </w:pPr>
            <w:r>
              <w:rPr>
                <w:color w:val="auto"/>
              </w:rPr>
              <w:object>
                <v:shape id="_x0000_i1035" o:spt="75" type="#_x0000_t75" style="height:13.5pt;width:16.5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p>
        </w:tc>
        <w:tc>
          <w:tcPr>
            <w:tcW w:w="408" w:type="pct"/>
            <w:shd w:val="clear" w:color="auto" w:fill="auto"/>
            <w:vAlign w:val="top"/>
          </w:tcPr>
          <w:p w14:paraId="4D2466CD">
            <w:pPr>
              <w:spacing w:before="31" w:beforeLines="10"/>
              <w:ind w:firstLine="0" w:firstLineChars="0"/>
              <w:jc w:val="center"/>
              <w:textAlignment w:val="center"/>
              <w:rPr>
                <w:rFonts w:ascii="Times New Roman" w:hAnsi="Times New Roman" w:eastAsia="宋体" w:cs="Times New Roman"/>
                <w:color w:val="auto"/>
                <w:kern w:val="2"/>
                <w:sz w:val="24"/>
                <w:lang w:val="en-US" w:eastAsia="zh-CN" w:bidi="ar-SA"/>
              </w:rPr>
            </w:pPr>
            <w:r>
              <w:rPr>
                <w:rFonts w:eastAsiaTheme="minorEastAsia"/>
                <w:color w:val="auto"/>
                <w:szCs w:val="24"/>
              </w:rPr>
              <w:t>——</w:t>
            </w:r>
          </w:p>
        </w:tc>
        <w:tc>
          <w:tcPr>
            <w:tcW w:w="4030" w:type="pct"/>
            <w:shd w:val="clear" w:color="auto" w:fill="auto"/>
            <w:vAlign w:val="center"/>
          </w:tcPr>
          <w:p w14:paraId="23F4F676">
            <w:pPr>
              <w:ind w:firstLine="0" w:firstLineChars="0"/>
              <w:textAlignment w:val="center"/>
              <w:rPr>
                <w:rFonts w:ascii="Times New Roman" w:hAnsi="Times New Roman" w:eastAsia="宋体" w:cs="Times New Roman"/>
                <w:color w:val="auto"/>
                <w:kern w:val="2"/>
                <w:sz w:val="24"/>
                <w:vertAlign w:val="subscript"/>
                <w:lang w:val="en-US" w:eastAsia="zh-CN" w:bidi="ar-SA"/>
              </w:rPr>
            </w:pPr>
            <w:r>
              <w:rPr>
                <w:rFonts w:hint="eastAsia"/>
                <w:color w:val="auto"/>
              </w:rPr>
              <w:t>弯矩设计值；</w:t>
            </w:r>
          </w:p>
        </w:tc>
      </w:tr>
      <w:tr w14:paraId="05C84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top"/>
          </w:tcPr>
          <w:p w14:paraId="14D5FC61">
            <w:pPr>
              <w:ind w:firstLine="0" w:firstLineChars="0"/>
              <w:jc w:val="right"/>
              <w:rPr>
                <w:rFonts w:ascii="Times New Roman" w:hAnsi="Times New Roman" w:eastAsia="宋体" w:cs="Times New Roman"/>
                <w:color w:val="auto"/>
                <w:kern w:val="2"/>
                <w:position w:val="-14"/>
                <w:sz w:val="24"/>
                <w:lang w:val="en-US" w:eastAsia="zh-CN" w:bidi="ar-SA"/>
              </w:rPr>
            </w:pPr>
            <w:r>
              <w:rPr>
                <w:color w:val="auto"/>
                <w:position w:val="-12"/>
              </w:rPr>
              <w:object>
                <v:shape id="_x0000_i1036" o:spt="75" type="#_x0000_t75" style="height:17.5pt;width:18.35pt;" o:ole="t" filled="f" o:preferrelative="t" stroked="f" coordsize="21600,21600">
                  <v:path/>
                  <v:fill on="f" focussize="0,0"/>
                  <v:stroke on="f"/>
                  <v:imagedata r:id="rId43" o:title=""/>
                  <o:lock v:ext="edit" aspectratio="t"/>
                  <w10:wrap type="none"/>
                  <w10:anchorlock/>
                </v:shape>
                <o:OLEObject Type="Embed" ProgID="Equation.DSMT4" ShapeID="_x0000_i1036" DrawAspect="Content" ObjectID="_1468075736" r:id="rId42">
                  <o:LockedField>false</o:LockedField>
                </o:OLEObject>
              </w:object>
            </w:r>
          </w:p>
        </w:tc>
        <w:tc>
          <w:tcPr>
            <w:tcW w:w="408" w:type="pct"/>
            <w:shd w:val="clear" w:color="auto" w:fill="auto"/>
            <w:vAlign w:val="top"/>
          </w:tcPr>
          <w:p w14:paraId="3CC52BAC">
            <w:pPr>
              <w:ind w:firstLine="0" w:firstLineChars="0"/>
              <w:rPr>
                <w:rFonts w:ascii="Times New Roman" w:hAnsi="Times New Roman" w:eastAsia="宋体" w:cs="Times New Roman"/>
                <w:color w:val="auto"/>
                <w:kern w:val="2"/>
                <w:sz w:val="24"/>
                <w:lang w:val="en-US" w:eastAsia="zh-CN" w:bidi="ar-SA"/>
              </w:rPr>
            </w:pPr>
            <w:r>
              <w:rPr>
                <w:color w:val="auto"/>
              </w:rPr>
              <w:t>——</w:t>
            </w:r>
          </w:p>
        </w:tc>
        <w:tc>
          <w:tcPr>
            <w:tcW w:w="4030" w:type="pct"/>
            <w:shd w:val="clear" w:color="auto" w:fill="auto"/>
            <w:vAlign w:val="top"/>
          </w:tcPr>
          <w:p w14:paraId="13A760DA">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正截面受弯承载力</w:t>
            </w:r>
            <w:r>
              <w:rPr>
                <w:rFonts w:hint="eastAsia"/>
                <w:color w:val="auto"/>
                <w:lang w:val="en-US" w:eastAsia="zh-CN"/>
              </w:rPr>
              <w:t>设计值</w:t>
            </w:r>
            <w:r>
              <w:rPr>
                <w:rFonts w:hint="eastAsia"/>
                <w:color w:val="auto"/>
              </w:rPr>
              <w:t>；</w:t>
            </w:r>
          </w:p>
        </w:tc>
      </w:tr>
      <w:tr w14:paraId="3AAC0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top"/>
          </w:tcPr>
          <w:p w14:paraId="4F1832F2">
            <w:pPr>
              <w:ind w:firstLine="0" w:firstLineChars="0"/>
              <w:jc w:val="right"/>
              <w:rPr>
                <w:rFonts w:ascii="Times New Roman" w:hAnsi="Times New Roman" w:eastAsia="宋体" w:cs="Times New Roman"/>
                <w:color w:val="auto"/>
                <w:kern w:val="2"/>
                <w:position w:val="-14"/>
                <w:sz w:val="24"/>
                <w:lang w:val="en-US" w:eastAsia="zh-CN" w:bidi="ar-SA"/>
              </w:rPr>
            </w:pPr>
            <w:r>
              <w:rPr>
                <w:color w:val="auto"/>
                <w:position w:val="-12"/>
              </w:rPr>
              <w:object>
                <v:shape id="_x0000_i1037" o:spt="75" type="#_x0000_t75" style="height:17.5pt;width:22.2pt;" o:ole="t" filled="f" o:preferrelative="t" stroked="f" coordsize="21600,21600">
                  <v:path/>
                  <v:fill on="f" focussize="0,0"/>
                  <v:stroke on="f" joinstyle="miter"/>
                  <v:imagedata r:id="rId45" o:title=""/>
                  <o:lock v:ext="edit" aspectratio="t"/>
                  <w10:wrap type="none"/>
                  <w10:anchorlock/>
                </v:shape>
                <o:OLEObject Type="Embed" ProgID="Equation.DSMT4" ShapeID="_x0000_i1037" DrawAspect="Content" ObjectID="_1468075737" r:id="rId44">
                  <o:LockedField>false</o:LockedField>
                </o:OLEObject>
              </w:object>
            </w:r>
          </w:p>
        </w:tc>
        <w:tc>
          <w:tcPr>
            <w:tcW w:w="408" w:type="pct"/>
            <w:shd w:val="clear" w:color="auto" w:fill="auto"/>
            <w:vAlign w:val="top"/>
          </w:tcPr>
          <w:p w14:paraId="14CB1DD6">
            <w:pPr>
              <w:ind w:firstLine="0" w:firstLineChars="0"/>
              <w:rPr>
                <w:rFonts w:ascii="Times New Roman" w:hAnsi="Times New Roman" w:eastAsia="宋体" w:cs="Times New Roman"/>
                <w:color w:val="auto"/>
                <w:kern w:val="2"/>
                <w:sz w:val="24"/>
                <w:lang w:val="en-US" w:eastAsia="zh-CN" w:bidi="ar-SA"/>
              </w:rPr>
            </w:pPr>
            <w:r>
              <w:rPr>
                <w:color w:val="auto"/>
              </w:rPr>
              <w:t>——</w:t>
            </w:r>
          </w:p>
        </w:tc>
        <w:tc>
          <w:tcPr>
            <w:tcW w:w="4030" w:type="pct"/>
            <w:shd w:val="clear" w:color="auto" w:fill="auto"/>
            <w:vAlign w:val="top"/>
          </w:tcPr>
          <w:p w14:paraId="3B4766C2">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正截面受弯承载力</w:t>
            </w:r>
            <w:r>
              <w:rPr>
                <w:rFonts w:hint="eastAsia"/>
                <w:color w:val="auto"/>
                <w:lang w:val="en-US" w:eastAsia="zh-CN"/>
              </w:rPr>
              <w:t>标准值</w:t>
            </w:r>
            <w:r>
              <w:rPr>
                <w:rFonts w:hint="eastAsia"/>
                <w:color w:val="auto"/>
              </w:rPr>
              <w:t>；</w:t>
            </w:r>
          </w:p>
        </w:tc>
      </w:tr>
      <w:tr w14:paraId="76B3F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top"/>
          </w:tcPr>
          <w:p w14:paraId="4C59E016">
            <w:pPr>
              <w:ind w:firstLine="0" w:firstLineChars="0"/>
              <w:jc w:val="right"/>
              <w:rPr>
                <w:rFonts w:ascii="Times New Roman" w:hAnsi="Times New Roman" w:eastAsia="宋体" w:cs="Times New Roman"/>
                <w:color w:val="auto"/>
                <w:kern w:val="2"/>
                <w:position w:val="-14"/>
                <w:sz w:val="24"/>
                <w:lang w:val="en-US" w:eastAsia="zh-CN" w:bidi="ar-SA"/>
              </w:rPr>
            </w:pPr>
            <w:r>
              <w:rPr>
                <w:color w:val="auto"/>
                <w:position w:val="-12"/>
              </w:rPr>
              <w:object>
                <v:shape id="_x0000_i1038" o:spt="75" type="#_x0000_t75" style="height:17.5pt;width:21.25pt;" o:ole="t" filled="f" o:preferrelative="t" stroked="f" coordsize="21600,21600">
                  <v:path/>
                  <v:fill on="f" focussize="0,0"/>
                  <v:stroke on="f"/>
                  <v:imagedata r:id="rId47" o:title=""/>
                  <o:lock v:ext="edit" aspectratio="t"/>
                  <w10:wrap type="none"/>
                  <w10:anchorlock/>
                </v:shape>
                <o:OLEObject Type="Embed" ProgID="Equation.DSMT4" ShapeID="_x0000_i1038" DrawAspect="Content" ObjectID="_1468075738" r:id="rId46">
                  <o:LockedField>false</o:LockedField>
                </o:OLEObject>
              </w:object>
            </w:r>
          </w:p>
        </w:tc>
        <w:tc>
          <w:tcPr>
            <w:tcW w:w="408" w:type="pct"/>
            <w:shd w:val="clear" w:color="auto" w:fill="auto"/>
            <w:vAlign w:val="top"/>
          </w:tcPr>
          <w:p w14:paraId="517098FC">
            <w:pPr>
              <w:ind w:firstLine="0" w:firstLineChars="0"/>
              <w:rPr>
                <w:rFonts w:ascii="Times New Roman" w:hAnsi="Times New Roman" w:eastAsia="宋体" w:cs="Times New Roman"/>
                <w:color w:val="auto"/>
                <w:kern w:val="2"/>
                <w:sz w:val="24"/>
                <w:lang w:val="en-US" w:eastAsia="zh-CN" w:bidi="ar-SA"/>
              </w:rPr>
            </w:pPr>
            <w:r>
              <w:rPr>
                <w:color w:val="auto"/>
              </w:rPr>
              <w:t>——</w:t>
            </w:r>
          </w:p>
        </w:tc>
        <w:tc>
          <w:tcPr>
            <w:tcW w:w="4030" w:type="pct"/>
            <w:shd w:val="clear" w:color="auto" w:fill="auto"/>
            <w:vAlign w:val="top"/>
          </w:tcPr>
          <w:p w14:paraId="3EA608C5">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正截面</w:t>
            </w:r>
            <w:r>
              <w:rPr>
                <w:rFonts w:hint="eastAsia"/>
                <w:color w:val="auto"/>
                <w:lang w:val="en-US" w:eastAsia="zh-CN"/>
              </w:rPr>
              <w:t>抗震</w:t>
            </w:r>
            <w:r>
              <w:rPr>
                <w:rFonts w:hint="eastAsia"/>
                <w:color w:val="auto"/>
              </w:rPr>
              <w:t>受弯承载力</w:t>
            </w:r>
            <w:r>
              <w:rPr>
                <w:rFonts w:hint="eastAsia"/>
                <w:color w:val="auto"/>
                <w:lang w:val="en-US" w:eastAsia="zh-CN"/>
              </w:rPr>
              <w:t>标准值</w:t>
            </w:r>
            <w:r>
              <w:rPr>
                <w:rFonts w:hint="eastAsia"/>
                <w:color w:val="auto"/>
              </w:rPr>
              <w:t>；</w:t>
            </w:r>
          </w:p>
        </w:tc>
      </w:tr>
      <w:tr w14:paraId="6BAF7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center"/>
          </w:tcPr>
          <w:p w14:paraId="7889FD51">
            <w:pPr>
              <w:ind w:firstLine="0" w:firstLineChars="0"/>
              <w:jc w:val="right"/>
              <w:textAlignment w:val="center"/>
              <w:rPr>
                <w:rFonts w:ascii="Times New Roman" w:hAnsi="Times New Roman" w:eastAsia="宋体" w:cs="Times New Roman"/>
                <w:color w:val="auto"/>
                <w:kern w:val="2"/>
                <w:sz w:val="24"/>
                <w:lang w:val="en-US" w:eastAsia="zh-CN" w:bidi="ar-SA"/>
              </w:rPr>
            </w:pPr>
            <w:r>
              <w:rPr>
                <w:color w:val="auto"/>
              </w:rPr>
              <w:object>
                <v:shape id="_x0000_i1039" o:spt="75" type="#_x0000_t75" style="height:13.5pt;width:13.5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39" r:id="rId48">
                  <o:LockedField>false</o:LockedField>
                </o:OLEObject>
              </w:object>
            </w:r>
          </w:p>
        </w:tc>
        <w:tc>
          <w:tcPr>
            <w:tcW w:w="408" w:type="pct"/>
            <w:shd w:val="clear" w:color="auto" w:fill="auto"/>
            <w:vAlign w:val="top"/>
          </w:tcPr>
          <w:p w14:paraId="56AB6624">
            <w:pPr>
              <w:spacing w:before="31" w:beforeLines="10"/>
              <w:ind w:firstLine="0" w:firstLineChars="0"/>
              <w:jc w:val="center"/>
              <w:textAlignment w:val="center"/>
              <w:rPr>
                <w:rFonts w:ascii="Times New Roman" w:hAnsi="Times New Roman" w:eastAsia="宋体" w:cs="Times New Roman"/>
                <w:color w:val="auto"/>
                <w:kern w:val="2"/>
                <w:sz w:val="24"/>
                <w:lang w:val="en-US" w:eastAsia="zh-CN" w:bidi="ar-SA"/>
              </w:rPr>
            </w:pPr>
            <w:r>
              <w:rPr>
                <w:rFonts w:eastAsiaTheme="minorEastAsia"/>
                <w:color w:val="auto"/>
                <w:szCs w:val="24"/>
              </w:rPr>
              <w:t>——</w:t>
            </w:r>
          </w:p>
        </w:tc>
        <w:tc>
          <w:tcPr>
            <w:tcW w:w="4030" w:type="pct"/>
            <w:shd w:val="clear" w:color="auto" w:fill="auto"/>
            <w:vAlign w:val="center"/>
          </w:tcPr>
          <w:p w14:paraId="627376C7">
            <w:pPr>
              <w:ind w:firstLine="0" w:firstLineChars="0"/>
              <w:textAlignment w:val="center"/>
              <w:rPr>
                <w:rFonts w:ascii="Times New Roman" w:hAnsi="Times New Roman" w:eastAsia="宋体" w:cs="Times New Roman"/>
                <w:color w:val="auto"/>
                <w:kern w:val="2"/>
                <w:sz w:val="24"/>
                <w:lang w:val="en-US" w:eastAsia="zh-CN" w:bidi="ar-SA"/>
              </w:rPr>
            </w:pPr>
            <w:r>
              <w:rPr>
                <w:rFonts w:hint="eastAsia"/>
                <w:color w:val="auto"/>
              </w:rPr>
              <w:t>轴向力设计值；</w:t>
            </w:r>
          </w:p>
        </w:tc>
      </w:tr>
      <w:tr w14:paraId="5155E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center"/>
          </w:tcPr>
          <w:p w14:paraId="48012F54">
            <w:pPr>
              <w:ind w:firstLine="0" w:firstLineChars="0"/>
              <w:jc w:val="right"/>
              <w:textAlignment w:val="center"/>
              <w:rPr>
                <w:rFonts w:ascii="Times New Roman" w:hAnsi="Times New Roman" w:eastAsia="宋体" w:cs="Times New Roman"/>
                <w:color w:val="auto"/>
                <w:kern w:val="2"/>
                <w:sz w:val="24"/>
                <w:lang w:val="en-US" w:eastAsia="zh-CN" w:bidi="ar-SA"/>
              </w:rPr>
            </w:pPr>
            <w:r>
              <w:rPr>
                <w:color w:val="auto"/>
                <w:position w:val="-12"/>
              </w:rPr>
              <w:object>
                <v:shape id="_x0000_i1040" o:spt="75" type="#_x0000_t75" style="height:17.45pt;width:13.1pt;" o:ole="t" filled="f" o:preferrelative="t" stroked="f" coordsize="21600,21600">
                  <v:path/>
                  <v:fill on="f" focussize="0,0"/>
                  <v:stroke on="f" joinstyle="miter"/>
                  <v:imagedata r:id="rId51" o:title=""/>
                  <o:lock v:ext="edit" aspectratio="t"/>
                  <w10:wrap type="none"/>
                  <w10:anchorlock/>
                </v:shape>
                <o:OLEObject Type="Embed" ProgID="Equation.DSMT4" ShapeID="_x0000_i1040" DrawAspect="Content" ObjectID="_1468075740" r:id="rId50">
                  <o:LockedField>false</o:LockedField>
                </o:OLEObject>
              </w:object>
            </w:r>
          </w:p>
        </w:tc>
        <w:tc>
          <w:tcPr>
            <w:tcW w:w="408" w:type="pct"/>
            <w:shd w:val="clear" w:color="auto" w:fill="auto"/>
            <w:vAlign w:val="top"/>
          </w:tcPr>
          <w:p w14:paraId="17B632A3">
            <w:pPr>
              <w:spacing w:before="32" w:beforeLines="10"/>
              <w:ind w:firstLine="0" w:firstLineChars="0"/>
              <w:jc w:val="center"/>
              <w:textAlignment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4030" w:type="pct"/>
            <w:shd w:val="clear" w:color="auto" w:fill="auto"/>
            <w:vAlign w:val="center"/>
          </w:tcPr>
          <w:p w14:paraId="11BCDBCF">
            <w:pPr>
              <w:ind w:firstLine="0" w:firstLineChars="0"/>
              <w:textAlignment w:val="center"/>
              <w:rPr>
                <w:rFonts w:hint="eastAsia" w:ascii="Times New Roman" w:hAnsi="Times New Roman" w:eastAsia="宋体" w:cs="Times New Roman"/>
                <w:color w:val="auto"/>
                <w:kern w:val="2"/>
                <w:sz w:val="24"/>
                <w:lang w:val="en-US" w:eastAsia="zh-CN" w:bidi="ar-SA"/>
              </w:rPr>
            </w:pPr>
            <w:r>
              <w:rPr>
                <w:rFonts w:hint="eastAsia"/>
                <w:color w:val="auto"/>
              </w:rPr>
              <w:t>作用组合的效应设计值；</w:t>
            </w:r>
          </w:p>
        </w:tc>
      </w:tr>
      <w:tr w14:paraId="2CA23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center"/>
          </w:tcPr>
          <w:p w14:paraId="2F7EE4B3">
            <w:pPr>
              <w:ind w:firstLine="0" w:firstLineChars="0"/>
              <w:jc w:val="right"/>
              <w:textAlignment w:val="center"/>
              <w:rPr>
                <w:rFonts w:ascii="Times New Roman" w:hAnsi="Times New Roman" w:eastAsia="宋体" w:cs="Times New Roman"/>
                <w:color w:val="auto"/>
                <w:kern w:val="2"/>
                <w:sz w:val="24"/>
                <w:lang w:val="en-US" w:eastAsia="zh-CN" w:bidi="ar-SA"/>
              </w:rPr>
            </w:pPr>
            <w:r>
              <w:rPr>
                <w:color w:val="auto"/>
                <w:position w:val="-12"/>
              </w:rPr>
              <w:object>
                <v:shape id="_x0000_i1041" o:spt="75" type="#_x0000_t75" style="height:17.45pt;width:14.1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1" r:id="rId52">
                  <o:LockedField>false</o:LockedField>
                </o:OLEObject>
              </w:object>
            </w:r>
          </w:p>
        </w:tc>
        <w:tc>
          <w:tcPr>
            <w:tcW w:w="408" w:type="pct"/>
            <w:shd w:val="clear" w:color="auto" w:fill="auto"/>
            <w:vAlign w:val="top"/>
          </w:tcPr>
          <w:p w14:paraId="60892F17">
            <w:pPr>
              <w:spacing w:before="32" w:beforeLines="10"/>
              <w:ind w:firstLine="0" w:firstLineChars="0"/>
              <w:jc w:val="center"/>
              <w:textAlignment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4030" w:type="pct"/>
            <w:shd w:val="clear" w:color="auto" w:fill="auto"/>
            <w:vAlign w:val="center"/>
          </w:tcPr>
          <w:p w14:paraId="187F146D">
            <w:pPr>
              <w:ind w:firstLine="0" w:firstLineChars="0"/>
              <w:textAlignment w:val="center"/>
              <w:rPr>
                <w:rFonts w:hint="eastAsia" w:ascii="Times New Roman" w:hAnsi="Times New Roman" w:eastAsia="宋体" w:cs="Times New Roman"/>
                <w:color w:val="auto"/>
                <w:kern w:val="2"/>
                <w:sz w:val="24"/>
                <w:lang w:val="en-US" w:eastAsia="zh-CN" w:bidi="ar-SA"/>
              </w:rPr>
            </w:pPr>
            <w:r>
              <w:rPr>
                <w:rFonts w:hint="eastAsia"/>
                <w:color w:val="auto"/>
              </w:rPr>
              <w:t>构件承载力设计值；</w:t>
            </w:r>
          </w:p>
        </w:tc>
      </w:tr>
      <w:tr w14:paraId="4A4AE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center"/>
          </w:tcPr>
          <w:p w14:paraId="0A071229">
            <w:pPr>
              <w:ind w:firstLine="0" w:firstLineChars="0"/>
              <w:jc w:val="right"/>
              <w:textAlignment w:val="center"/>
              <w:rPr>
                <w:rFonts w:ascii="Times New Roman" w:hAnsi="Times New Roman" w:eastAsia="宋体" w:cs="Times New Roman"/>
                <w:color w:val="auto"/>
                <w:kern w:val="2"/>
                <w:sz w:val="24"/>
                <w:lang w:val="en-US" w:eastAsia="zh-CN" w:bidi="ar-SA"/>
              </w:rPr>
            </w:pPr>
            <w:r>
              <w:rPr>
                <w:color w:val="auto"/>
              </w:rPr>
              <w:object>
                <v:shape id="_x0000_i1042" o:spt="75" type="#_x0000_t75" style="height:13.5pt;width:11.25pt;" o:ole="t" filled="f" o:preferrelative="t" stroked="f" coordsize="21600,21600">
                  <v:path/>
                  <v:fill on="f" focussize="0,0"/>
                  <v:stroke on="f" joinstyle="miter"/>
                  <v:imagedata r:id="rId55" o:title=""/>
                  <o:lock v:ext="edit" aspectratio="t"/>
                  <w10:wrap type="none"/>
                  <w10:anchorlock/>
                </v:shape>
                <o:OLEObject Type="Embed" ProgID="Equation.DSMT4" ShapeID="_x0000_i1042" DrawAspect="Content" ObjectID="_1468075742" r:id="rId54">
                  <o:LockedField>false</o:LockedField>
                </o:OLEObject>
              </w:object>
            </w:r>
          </w:p>
        </w:tc>
        <w:tc>
          <w:tcPr>
            <w:tcW w:w="408" w:type="pct"/>
            <w:shd w:val="clear" w:color="auto" w:fill="auto"/>
            <w:vAlign w:val="top"/>
          </w:tcPr>
          <w:p w14:paraId="3905E44E">
            <w:pPr>
              <w:spacing w:before="31" w:beforeLines="10"/>
              <w:ind w:firstLine="0" w:firstLineChars="0"/>
              <w:jc w:val="center"/>
              <w:textAlignment w:val="center"/>
              <w:rPr>
                <w:rFonts w:ascii="Times New Roman" w:hAnsi="Times New Roman" w:eastAsia="宋体" w:cs="Times New Roman"/>
                <w:color w:val="auto"/>
                <w:kern w:val="2"/>
                <w:sz w:val="24"/>
                <w:lang w:val="en-US" w:eastAsia="zh-CN" w:bidi="ar-SA"/>
              </w:rPr>
            </w:pPr>
            <w:r>
              <w:rPr>
                <w:rFonts w:eastAsiaTheme="minorEastAsia"/>
                <w:color w:val="auto"/>
                <w:szCs w:val="24"/>
              </w:rPr>
              <w:t>——</w:t>
            </w:r>
          </w:p>
        </w:tc>
        <w:tc>
          <w:tcPr>
            <w:tcW w:w="4030" w:type="pct"/>
            <w:shd w:val="clear" w:color="auto" w:fill="auto"/>
            <w:vAlign w:val="center"/>
          </w:tcPr>
          <w:p w14:paraId="59359477">
            <w:pPr>
              <w:ind w:firstLine="0" w:firstLineChars="0"/>
              <w:textAlignment w:val="center"/>
              <w:rPr>
                <w:rFonts w:hint="eastAsia" w:ascii="Times New Roman" w:hAnsi="Times New Roman" w:eastAsia="宋体" w:cs="Times New Roman"/>
                <w:color w:val="auto"/>
                <w:kern w:val="2"/>
                <w:sz w:val="24"/>
                <w:lang w:val="en-US" w:eastAsia="zh-CN" w:bidi="ar-SA"/>
              </w:rPr>
            </w:pPr>
            <w:r>
              <w:rPr>
                <w:rFonts w:hint="eastAsia"/>
                <w:color w:val="auto"/>
              </w:rPr>
              <w:t>剪力设计值；</w:t>
            </w:r>
          </w:p>
        </w:tc>
      </w:tr>
      <w:tr w14:paraId="59ABA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center"/>
          </w:tcPr>
          <w:p w14:paraId="415DEE6C">
            <w:pPr>
              <w:ind w:firstLine="0" w:firstLineChars="0"/>
              <w:jc w:val="right"/>
              <w:textAlignment w:val="center"/>
              <w:rPr>
                <w:rFonts w:ascii="Times New Roman" w:hAnsi="Times New Roman" w:eastAsia="宋体" w:cs="Times New Roman"/>
                <w:color w:val="auto"/>
                <w:kern w:val="2"/>
                <w:sz w:val="24"/>
                <w:lang w:val="en-US" w:eastAsia="zh-CN" w:bidi="ar-SA"/>
              </w:rPr>
            </w:pPr>
            <w:r>
              <w:rPr>
                <w:color w:val="auto"/>
                <w:position w:val="-12"/>
              </w:rPr>
              <w:object>
                <v:shape id="_x0000_i1043" o:spt="75" type="#_x0000_t75" style="height:18.75pt;width:14.45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3" r:id="rId56">
                  <o:LockedField>false</o:LockedField>
                </o:OLEObject>
              </w:object>
            </w:r>
          </w:p>
        </w:tc>
        <w:tc>
          <w:tcPr>
            <w:tcW w:w="408" w:type="pct"/>
            <w:shd w:val="clear" w:color="auto" w:fill="auto"/>
            <w:vAlign w:val="top"/>
          </w:tcPr>
          <w:p w14:paraId="1E16FE9D">
            <w:pPr>
              <w:spacing w:before="32" w:beforeLines="10"/>
              <w:ind w:firstLine="0" w:firstLineChars="0"/>
              <w:jc w:val="center"/>
              <w:textAlignment w:val="center"/>
              <w:rPr>
                <w:rFonts w:ascii="Times New Roman" w:hAnsi="Times New Roman" w:eastAsia="宋体" w:cs="Times New Roman"/>
                <w:color w:val="auto"/>
                <w:kern w:val="2"/>
                <w:sz w:val="24"/>
                <w:lang w:val="en-US" w:eastAsia="zh-CN" w:bidi="ar-SA"/>
              </w:rPr>
            </w:pPr>
            <w:r>
              <w:rPr>
                <w:rFonts w:eastAsiaTheme="minorEastAsia"/>
                <w:color w:val="auto"/>
                <w:szCs w:val="24"/>
              </w:rPr>
              <w:t>——</w:t>
            </w:r>
          </w:p>
        </w:tc>
        <w:tc>
          <w:tcPr>
            <w:tcW w:w="4030" w:type="pct"/>
            <w:shd w:val="clear" w:color="auto" w:fill="auto"/>
            <w:vAlign w:val="center"/>
          </w:tcPr>
          <w:p w14:paraId="65C9D1AD">
            <w:pPr>
              <w:ind w:firstLine="0" w:firstLineChars="0"/>
              <w:textAlignment w:val="center"/>
              <w:rPr>
                <w:rFonts w:hint="eastAsia" w:ascii="Times New Roman" w:hAnsi="Times New Roman" w:eastAsia="宋体" w:cs="Times New Roman"/>
                <w:color w:val="auto"/>
                <w:kern w:val="2"/>
                <w:sz w:val="24"/>
                <w:lang w:val="en-US" w:eastAsia="zh-CN" w:bidi="ar-SA"/>
              </w:rPr>
            </w:pPr>
            <w:r>
              <w:rPr>
                <w:rFonts w:hint="eastAsia"/>
                <w:color w:val="auto"/>
              </w:rPr>
              <w:t>受剪承载力设计值；</w:t>
            </w:r>
          </w:p>
        </w:tc>
      </w:tr>
      <w:tr w14:paraId="1D12C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pct"/>
            <w:shd w:val="clear" w:color="auto" w:fill="auto"/>
            <w:vAlign w:val="top"/>
          </w:tcPr>
          <w:p w14:paraId="2BD658F7">
            <w:pPr>
              <w:ind w:left="0" w:leftChars="0" w:firstLine="0" w:firstLineChars="0"/>
              <w:jc w:val="right"/>
              <w:rPr>
                <w:rFonts w:ascii="Times New Roman" w:hAnsi="Times New Roman" w:eastAsia="宋体" w:cs="Times New Roman"/>
                <w:color w:val="auto"/>
                <w:kern w:val="2"/>
                <w:position w:val="-12"/>
                <w:sz w:val="24"/>
                <w:lang w:val="en-US" w:eastAsia="zh-CN" w:bidi="ar-SA"/>
              </w:rPr>
            </w:pPr>
            <w:r>
              <w:rPr>
                <w:color w:val="auto"/>
                <w:position w:val="-12"/>
              </w:rPr>
              <w:object>
                <v:shape id="_x0000_i1044" o:spt="75" type="#_x0000_t75" style="height:18.4pt;width:16.95pt;" o:ole="t" filled="f" o:preferrelative="t" stroked="f" coordsize="21600,21600">
                  <v:path/>
                  <v:fill on="f" focussize="0,0"/>
                  <v:stroke on="f" joinstyle="miter"/>
                  <v:imagedata r:id="rId59" o:title=""/>
                  <o:lock v:ext="edit" aspectratio="t"/>
                  <w10:wrap type="none"/>
                  <w10:anchorlock/>
                </v:shape>
                <o:OLEObject Type="Embed" ProgID="Equation.DSMT4" ShapeID="_x0000_i1044" DrawAspect="Content" ObjectID="_1468075744" r:id="rId58">
                  <o:LockedField>false</o:LockedField>
                </o:OLEObject>
              </w:object>
            </w:r>
          </w:p>
        </w:tc>
        <w:tc>
          <w:tcPr>
            <w:tcW w:w="408" w:type="pct"/>
            <w:shd w:val="clear" w:color="auto" w:fill="auto"/>
            <w:vAlign w:val="top"/>
          </w:tcPr>
          <w:p w14:paraId="4272C221">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4030" w:type="pct"/>
            <w:shd w:val="clear" w:color="auto" w:fill="auto"/>
            <w:vAlign w:val="center"/>
          </w:tcPr>
          <w:p w14:paraId="31618E1F">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混凝土的法向拉应力</w:t>
            </w:r>
            <w:r>
              <w:rPr>
                <w:rFonts w:hint="eastAsia"/>
                <w:color w:val="auto"/>
                <w:lang w:eastAsia="zh-CN"/>
              </w:rPr>
              <w:t>。</w:t>
            </w:r>
          </w:p>
        </w:tc>
      </w:tr>
    </w:tbl>
    <w:p w14:paraId="056E64E3">
      <w:pPr>
        <w:pStyle w:val="42"/>
      </w:pPr>
      <w:r>
        <w:rPr>
          <w:rFonts w:hint="eastAsia"/>
        </w:rPr>
        <w:t>几何参数</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
        <w:gridCol w:w="709"/>
        <w:gridCol w:w="6848"/>
      </w:tblGrid>
      <w:tr w14:paraId="46A2D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33D24660">
            <w:pPr>
              <w:widowControl/>
              <w:ind w:firstLine="0" w:firstLineChars="0"/>
              <w:jc w:val="right"/>
              <w:rPr>
                <w:color w:val="0D0D0D" w:themeColor="text1" w:themeTint="F2"/>
                <w14:textFill>
                  <w14:solidFill>
                    <w14:schemeClr w14:val="tx1">
                      <w14:lumMod w14:val="95000"/>
                      <w14:lumOff w14:val="5000"/>
                    </w14:schemeClr>
                  </w14:solidFill>
                </w14:textFill>
              </w:rPr>
            </w:pPr>
            <w:r>
              <w:rPr>
                <w:color w:val="auto"/>
                <w:position w:val="-4"/>
              </w:rPr>
              <w:object>
                <v:shape id="_x0000_i1045" o:spt="75" type="#_x0000_t75" style="height:13pt;width:11.85pt;" o:ole="t" filled="f" o:preferrelative="t" stroked="f" coordsize="21600,21600">
                  <v:path/>
                  <v:fill on="f" focussize="0,0"/>
                  <v:stroke on="f"/>
                  <v:imagedata r:id="rId61" o:title=""/>
                  <o:lock v:ext="edit" aspectratio="t"/>
                  <w10:wrap type="none"/>
                  <w10:anchorlock/>
                </v:shape>
                <o:OLEObject Type="Embed" ProgID="Equation.DSMT4" ShapeID="_x0000_i1045" DrawAspect="Content" ObjectID="_1468075745" r:id="rId60">
                  <o:LockedField>false</o:LockedField>
                </o:OLEObject>
              </w:object>
            </w:r>
          </w:p>
        </w:tc>
        <w:tc>
          <w:tcPr>
            <w:tcW w:w="709" w:type="dxa"/>
            <w:vAlign w:val="center"/>
          </w:tcPr>
          <w:p w14:paraId="2B427926">
            <w:pPr>
              <w:widowControl/>
              <w:ind w:firstLine="0" w:firstLineChars="0"/>
              <w:jc w:val="center"/>
              <w:rPr>
                <w:color w:val="0D0D0D" w:themeColor="text1" w:themeTint="F2"/>
                <w14:textFill>
                  <w14:solidFill>
                    <w14:schemeClr w14:val="tx1">
                      <w14:lumMod w14:val="95000"/>
                      <w14:lumOff w14:val="5000"/>
                    </w14:schemeClr>
                  </w14:solidFill>
                </w14:textFill>
              </w:rPr>
            </w:pPr>
            <w:r>
              <w:rPr>
                <w:rFonts w:eastAsiaTheme="minorEastAsia"/>
                <w:color w:val="auto"/>
                <w:szCs w:val="24"/>
              </w:rPr>
              <w:t>——</w:t>
            </w:r>
          </w:p>
        </w:tc>
        <w:tc>
          <w:tcPr>
            <w:tcW w:w="6848" w:type="dxa"/>
            <w:vAlign w:val="center"/>
          </w:tcPr>
          <w:p w14:paraId="7170440D">
            <w:pPr>
              <w:widowControl/>
              <w:ind w:firstLine="0" w:firstLineChars="0"/>
              <w:rPr>
                <w:color w:val="0D0D0D" w:themeColor="text1" w:themeTint="F2"/>
                <w14:textFill>
                  <w14:solidFill>
                    <w14:schemeClr w14:val="tx1">
                      <w14:lumMod w14:val="95000"/>
                      <w14:lumOff w14:val="5000"/>
                    </w14:schemeClr>
                  </w14:solidFill>
                </w14:textFill>
              </w:rPr>
            </w:pPr>
            <w:r>
              <w:rPr>
                <w:rFonts w:hint="eastAsia"/>
                <w:color w:val="auto"/>
              </w:rPr>
              <w:t>截面面积；</w:t>
            </w:r>
          </w:p>
        </w:tc>
      </w:tr>
      <w:tr w14:paraId="381E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71ACFC26">
            <w:pPr>
              <w:widowControl/>
              <w:ind w:firstLine="0" w:firstLineChars="0"/>
              <w:jc w:val="right"/>
              <w:rPr>
                <w:color w:val="0D0D0D" w:themeColor="text1" w:themeTint="F2"/>
                <w14:textFill>
                  <w14:solidFill>
                    <w14:schemeClr w14:val="tx1">
                      <w14:lumMod w14:val="95000"/>
                      <w14:lumOff w14:val="5000"/>
                    </w14:schemeClr>
                  </w14:solidFill>
                </w14:textFill>
              </w:rPr>
            </w:pPr>
            <w:r>
              <w:rPr>
                <w:color w:val="auto"/>
                <w:position w:val="-6"/>
              </w:rPr>
              <w:object>
                <v:shape id="_x0000_i1046" o:spt="75" type="#_x0000_t75" style="height:14.25pt;width:9.75pt;" o:ole="t" filled="f" o:preferrelative="t" stroked="f" coordsize="21600,21600">
                  <v:path/>
                  <v:fill on="f" focussize="0,0"/>
                  <v:stroke on="f" joinstyle="miter"/>
                  <v:imagedata r:id="rId63" o:title=""/>
                  <o:lock v:ext="edit" aspectratio="t"/>
                  <w10:wrap type="none"/>
                  <w10:anchorlock/>
                </v:shape>
                <o:OLEObject Type="Embed" ProgID="Equation.DSMT4" ShapeID="_x0000_i1046" DrawAspect="Content" ObjectID="_1468075746" r:id="rId62">
                  <o:LockedField>false</o:LockedField>
                </o:OLEObject>
              </w:object>
            </w:r>
          </w:p>
        </w:tc>
        <w:tc>
          <w:tcPr>
            <w:tcW w:w="709" w:type="dxa"/>
            <w:vAlign w:val="center"/>
          </w:tcPr>
          <w:p w14:paraId="5E20D055">
            <w:pPr>
              <w:widowControl/>
              <w:ind w:firstLine="0" w:firstLineChars="0"/>
              <w:jc w:val="center"/>
              <w:rPr>
                <w:color w:val="0D0D0D" w:themeColor="text1" w:themeTint="F2"/>
                <w14:textFill>
                  <w14:solidFill>
                    <w14:schemeClr w14:val="tx1">
                      <w14:lumMod w14:val="95000"/>
                      <w14:lumOff w14:val="5000"/>
                    </w14:schemeClr>
                  </w14:solidFill>
                </w14:textFill>
              </w:rPr>
            </w:pPr>
            <w:r>
              <w:rPr>
                <w:rFonts w:eastAsiaTheme="minorEastAsia"/>
                <w:color w:val="auto"/>
                <w:szCs w:val="24"/>
              </w:rPr>
              <w:t>——</w:t>
            </w:r>
          </w:p>
        </w:tc>
        <w:tc>
          <w:tcPr>
            <w:tcW w:w="6848" w:type="dxa"/>
            <w:vAlign w:val="center"/>
          </w:tcPr>
          <w:p w14:paraId="42BAE14A">
            <w:pPr>
              <w:widowControl/>
              <w:ind w:firstLine="0" w:firstLineChars="0"/>
              <w:rPr>
                <w:color w:val="0D0D0D" w:themeColor="text1" w:themeTint="F2"/>
                <w14:textFill>
                  <w14:solidFill>
                    <w14:schemeClr w14:val="tx1">
                      <w14:lumMod w14:val="95000"/>
                      <w14:lumOff w14:val="5000"/>
                    </w14:schemeClr>
                  </w14:solidFill>
                </w14:textFill>
              </w:rPr>
            </w:pPr>
            <w:r>
              <w:rPr>
                <w:rFonts w:hint="eastAsia"/>
                <w:color w:val="auto"/>
              </w:rPr>
              <w:t>宽度；</w:t>
            </w:r>
          </w:p>
        </w:tc>
      </w:tr>
      <w:tr w14:paraId="7D267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50345745">
            <w:pPr>
              <w:widowControl/>
              <w:ind w:firstLine="0" w:firstLineChars="0"/>
              <w:jc w:val="right"/>
              <w:rPr>
                <w:color w:val="0D0D0D" w:themeColor="text1" w:themeTint="F2"/>
                <w14:textFill>
                  <w14:solidFill>
                    <w14:schemeClr w14:val="tx1">
                      <w14:lumMod w14:val="95000"/>
                      <w14:lumOff w14:val="5000"/>
                    </w14:schemeClr>
                  </w14:solidFill>
                </w14:textFill>
              </w:rPr>
            </w:pPr>
            <w:r>
              <w:rPr>
                <w:color w:val="auto"/>
                <w:position w:val="-12"/>
              </w:rPr>
              <w:object>
                <v:shape id="_x0000_i1047" o:spt="75" alt="" type="#_x0000_t75" style="height:18.25pt;width:17.45pt;" o:ole="t" filled="f" o:preferrelative="t" stroked="f" coordsize="21600,21600">
                  <v:path/>
                  <v:fill on="f" focussize="0,0"/>
                  <v:stroke on="f"/>
                  <v:imagedata r:id="rId65" o:title=""/>
                  <o:lock v:ext="edit" aspectratio="t"/>
                  <w10:wrap type="none"/>
                  <w10:anchorlock/>
                </v:shape>
                <o:OLEObject Type="Embed" ProgID="Equation.DSMT4" ShapeID="_x0000_i1047" DrawAspect="Content" ObjectID="_1468075747" r:id="rId64">
                  <o:LockedField>false</o:LockedField>
                </o:OLEObject>
              </w:object>
            </w:r>
          </w:p>
        </w:tc>
        <w:tc>
          <w:tcPr>
            <w:tcW w:w="709" w:type="dxa"/>
            <w:vAlign w:val="center"/>
          </w:tcPr>
          <w:p w14:paraId="654EB8A5">
            <w:pPr>
              <w:widowControl/>
              <w:ind w:firstLine="0" w:firstLineChars="0"/>
              <w:jc w:val="center"/>
              <w:rPr>
                <w:color w:val="0D0D0D" w:themeColor="text1" w:themeTint="F2"/>
                <w14:textFill>
                  <w14:solidFill>
                    <w14:schemeClr w14:val="tx1">
                      <w14:lumMod w14:val="95000"/>
                      <w14:lumOff w14:val="5000"/>
                    </w14:schemeClr>
                  </w14:solidFill>
                </w14:textFill>
              </w:rPr>
            </w:pPr>
            <w:r>
              <w:rPr>
                <w:rFonts w:eastAsiaTheme="minorEastAsia"/>
                <w:color w:val="auto"/>
                <w:szCs w:val="24"/>
              </w:rPr>
              <w:t>——</w:t>
            </w:r>
          </w:p>
        </w:tc>
        <w:tc>
          <w:tcPr>
            <w:tcW w:w="6848" w:type="dxa"/>
            <w:vAlign w:val="center"/>
          </w:tcPr>
          <w:p w14:paraId="4F868F00">
            <w:pPr>
              <w:widowControl/>
              <w:ind w:firstLine="0" w:firstLineChars="0"/>
              <w:rPr>
                <w:color w:val="0D0D0D" w:themeColor="text1" w:themeTint="F2"/>
                <w14:textFill>
                  <w14:solidFill>
                    <w14:schemeClr w14:val="tx1">
                      <w14:lumMod w14:val="95000"/>
                      <w14:lumOff w14:val="5000"/>
                    </w14:schemeClr>
                  </w14:solidFill>
                </w14:textFill>
              </w:rPr>
            </w:pPr>
            <w:r>
              <w:rPr>
                <w:rFonts w:hint="eastAsia"/>
                <w:color w:val="auto"/>
              </w:rPr>
              <w:t>柱的净高度；</w:t>
            </w:r>
          </w:p>
        </w:tc>
      </w:tr>
      <w:tr w14:paraId="4A144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096BA025">
            <w:pPr>
              <w:widowControl/>
              <w:ind w:firstLine="0" w:firstLineChars="0"/>
              <w:jc w:val="right"/>
              <w:rPr>
                <w:color w:val="0D0D0D" w:themeColor="text1" w:themeTint="F2"/>
                <w14:textFill>
                  <w14:solidFill>
                    <w14:schemeClr w14:val="tx1">
                      <w14:lumMod w14:val="95000"/>
                      <w14:lumOff w14:val="5000"/>
                    </w14:schemeClr>
                  </w14:solidFill>
                </w14:textFill>
              </w:rPr>
            </w:pPr>
            <w:r>
              <w:rPr>
                <w:color w:val="auto"/>
                <w:position w:val="-6"/>
              </w:rPr>
              <w:object>
                <v:shape id="_x0000_i1048" o:spt="75" type="#_x0000_t75" style="height:13.95pt;width:9.85pt;" o:ole="t" filled="f" o:preferrelative="t" stroked="f" coordsize="21600,21600">
                  <v:path/>
                  <v:fill on="f" focussize="0,0"/>
                  <v:stroke on="f" joinstyle="miter"/>
                  <v:imagedata r:id="rId67" o:title=""/>
                  <o:lock v:ext="edit" aspectratio="t"/>
                  <w10:wrap type="none"/>
                  <w10:anchorlock/>
                </v:shape>
                <o:OLEObject Type="Embed" ProgID="Equation.DSMT4" ShapeID="_x0000_i1048" DrawAspect="Content" ObjectID="_1468075748" r:id="rId66">
                  <o:LockedField>false</o:LockedField>
                </o:OLEObject>
              </w:object>
            </w:r>
          </w:p>
        </w:tc>
        <w:tc>
          <w:tcPr>
            <w:tcW w:w="709" w:type="dxa"/>
            <w:vAlign w:val="center"/>
          </w:tcPr>
          <w:p w14:paraId="2D2235C0">
            <w:pPr>
              <w:widowControl/>
              <w:ind w:firstLine="0" w:firstLineChars="0"/>
              <w:jc w:val="center"/>
              <w:rPr>
                <w:color w:val="0D0D0D" w:themeColor="text1" w:themeTint="F2"/>
                <w14:textFill>
                  <w14:solidFill>
                    <w14:schemeClr w14:val="tx1">
                      <w14:lumMod w14:val="95000"/>
                      <w14:lumOff w14:val="5000"/>
                    </w14:schemeClr>
                  </w14:solidFill>
                </w14:textFill>
              </w:rPr>
            </w:pPr>
            <w:r>
              <w:rPr>
                <w:rFonts w:eastAsiaTheme="minorEastAsia"/>
                <w:color w:val="auto"/>
                <w:szCs w:val="24"/>
              </w:rPr>
              <w:t>——</w:t>
            </w:r>
          </w:p>
        </w:tc>
        <w:tc>
          <w:tcPr>
            <w:tcW w:w="6848" w:type="dxa"/>
            <w:vAlign w:val="center"/>
          </w:tcPr>
          <w:p w14:paraId="57DD72B0">
            <w:pPr>
              <w:widowControl/>
              <w:ind w:firstLine="0" w:firstLineChars="0"/>
              <w:rPr>
                <w:color w:val="0D0D0D" w:themeColor="text1" w:themeTint="F2"/>
                <w14:textFill>
                  <w14:solidFill>
                    <w14:schemeClr w14:val="tx1">
                      <w14:lumMod w14:val="95000"/>
                      <w14:lumOff w14:val="5000"/>
                    </w14:schemeClr>
                  </w14:solidFill>
                </w14:textFill>
              </w:rPr>
            </w:pPr>
            <w:r>
              <w:rPr>
                <w:rFonts w:hint="eastAsia"/>
                <w:color w:val="auto"/>
              </w:rPr>
              <w:t>高度；</w:t>
            </w:r>
          </w:p>
        </w:tc>
      </w:tr>
      <w:tr w14:paraId="7770A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shd w:val="clear" w:color="auto" w:fill="auto"/>
            <w:vAlign w:val="center"/>
          </w:tcPr>
          <w:p w14:paraId="05A5FDFF">
            <w:pPr>
              <w:widowControl/>
              <w:ind w:firstLine="0" w:firstLineChars="0"/>
              <w:jc w:val="right"/>
              <w:rPr>
                <w:rFonts w:hint="eastAsia" w:ascii="Times New Roman" w:hAnsi="Times New Roman" w:eastAsia="宋体" w:cs="Times New Roman"/>
                <w:i/>
                <w:iCs/>
                <w:color w:val="auto"/>
                <w:kern w:val="2"/>
                <w:sz w:val="24"/>
                <w:lang w:val="en-US" w:eastAsia="zh-CN" w:bidi="ar-SA"/>
              </w:rPr>
            </w:pPr>
            <w:r>
              <w:rPr>
                <w:rFonts w:hint="eastAsia"/>
                <w:i/>
                <w:iCs/>
              </w:rPr>
              <w:t>L</w:t>
            </w:r>
            <w:r>
              <w:rPr>
                <w:rFonts w:hint="eastAsia"/>
                <w:vertAlign w:val="subscript"/>
              </w:rPr>
              <w:t>d</w:t>
            </w:r>
          </w:p>
        </w:tc>
        <w:tc>
          <w:tcPr>
            <w:tcW w:w="709" w:type="dxa"/>
            <w:shd w:val="clear" w:color="auto" w:fill="auto"/>
            <w:vAlign w:val="center"/>
          </w:tcPr>
          <w:p w14:paraId="6833A655">
            <w:pPr>
              <w:widowControl/>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848" w:type="dxa"/>
            <w:shd w:val="clear" w:color="auto" w:fill="auto"/>
            <w:vAlign w:val="center"/>
          </w:tcPr>
          <w:p w14:paraId="70AC9BFC">
            <w:pPr>
              <w:widowControl/>
              <w:ind w:left="0" w:leftChars="0" w:firstLine="0" w:firstLineChars="0"/>
              <w:rPr>
                <w:rFonts w:hint="eastAsia" w:ascii="Times New Roman" w:hAnsi="Times New Roman" w:eastAsia="宋体" w:cs="Times New Roman"/>
                <w:color w:val="auto"/>
                <w:kern w:val="2"/>
                <w:sz w:val="24"/>
                <w:lang w:val="en-US" w:eastAsia="zh-CN" w:bidi="ar-SA"/>
              </w:rPr>
            </w:pPr>
            <w:r>
              <w:rPr>
                <w:rFonts w:hint="eastAsia"/>
              </w:rPr>
              <w:t>箍筋加密区</w:t>
            </w:r>
            <w:r>
              <w:rPr>
                <w:rFonts w:hint="eastAsia"/>
                <w:lang w:val="en-US" w:eastAsia="zh-CN"/>
              </w:rPr>
              <w:t>长度；</w:t>
            </w:r>
          </w:p>
        </w:tc>
      </w:tr>
      <w:tr w14:paraId="1EFA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shd w:val="clear" w:color="auto" w:fill="auto"/>
            <w:vAlign w:val="center"/>
          </w:tcPr>
          <w:p w14:paraId="2102A077">
            <w:pPr>
              <w:widowControl/>
              <w:ind w:firstLine="0" w:firstLineChars="0"/>
              <w:jc w:val="right"/>
              <w:rPr>
                <w:rFonts w:hint="eastAsia" w:ascii="Times New Roman" w:hAnsi="Times New Roman" w:eastAsia="宋体" w:cs="Times New Roman"/>
                <w:i/>
                <w:iCs/>
                <w:kern w:val="2"/>
                <w:sz w:val="24"/>
                <w:lang w:val="en-US" w:eastAsia="zh-CN" w:bidi="ar-SA"/>
              </w:rPr>
            </w:pPr>
            <w:r>
              <w:rPr>
                <w:rFonts w:hint="eastAsia"/>
                <w:i/>
                <w:iCs/>
              </w:rPr>
              <w:t>L</w:t>
            </w:r>
            <w:r>
              <w:rPr>
                <w:rFonts w:hint="eastAsia"/>
                <w:vertAlign w:val="subscript"/>
                <w:lang w:val="en-US" w:eastAsia="zh-CN"/>
              </w:rPr>
              <w:t>s</w:t>
            </w:r>
          </w:p>
        </w:tc>
        <w:tc>
          <w:tcPr>
            <w:tcW w:w="709" w:type="dxa"/>
            <w:shd w:val="clear" w:color="auto" w:fill="auto"/>
            <w:vAlign w:val="center"/>
          </w:tcPr>
          <w:p w14:paraId="795F0603">
            <w:pPr>
              <w:widowControl/>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848" w:type="dxa"/>
            <w:shd w:val="clear" w:color="auto" w:fill="auto"/>
            <w:vAlign w:val="center"/>
          </w:tcPr>
          <w:p w14:paraId="68DB9B65">
            <w:pPr>
              <w:widowControl/>
              <w:ind w:left="0" w:leftChars="0" w:firstLine="0" w:firstLineChars="0"/>
              <w:rPr>
                <w:rFonts w:hint="eastAsia" w:ascii="Times New Roman" w:hAnsi="Times New Roman" w:eastAsia="宋体" w:cs="Times New Roman"/>
                <w:kern w:val="2"/>
                <w:sz w:val="24"/>
                <w:lang w:val="en-US" w:eastAsia="zh-CN" w:bidi="ar-SA"/>
              </w:rPr>
            </w:pPr>
            <w:r>
              <w:rPr>
                <w:rFonts w:hint="eastAsia"/>
                <w:lang w:val="en-US" w:eastAsia="zh-CN"/>
              </w:rPr>
              <w:t>埋入</w:t>
            </w:r>
            <w:r>
              <w:rPr>
                <w:rFonts w:hint="eastAsia"/>
              </w:rPr>
              <w:t>长度</w:t>
            </w:r>
            <w:r>
              <w:rPr>
                <w:rFonts w:hint="eastAsia"/>
                <w:color w:val="auto"/>
                <w:lang w:val="en-US" w:eastAsia="zh-CN"/>
              </w:rPr>
              <w:t>；</w:t>
            </w:r>
          </w:p>
        </w:tc>
      </w:tr>
      <w:tr w14:paraId="23334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shd w:val="clear" w:color="auto" w:fill="auto"/>
            <w:vAlign w:val="center"/>
          </w:tcPr>
          <w:p w14:paraId="41E99617">
            <w:pPr>
              <w:widowControl/>
              <w:ind w:firstLine="0" w:firstLineChars="0"/>
              <w:jc w:val="right"/>
              <w:rPr>
                <w:rFonts w:hint="eastAsia" w:ascii="Times New Roman" w:hAnsi="Times New Roman" w:eastAsia="宋体" w:cs="Times New Roman"/>
                <w:color w:val="auto"/>
                <w:kern w:val="2"/>
                <w:position w:val="-6"/>
                <w:sz w:val="24"/>
                <w:lang w:val="en-US" w:eastAsia="zh-CN" w:bidi="ar-SA"/>
              </w:rPr>
            </w:pPr>
            <w:r>
              <w:rPr>
                <w:rFonts w:hint="eastAsia"/>
                <w:i/>
                <w:iCs/>
                <w:color w:val="auto"/>
              </w:rPr>
              <w:t>L</w:t>
            </w:r>
            <w:r>
              <w:rPr>
                <w:rFonts w:hint="eastAsia"/>
                <w:i w:val="0"/>
                <w:iCs w:val="0"/>
                <w:color w:val="auto"/>
                <w:vertAlign w:val="subscript"/>
                <w:lang w:val="en-US" w:eastAsia="zh-CN"/>
              </w:rPr>
              <w:t>w</w:t>
            </w:r>
          </w:p>
        </w:tc>
        <w:tc>
          <w:tcPr>
            <w:tcW w:w="709" w:type="dxa"/>
            <w:shd w:val="clear" w:color="auto" w:fill="auto"/>
            <w:vAlign w:val="center"/>
          </w:tcPr>
          <w:p w14:paraId="30DA4788">
            <w:pPr>
              <w:widowControl/>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848" w:type="dxa"/>
            <w:shd w:val="clear" w:color="auto" w:fill="auto"/>
            <w:vAlign w:val="center"/>
          </w:tcPr>
          <w:p w14:paraId="596BF8EF">
            <w:pPr>
              <w:widowControl/>
              <w:ind w:left="0" w:leftChars="0" w:firstLine="0" w:firstLineChars="0"/>
              <w:rPr>
                <w:rFonts w:hint="eastAsia" w:ascii="Times New Roman" w:hAnsi="Times New Roman" w:eastAsia="宋体" w:cs="Times New Roman"/>
                <w:color w:val="auto"/>
                <w:kern w:val="2"/>
                <w:sz w:val="24"/>
                <w:lang w:val="en-US" w:eastAsia="zh-CN" w:bidi="ar-SA"/>
              </w:rPr>
            </w:pPr>
            <w:r>
              <w:rPr>
                <w:rFonts w:hint="eastAsia"/>
                <w:color w:val="auto"/>
                <w:lang w:val="en-US" w:eastAsia="zh-CN"/>
              </w:rPr>
              <w:t>焊接长度</w:t>
            </w:r>
            <w:r>
              <w:rPr>
                <w:rFonts w:hint="eastAsia"/>
                <w:color w:val="auto"/>
              </w:rPr>
              <w:t>；</w:t>
            </w:r>
          </w:p>
        </w:tc>
      </w:tr>
      <w:tr w14:paraId="17366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513594DD">
            <w:pPr>
              <w:widowControl/>
              <w:ind w:firstLine="0" w:firstLineChars="0"/>
              <w:jc w:val="right"/>
              <w:rPr>
                <w:rFonts w:hint="eastAsia"/>
                <w:i/>
                <w:iCs/>
              </w:rPr>
            </w:pPr>
            <w:r>
              <w:rPr>
                <w:color w:val="auto"/>
                <w:position w:val="-6"/>
              </w:rPr>
              <w:object>
                <v:shape id="_x0000_i1049" o:spt="75" type="#_x0000_t75" style="height:14.25pt;width:6.75pt;" o:ole="t" filled="f" o:preferrelative="t" stroked="f" coordsize="21600,21600">
                  <v:path/>
                  <v:fill on="f" focussize="0,0"/>
                  <v:stroke on="f" joinstyle="miter"/>
                  <v:imagedata r:id="rId69" o:title=""/>
                  <o:lock v:ext="edit" aspectratio="t"/>
                  <w10:wrap type="none"/>
                  <w10:anchorlock/>
                </v:shape>
                <o:OLEObject Type="Embed" ProgID="Equation.DSMT4" ShapeID="_x0000_i1049" DrawAspect="Content" ObjectID="_1468075749" r:id="rId68">
                  <o:LockedField>false</o:LockedField>
                </o:OLEObject>
              </w:object>
            </w:r>
          </w:p>
        </w:tc>
        <w:tc>
          <w:tcPr>
            <w:tcW w:w="709" w:type="dxa"/>
            <w:vAlign w:val="center"/>
          </w:tcPr>
          <w:p w14:paraId="0B0C08A3">
            <w:pPr>
              <w:widowControl/>
              <w:ind w:firstLine="0" w:firstLineChars="0"/>
              <w:jc w:val="center"/>
              <w:rPr>
                <w:rFonts w:eastAsiaTheme="minorEastAsia"/>
                <w:color w:val="auto"/>
                <w:szCs w:val="24"/>
              </w:rPr>
            </w:pPr>
            <w:r>
              <w:rPr>
                <w:rFonts w:eastAsiaTheme="minorEastAsia"/>
                <w:color w:val="auto"/>
                <w:szCs w:val="24"/>
              </w:rPr>
              <w:t>——</w:t>
            </w:r>
          </w:p>
        </w:tc>
        <w:tc>
          <w:tcPr>
            <w:tcW w:w="6848" w:type="dxa"/>
            <w:vAlign w:val="center"/>
          </w:tcPr>
          <w:p w14:paraId="5B206571">
            <w:pPr>
              <w:widowControl/>
              <w:ind w:firstLine="0" w:firstLineChars="0"/>
              <w:rPr>
                <w:rFonts w:hint="eastAsia" w:eastAsia="宋体"/>
                <w:lang w:eastAsia="zh-CN"/>
              </w:rPr>
            </w:pPr>
            <w:r>
              <w:rPr>
                <w:rFonts w:hint="eastAsia"/>
                <w:color w:val="auto"/>
              </w:rPr>
              <w:t>长度</w:t>
            </w:r>
            <w:r>
              <w:rPr>
                <w:rFonts w:hint="eastAsia"/>
                <w:color w:val="auto"/>
                <w:lang w:val="en-US" w:eastAsia="zh-CN"/>
              </w:rPr>
              <w:t>或跨度</w:t>
            </w:r>
            <w:r>
              <w:rPr>
                <w:rFonts w:hint="eastAsia"/>
                <w:lang w:eastAsia="zh-CN"/>
              </w:rPr>
              <w:t>。</w:t>
            </w:r>
          </w:p>
        </w:tc>
      </w:tr>
    </w:tbl>
    <w:p w14:paraId="300BC79C">
      <w:pPr>
        <w:pStyle w:val="42"/>
      </w:pPr>
      <w:r>
        <w:rPr>
          <w:rFonts w:hint="eastAsia"/>
        </w:rPr>
        <w:t>计算系数</w:t>
      </w:r>
      <w:r>
        <w:t>及其他</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
        <w:gridCol w:w="709"/>
        <w:gridCol w:w="6848"/>
      </w:tblGrid>
      <w:tr w14:paraId="798FE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top"/>
          </w:tcPr>
          <w:p w14:paraId="3C01332C">
            <w:pPr>
              <w:widowControl/>
              <w:ind w:firstLine="0" w:firstLineChars="0"/>
              <w:jc w:val="right"/>
              <w:rPr>
                <w:rFonts w:ascii="Times New Roman" w:hAnsi="Times New Roman" w:eastAsia="宋体" w:cs="Times New Roman"/>
                <w:color w:val="auto"/>
                <w:kern w:val="2"/>
                <w:position w:val="-6"/>
                <w:sz w:val="24"/>
                <w:lang w:val="en-US" w:eastAsia="zh-CN" w:bidi="ar-SA"/>
              </w:rPr>
            </w:pPr>
            <w:r>
              <w:rPr>
                <w:color w:val="auto"/>
                <w:position w:val="-10"/>
              </w:rPr>
              <w:object>
                <v:shape id="_x0000_i1050" o:spt="75" type="#_x0000_t75" style="height:13.15pt;width:10.15pt;" o:ole="t" filled="f" o:preferrelative="t" stroked="f" coordsize="21600,21600">
                  <v:path/>
                  <v:fill on="f" focussize="0,0"/>
                  <v:stroke on="f" joinstyle="miter"/>
                  <v:imagedata r:id="rId71" o:title=""/>
                  <o:lock v:ext="edit" aspectratio="t"/>
                  <w10:wrap type="none"/>
                  <w10:anchorlock/>
                </v:shape>
                <o:OLEObject Type="Embed" ProgID="Equation.DSMT4" ShapeID="_x0000_i1050" DrawAspect="Content" ObjectID="_1468075750" r:id="rId70">
                  <o:LockedField>false</o:LockedField>
                </o:OLEObject>
              </w:object>
            </w:r>
          </w:p>
        </w:tc>
        <w:tc>
          <w:tcPr>
            <w:tcW w:w="709" w:type="dxa"/>
            <w:vAlign w:val="center"/>
          </w:tcPr>
          <w:p w14:paraId="4EE41713">
            <w:pPr>
              <w:widowControl/>
              <w:ind w:firstLine="0" w:firstLineChars="0"/>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848" w:type="dxa"/>
            <w:vAlign w:val="top"/>
          </w:tcPr>
          <w:p w14:paraId="58826CC8">
            <w:pPr>
              <w:widowControl/>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连接系数；</w:t>
            </w:r>
          </w:p>
        </w:tc>
      </w:tr>
      <w:tr w14:paraId="4FDDD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top"/>
          </w:tcPr>
          <w:p w14:paraId="4A181B56">
            <w:pPr>
              <w:ind w:firstLine="0" w:firstLineChars="0"/>
              <w:jc w:val="right"/>
              <w:rPr>
                <w:color w:val="0D0D0D" w:themeColor="text1" w:themeTint="F2"/>
                <w14:textFill>
                  <w14:solidFill>
                    <w14:schemeClr w14:val="tx1">
                      <w14:lumMod w14:val="95000"/>
                      <w14:lumOff w14:val="5000"/>
                    </w14:schemeClr>
                  </w14:solidFill>
                </w14:textFill>
              </w:rPr>
            </w:pPr>
            <w:r>
              <w:rPr>
                <w:color w:val="auto"/>
                <w:position w:val="-10"/>
              </w:rPr>
              <w:object>
                <v:shape id="_x0000_i1051" o:spt="75" type="#_x0000_t75" style="height:13.4pt;width:12pt;" o:ole="t" filled="f" o:preferrelative="t" stroked="f" coordsize="21600,21600">
                  <v:path/>
                  <v:fill on="f" focussize="0,0"/>
                  <v:stroke on="f"/>
                  <v:imagedata r:id="rId73" o:title=""/>
                  <o:lock v:ext="edit" aspectratio="t"/>
                  <w10:wrap type="none"/>
                  <w10:anchorlock/>
                </v:shape>
                <o:OLEObject Type="Embed" ProgID="Equation.DSMT4" ShapeID="_x0000_i1051" DrawAspect="Content" ObjectID="_1468075751" r:id="rId72">
                  <o:LockedField>false</o:LockedField>
                </o:OLEObject>
              </w:object>
            </w:r>
          </w:p>
        </w:tc>
        <w:tc>
          <w:tcPr>
            <w:tcW w:w="709" w:type="dxa"/>
            <w:vAlign w:val="top"/>
          </w:tcPr>
          <w:p w14:paraId="4D4BE2DC">
            <w:pPr>
              <w:ind w:firstLine="0" w:firstLineChars="0"/>
              <w:jc w:val="center"/>
              <w:rPr>
                <w:color w:val="0D0D0D" w:themeColor="text1" w:themeTint="F2"/>
                <w14:textFill>
                  <w14:solidFill>
                    <w14:schemeClr w14:val="tx1">
                      <w14:lumMod w14:val="95000"/>
                      <w14:lumOff w14:val="5000"/>
                    </w14:schemeClr>
                  </w14:solidFill>
                </w14:textFill>
              </w:rPr>
            </w:pPr>
            <w:r>
              <w:rPr>
                <w:rFonts w:eastAsiaTheme="minorEastAsia"/>
                <w:color w:val="auto"/>
                <w:szCs w:val="24"/>
              </w:rPr>
              <w:t>——</w:t>
            </w:r>
          </w:p>
        </w:tc>
        <w:tc>
          <w:tcPr>
            <w:tcW w:w="6848" w:type="dxa"/>
            <w:vAlign w:val="center"/>
          </w:tcPr>
          <w:p w14:paraId="1F84F499">
            <w:pPr>
              <w:ind w:firstLine="0" w:firstLineChars="0"/>
              <w:rPr>
                <w:color w:val="0D0D0D" w:themeColor="text1" w:themeTint="F2"/>
                <w14:textFill>
                  <w14:solidFill>
                    <w14:schemeClr w14:val="tx1">
                      <w14:lumMod w14:val="95000"/>
                      <w14:lumOff w14:val="5000"/>
                    </w14:schemeClr>
                  </w14:solidFill>
                </w14:textFill>
              </w:rPr>
            </w:pPr>
            <w:r>
              <w:rPr>
                <w:rFonts w:hint="eastAsia"/>
                <w:color w:val="auto"/>
                <w:lang w:eastAsia="zh-CN"/>
              </w:rPr>
              <w:t>摩擦力系数</w:t>
            </w:r>
            <w:r>
              <w:rPr>
                <w:rFonts w:hint="eastAsia"/>
                <w:color w:val="auto"/>
              </w:rPr>
              <w:t>；</w:t>
            </w:r>
          </w:p>
        </w:tc>
      </w:tr>
      <w:tr w14:paraId="66D39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top"/>
          </w:tcPr>
          <w:p w14:paraId="5280C629">
            <w:pPr>
              <w:widowControl/>
              <w:ind w:firstLine="0" w:firstLineChars="0"/>
              <w:jc w:val="right"/>
              <w:rPr>
                <w:color w:val="0D0D0D" w:themeColor="text1" w:themeTint="F2"/>
                <w14:textFill>
                  <w14:solidFill>
                    <w14:schemeClr w14:val="tx1">
                      <w14:lumMod w14:val="95000"/>
                      <w14:lumOff w14:val="5000"/>
                    </w14:schemeClr>
                  </w14:solidFill>
                </w14:textFill>
              </w:rPr>
            </w:pPr>
            <w:r>
              <w:rPr>
                <w:color w:val="auto"/>
                <w:position w:val="-12"/>
              </w:rPr>
              <w:object>
                <v:shape id="_x0000_i1052" o:spt="75" type="#_x0000_t75" style="height:18.4pt;width:13.5pt;" o:ole="t" filled="f" o:preferrelative="t" stroked="f" coordsize="21600,21600">
                  <v:path/>
                  <v:fill on="f" focussize="0,0"/>
                  <v:stroke on="f" joinstyle="miter"/>
                  <v:imagedata r:id="rId75" o:title=""/>
                  <o:lock v:ext="edit" aspectratio="t"/>
                  <w10:wrap type="none"/>
                  <w10:anchorlock/>
                </v:shape>
                <o:OLEObject Type="Embed" ProgID="Equation.DSMT4" ShapeID="_x0000_i1052" DrawAspect="Content" ObjectID="_1468075752" r:id="rId74">
                  <o:LockedField>false</o:LockedField>
                </o:OLEObject>
              </w:object>
            </w:r>
          </w:p>
        </w:tc>
        <w:tc>
          <w:tcPr>
            <w:tcW w:w="709" w:type="dxa"/>
            <w:vAlign w:val="center"/>
          </w:tcPr>
          <w:p w14:paraId="0B8FAA83">
            <w:pPr>
              <w:widowControl/>
              <w:ind w:firstLine="0" w:firstLineChars="0"/>
              <w:rPr>
                <w:color w:val="0D0D0D" w:themeColor="text1" w:themeTint="F2"/>
                <w14:textFill>
                  <w14:solidFill>
                    <w14:schemeClr w14:val="tx1">
                      <w14:lumMod w14:val="95000"/>
                      <w14:lumOff w14:val="5000"/>
                    </w14:schemeClr>
                  </w14:solidFill>
                </w14:textFill>
              </w:rPr>
            </w:pPr>
            <w:r>
              <w:rPr>
                <w:rFonts w:eastAsiaTheme="minorEastAsia"/>
                <w:color w:val="auto"/>
                <w:szCs w:val="24"/>
              </w:rPr>
              <w:t>——</w:t>
            </w:r>
          </w:p>
        </w:tc>
        <w:tc>
          <w:tcPr>
            <w:tcW w:w="6848" w:type="dxa"/>
            <w:vAlign w:val="top"/>
          </w:tcPr>
          <w:p w14:paraId="0279616C">
            <w:pPr>
              <w:widowControl/>
              <w:ind w:firstLine="0" w:firstLineChars="0"/>
              <w:rPr>
                <w:color w:val="0D0D0D" w:themeColor="text1" w:themeTint="F2"/>
                <w14:textFill>
                  <w14:solidFill>
                    <w14:schemeClr w14:val="tx1">
                      <w14:lumMod w14:val="95000"/>
                      <w14:lumOff w14:val="5000"/>
                    </w14:schemeClr>
                  </w14:solidFill>
                </w14:textFill>
              </w:rPr>
            </w:pPr>
            <w:r>
              <w:rPr>
                <w:rFonts w:hint="eastAsia"/>
                <w:color w:val="auto"/>
              </w:rPr>
              <w:t>结构重要性系数；</w:t>
            </w:r>
          </w:p>
        </w:tc>
      </w:tr>
      <w:tr w14:paraId="195BD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shd w:val="clear" w:color="auto" w:fill="auto"/>
            <w:vAlign w:val="top"/>
          </w:tcPr>
          <w:p w14:paraId="38A0CF3D">
            <w:pPr>
              <w:widowControl/>
              <w:ind w:firstLine="0" w:firstLineChars="0"/>
              <w:jc w:val="right"/>
              <w:rPr>
                <w:rFonts w:ascii="Times New Roman" w:hAnsi="Times New Roman" w:eastAsia="宋体" w:cs="Times New Roman"/>
                <w:color w:val="auto"/>
                <w:kern w:val="2"/>
                <w:position w:val="-12"/>
                <w:sz w:val="24"/>
                <w:lang w:val="en-US" w:eastAsia="zh-CN" w:bidi="ar-SA"/>
              </w:rPr>
            </w:pPr>
            <w:r>
              <w:rPr>
                <w:rFonts w:hint="eastAsia"/>
                <w:color w:val="auto"/>
                <w:position w:val="-12"/>
              </w:rPr>
              <w:object>
                <v:shape id="_x0000_i1053" o:spt="75" type="#_x0000_t75" style="height:18.4pt;width:18.4pt;" o:ole="t" filled="f" o:preferrelative="t" stroked="f" coordsize="21600,21600">
                  <v:path/>
                  <v:fill on="f" focussize="0,0"/>
                  <v:stroke on="f" joinstyle="miter"/>
                  <v:imagedata r:id="rId77" o:title=""/>
                  <o:lock v:ext="edit" aspectratio="t"/>
                  <w10:wrap type="none"/>
                  <w10:anchorlock/>
                </v:shape>
                <o:OLEObject Type="Embed" ProgID="Equation.DSMT4" ShapeID="_x0000_i1053" DrawAspect="Content" ObjectID="_1468075753" r:id="rId76">
                  <o:LockedField>false</o:LockedField>
                </o:OLEObject>
              </w:object>
            </w:r>
          </w:p>
        </w:tc>
        <w:tc>
          <w:tcPr>
            <w:tcW w:w="709" w:type="dxa"/>
            <w:shd w:val="clear" w:color="auto" w:fill="auto"/>
            <w:vAlign w:val="center"/>
          </w:tcPr>
          <w:p w14:paraId="4774ABA2">
            <w:pPr>
              <w:widowControl/>
              <w:ind w:firstLine="0" w:firstLineChars="0"/>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848" w:type="dxa"/>
            <w:shd w:val="clear" w:color="auto" w:fill="auto"/>
            <w:vAlign w:val="top"/>
          </w:tcPr>
          <w:p w14:paraId="5A87EDA7">
            <w:pPr>
              <w:widowControl/>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承载力抗震调整系数</w:t>
            </w:r>
            <w:r>
              <w:rPr>
                <w:rFonts w:hint="eastAsia"/>
                <w:color w:val="auto"/>
                <w:lang w:eastAsia="zh-CN"/>
              </w:rPr>
              <w:t>。</w:t>
            </w:r>
          </w:p>
        </w:tc>
      </w:tr>
    </w:tbl>
    <w:p w14:paraId="5B73AF72">
      <w:pPr>
        <w:bidi w:val="0"/>
      </w:pPr>
    </w:p>
    <w:p w14:paraId="7E88DBE1">
      <w:pPr>
        <w:pStyle w:val="49"/>
        <w:bidi w:val="0"/>
        <w:sectPr>
          <w:footerReference r:id="rId15" w:type="first"/>
          <w:footerReference r:id="rId13" w:type="default"/>
          <w:footerReference r:id="rId14" w:type="even"/>
          <w:pgSz w:w="11906" w:h="16838"/>
          <w:pgMar w:top="1440" w:right="1803" w:bottom="1440" w:left="1803" w:header="283" w:footer="850" w:gutter="0"/>
          <w:pgNumType w:fmt="decimal"/>
          <w:cols w:space="0" w:num="1"/>
          <w:titlePg/>
          <w:rtlGutter w:val="0"/>
          <w:docGrid w:type="lines" w:linePitch="328" w:charSpace="0"/>
        </w:sectPr>
      </w:pPr>
    </w:p>
    <w:p w14:paraId="6D334F85">
      <w:pPr>
        <w:pStyle w:val="39"/>
        <w:spacing w:before="328" w:after="328"/>
        <w:rPr>
          <w:color w:val="auto"/>
        </w:rPr>
      </w:pPr>
      <w:bookmarkStart w:id="17" w:name="_Toc6148"/>
      <w:bookmarkStart w:id="18" w:name="_Toc20422"/>
      <w:bookmarkStart w:id="19" w:name="_Toc15716"/>
      <w:bookmarkStart w:id="20" w:name="_Toc7533"/>
      <w:bookmarkStart w:id="21" w:name="_Toc3083"/>
      <w:bookmarkStart w:id="22" w:name="_Toc27064"/>
      <w:bookmarkStart w:id="23" w:name="_Toc446929385"/>
      <w:bookmarkStart w:id="24" w:name="_Toc437556872"/>
      <w:bookmarkStart w:id="25" w:name="_Toc437556868"/>
      <w:bookmarkStart w:id="26" w:name="_Toc482387634"/>
      <w:bookmarkStart w:id="27" w:name="_Toc482387637"/>
      <w:r>
        <w:rPr>
          <w:rFonts w:hint="eastAsia"/>
          <w:color w:val="auto"/>
          <w:lang w:val="en-US" w:eastAsia="zh-CN"/>
        </w:rPr>
        <w:t xml:space="preserve"> </w:t>
      </w:r>
      <w:bookmarkStart w:id="28" w:name="_Toc23593"/>
      <w:r>
        <w:rPr>
          <w:rFonts w:hint="eastAsia"/>
          <w:color w:val="auto"/>
        </w:rPr>
        <w:t>材料</w:t>
      </w:r>
      <w:bookmarkEnd w:id="17"/>
      <w:bookmarkEnd w:id="18"/>
      <w:bookmarkEnd w:id="19"/>
      <w:bookmarkEnd w:id="28"/>
    </w:p>
    <w:p w14:paraId="46A3DF70">
      <w:pPr>
        <w:pStyle w:val="42"/>
        <w:numPr>
          <w:ilvl w:val="0"/>
          <w:numId w:val="5"/>
        </w:numPr>
        <w:ind w:left="0" w:leftChars="0" w:firstLine="0" w:firstLineChars="0"/>
        <w:rPr>
          <w:rFonts w:hint="eastAsia"/>
          <w:color w:val="auto"/>
          <w:lang w:val="en-US" w:eastAsia="zh-CN"/>
        </w:rPr>
      </w:pPr>
      <w:r>
        <w:rPr>
          <w:rFonts w:hint="eastAsia"/>
          <w:color w:val="auto"/>
          <w:lang w:val="en-US" w:eastAsia="zh-CN"/>
        </w:rPr>
        <w:t>钢组件框架结构中混凝土的力学性能指标和耐久性要求应按现行国家标准《混凝土结构设计标准标准》GB/T 50010有关规定进行确定。预制构件的混凝土强度等级不应低于C30，节点和接缝处的后浇混凝土强度等级不应低于预制构件的混凝土强度等级。</w:t>
      </w:r>
    </w:p>
    <w:p w14:paraId="1811BCD5">
      <w:pPr>
        <w:pStyle w:val="42"/>
        <w:numPr>
          <w:ilvl w:val="0"/>
          <w:numId w:val="5"/>
        </w:numPr>
        <w:ind w:left="0" w:leftChars="0" w:firstLine="0" w:firstLineChars="0"/>
        <w:rPr>
          <w:rFonts w:hint="eastAsia"/>
          <w:color w:val="auto"/>
          <w:lang w:val="en-US" w:eastAsia="zh-CN"/>
        </w:rPr>
      </w:pPr>
      <w:r>
        <w:rPr>
          <w:rFonts w:hint="eastAsia"/>
          <w:color w:val="auto"/>
          <w:lang w:val="en-US" w:eastAsia="zh-CN"/>
        </w:rPr>
        <w:t>钢组件框架结构中钢筋的力学性能指标应按现行国家标准《混凝土结构设计标准》GB/T 50010有关规定进行确定。预制构件的受力钢筋宜采用HRB400、HRB500钢筋，拉筋、分布筋等宜采用HRB400、HPB300钢筋。</w:t>
      </w:r>
    </w:p>
    <w:p w14:paraId="7E7DC94E">
      <w:pPr>
        <w:pStyle w:val="42"/>
        <w:numPr>
          <w:ilvl w:val="0"/>
          <w:numId w:val="5"/>
        </w:numPr>
        <w:ind w:left="0" w:leftChars="0" w:firstLine="0" w:firstLineChars="0"/>
        <w:rPr>
          <w:rFonts w:hint="eastAsia"/>
          <w:color w:val="auto"/>
          <w:lang w:val="en-US" w:eastAsia="zh-CN"/>
        </w:rPr>
      </w:pPr>
      <w:r>
        <w:rPr>
          <w:rFonts w:hint="eastAsia"/>
          <w:color w:val="auto"/>
          <w:lang w:val="en-US" w:eastAsia="zh-CN"/>
        </w:rPr>
        <w:t>抗震等级为一、二、三级的框架梁、柱的纵向受力钢筋，其抗拉强度实测值与屈服强度实测值之比不应小于1.25，屈服强度实测值与屈服强度标准值之比不应大于1.3，且最大拉力下的总伸长率实测值不应小于9%。</w:t>
      </w:r>
    </w:p>
    <w:p w14:paraId="27264CDA">
      <w:pPr>
        <w:pStyle w:val="42"/>
        <w:numPr>
          <w:ilvl w:val="0"/>
          <w:numId w:val="5"/>
        </w:numPr>
        <w:ind w:left="0" w:leftChars="0" w:firstLine="0" w:firstLineChars="0"/>
        <w:rPr>
          <w:rFonts w:hint="eastAsia"/>
          <w:color w:val="auto"/>
          <w:lang w:val="en-US" w:eastAsia="zh-CN"/>
        </w:rPr>
      </w:pPr>
      <w:r>
        <w:rPr>
          <w:rFonts w:hint="eastAsia"/>
          <w:color w:val="auto"/>
          <w:lang w:val="en-US" w:eastAsia="zh-CN"/>
        </w:rPr>
        <w:t>钢组件的钢材力学性能指标应符合现行国家标准《钢结构设计标准》GB 50017的有关规定。钢组件的钢材宜采用Q355钢，质量等级不宜低于B级，且应符合现行国家标准《低合金高强度结构钢》GB/T 1591的有关规定。当采用其他牌号的钢材时，尚应符合国家现行有关标准的规定。</w:t>
      </w:r>
    </w:p>
    <w:p w14:paraId="412C0D70">
      <w:pPr>
        <w:pStyle w:val="42"/>
        <w:numPr>
          <w:ilvl w:val="0"/>
          <w:numId w:val="5"/>
        </w:numPr>
        <w:ind w:left="0" w:leftChars="0" w:firstLine="0" w:firstLineChars="0"/>
        <w:rPr>
          <w:rFonts w:hint="eastAsia"/>
          <w:color w:val="auto"/>
          <w:lang w:val="en-US" w:eastAsia="zh-CN"/>
        </w:rPr>
      </w:pPr>
      <w:r>
        <w:rPr>
          <w:rFonts w:hint="eastAsia"/>
          <w:color w:val="auto"/>
          <w:lang w:val="en-US" w:eastAsia="zh-CN"/>
        </w:rPr>
        <w:t>钢组件螺栓连接用预留连接杆及其配件应符合下列规定：</w:t>
      </w:r>
    </w:p>
    <w:p w14:paraId="1FAE35ED">
      <w:pPr>
        <w:pStyle w:val="43"/>
        <w:bidi w:val="0"/>
        <w:rPr>
          <w:rFonts w:hint="eastAsia"/>
          <w:color w:val="auto"/>
          <w:lang w:val="en-US" w:eastAsia="zh-CN"/>
        </w:rPr>
      </w:pPr>
      <w:r>
        <w:rPr>
          <w:rFonts w:hint="eastAsia"/>
          <w:lang w:val="en-US" w:eastAsia="zh-CN"/>
        </w:rPr>
        <w:t>预留连接杆采用螺杆时，性能等级宜选用8.8级、10.9级，机械性能应符合现行国家标准《紧固件机械性能 螺栓、螺钉和螺柱》GB/T 3098.1的有关规定；</w:t>
      </w:r>
    </w:p>
    <w:p w14:paraId="3DE5ED9B">
      <w:pPr>
        <w:pStyle w:val="43"/>
        <w:bidi w:val="0"/>
        <w:rPr>
          <w:rFonts w:hint="eastAsia"/>
          <w:color w:val="auto"/>
          <w:lang w:val="en-US" w:eastAsia="zh-CN"/>
        </w:rPr>
      </w:pPr>
      <w:r>
        <w:rPr>
          <w:rFonts w:hint="eastAsia"/>
          <w:color w:val="auto"/>
          <w:lang w:val="en-US" w:eastAsia="zh-CN"/>
        </w:rPr>
        <w:t>预留连接杆采用锚栓时，宜选用Q355、Q390或强度更高的钢材，其质量等级不宜低于B级；</w:t>
      </w:r>
    </w:p>
    <w:p w14:paraId="4D0656D2">
      <w:pPr>
        <w:pStyle w:val="43"/>
        <w:bidi w:val="0"/>
        <w:rPr>
          <w:rFonts w:hint="eastAsia"/>
          <w:color w:val="auto"/>
          <w:lang w:val="en-US" w:eastAsia="zh-CN"/>
        </w:rPr>
      </w:pPr>
      <w:r>
        <w:rPr>
          <w:rFonts w:hint="eastAsia"/>
          <w:color w:val="auto"/>
          <w:lang w:val="en-US" w:eastAsia="zh-CN"/>
        </w:rPr>
        <w:t>预留连接杆采用高强钢筋时，宜选用HRB400、HRB500钢筋，其性能指标应符合现行国家标准《混凝土结构设计标准》GB/T 50010和《</w:t>
      </w:r>
      <w:r>
        <w:rPr>
          <w:rFonts w:hint="eastAsia"/>
        </w:rPr>
        <w:t>钢筋混凝土用钢 第2部分：热轧带肋钢筋</w:t>
      </w:r>
      <w:r>
        <w:rPr>
          <w:rFonts w:hint="eastAsia"/>
          <w:color w:val="auto"/>
          <w:lang w:val="en-US" w:eastAsia="zh-CN"/>
        </w:rPr>
        <w:t>》GB 1499.2的有关规定；</w:t>
      </w:r>
    </w:p>
    <w:p w14:paraId="7D7A2751">
      <w:pPr>
        <w:pStyle w:val="43"/>
        <w:bidi w:val="0"/>
        <w:rPr>
          <w:rFonts w:hint="eastAsia"/>
          <w:color w:val="auto"/>
          <w:lang w:val="en-US" w:eastAsia="zh-CN"/>
        </w:rPr>
      </w:pPr>
      <w:r>
        <w:rPr>
          <w:rFonts w:hint="eastAsia"/>
          <w:color w:val="auto"/>
          <w:lang w:val="en-US" w:eastAsia="zh-CN"/>
        </w:rPr>
        <w:t>接缝外侧和内侧垫圈的性能等级应与预留连接杆匹配，机械性能应符合现行国家标准《紧固件机械性能 平垫圈》GB/T 3098.26的有关规定，且宜符合现行国家标准《钢结构用高强度垫圈》GB/T 1230的有关规定；</w:t>
      </w:r>
    </w:p>
    <w:p w14:paraId="0C265832">
      <w:pPr>
        <w:pStyle w:val="43"/>
        <w:bidi w:val="0"/>
        <w:rPr>
          <w:rFonts w:hint="eastAsia"/>
          <w:color w:val="auto"/>
          <w:lang w:val="en-US" w:eastAsia="zh-CN"/>
        </w:rPr>
      </w:pPr>
      <w:r>
        <w:rPr>
          <w:rFonts w:hint="eastAsia"/>
          <w:color w:val="auto"/>
          <w:lang w:val="en-US" w:eastAsia="zh-CN"/>
        </w:rPr>
        <w:t>接缝外侧和内侧螺母性能等级应与预留连接杆匹配，机械性能应符合现行国家标准《紧固件机械性能 螺母》GB/T 3098.2的有关规定，且宜符合现行国家标准《钢结构用高强度大六角螺母》GB/T 1229的有关规定。</w:t>
      </w:r>
    </w:p>
    <w:p w14:paraId="39E7C0F9">
      <w:pPr>
        <w:pStyle w:val="42"/>
        <w:numPr>
          <w:ilvl w:val="0"/>
          <w:numId w:val="5"/>
        </w:numPr>
        <w:ind w:left="0" w:leftChars="0" w:firstLine="0" w:firstLineChars="0"/>
        <w:rPr>
          <w:rFonts w:hint="eastAsia"/>
          <w:lang w:val="en-US" w:eastAsia="zh-CN"/>
        </w:rPr>
      </w:pPr>
      <w:r>
        <w:rPr>
          <w:rFonts w:hint="eastAsia"/>
          <w:lang w:val="en-US" w:eastAsia="zh-CN"/>
        </w:rPr>
        <w:t>钢组件之间连接用螺栓的性能等级宜选用8.8级、10.9级，机械性能应符合现行国家标准《紧固件机械性能 螺栓、螺钉和螺柱》GB/T 3098.1的有关规定，且宜符合现行国家标准《钢结构用高强度大六角头螺栓》GB/T 1228的有关规定；垫圈和螺母的性能等级应与螺栓匹配，并应符合国家现行有关标准的规定。</w:t>
      </w:r>
    </w:p>
    <w:p w14:paraId="6BC07AC8">
      <w:pPr>
        <w:pStyle w:val="42"/>
        <w:numPr>
          <w:ilvl w:val="0"/>
          <w:numId w:val="5"/>
        </w:numPr>
        <w:ind w:left="0" w:leftChars="0" w:firstLine="0" w:firstLineChars="0"/>
        <w:rPr>
          <w:rFonts w:hint="eastAsia"/>
          <w:lang w:val="en-US" w:eastAsia="zh-CN"/>
        </w:rPr>
      </w:pPr>
      <w:r>
        <w:rPr>
          <w:rFonts w:hint="eastAsia"/>
          <w:lang w:val="en-US" w:eastAsia="zh-CN"/>
        </w:rPr>
        <w:t>钢组件板件之间焊接和预制构件钢组件之间焊接用的焊接材料应符合现行国家标准《钢结构设计标准》GB 50017、《钢结构焊接规范》GB 50661的有关规定。</w:t>
      </w:r>
    </w:p>
    <w:p w14:paraId="5459EBB4">
      <w:pPr>
        <w:pStyle w:val="42"/>
        <w:numPr>
          <w:ilvl w:val="0"/>
          <w:numId w:val="5"/>
        </w:numPr>
        <w:ind w:left="0" w:leftChars="0" w:firstLine="0" w:firstLineChars="0"/>
        <w:rPr>
          <w:rFonts w:hint="eastAsia"/>
          <w:color w:val="auto"/>
          <w:lang w:val="en-US" w:eastAsia="zh-CN"/>
        </w:rPr>
      </w:pPr>
      <w:r>
        <w:rPr>
          <w:rFonts w:hint="eastAsia"/>
          <w:color w:val="auto"/>
          <w:lang w:val="en-US" w:eastAsia="zh-CN"/>
        </w:rPr>
        <w:t>构件钢筋与钢组件焊接、钢筋与钢筋焊接的材料应符合现行行业标准《钢筋焊接及验收规程》JGJ 18 的有关规定。</w:t>
      </w:r>
    </w:p>
    <w:p w14:paraId="6CB43D68">
      <w:pPr>
        <w:pStyle w:val="42"/>
        <w:numPr>
          <w:ilvl w:val="0"/>
          <w:numId w:val="5"/>
        </w:numPr>
        <w:ind w:left="0" w:leftChars="0" w:firstLine="0" w:firstLineChars="0"/>
        <w:rPr>
          <w:rFonts w:hint="eastAsia"/>
          <w:color w:val="auto"/>
          <w:lang w:val="en-US" w:eastAsia="zh-CN"/>
        </w:rPr>
      </w:pPr>
      <w:r>
        <w:rPr>
          <w:rFonts w:hint="eastAsia"/>
          <w:color w:val="auto"/>
          <w:lang w:val="en-US" w:eastAsia="zh-CN"/>
        </w:rPr>
        <w:t>钢筋机械连接用连接件应符合现行行业标准《钢筋机械连接用套筒》JG/T 163、《钢筋机械连接技术规程》JGJ 107和现行团体标准《钢筋机械连接装配式混凝土结构技术规程》CECS 444的有关规定。</w:t>
      </w:r>
    </w:p>
    <w:p w14:paraId="487AE055">
      <w:pPr>
        <w:pStyle w:val="42"/>
        <w:numPr>
          <w:ilvl w:val="0"/>
          <w:numId w:val="5"/>
        </w:numPr>
        <w:ind w:left="0" w:leftChars="0" w:firstLine="0" w:firstLineChars="0"/>
        <w:rPr>
          <w:rFonts w:hint="eastAsia"/>
          <w:color w:val="auto"/>
          <w:lang w:val="en-US" w:eastAsia="zh-CN"/>
        </w:rPr>
      </w:pPr>
      <w:r>
        <w:rPr>
          <w:rFonts w:hint="eastAsia"/>
          <w:color w:val="auto"/>
          <w:lang w:val="en-US" w:eastAsia="zh-CN"/>
        </w:rPr>
        <w:t>接缝灌浆料宜采用无收缩灌浆料。接缝灌浆料应符合现行国家标准《水泥基灌浆材料应用技术规范》GB/T 50448对二次灌浆的有关规定，灌浆料的1d、3d、28d抗压强度分别不应小于20MPa、40MPa、60MPa，且28d抗压强度不应低于相连预制构件混凝土设计强度等级值。接缝灌浆料的抗压强度标准试件应采用尺寸100mm</w:t>
      </w:r>
      <w:bookmarkStart w:id="29" w:name="OLE_LINK4"/>
      <w:r>
        <w:rPr>
          <w:rFonts w:hint="default" w:ascii="Times New Roman" w:hAnsi="Times New Roman" w:cs="Times New Roman"/>
          <w:color w:val="auto"/>
          <w:lang w:val="en-US" w:eastAsia="zh-CN"/>
        </w:rPr>
        <w:t>×</w:t>
      </w:r>
      <w:bookmarkEnd w:id="29"/>
      <w:r>
        <w:rPr>
          <w:rFonts w:hint="eastAsia"/>
          <w:color w:val="auto"/>
          <w:lang w:val="en-US" w:eastAsia="zh-CN"/>
        </w:rPr>
        <w:t>100mm</w:t>
      </w:r>
      <w:r>
        <w:rPr>
          <w:rFonts w:hint="default" w:ascii="Times New Roman" w:hAnsi="Times New Roman" w:cs="Times New Roman"/>
          <w:color w:val="auto"/>
          <w:lang w:val="en-US" w:eastAsia="zh-CN"/>
        </w:rPr>
        <w:t>×</w:t>
      </w:r>
      <w:r>
        <w:rPr>
          <w:rFonts w:hint="eastAsia" w:cs="Times New Roman"/>
          <w:color w:val="auto"/>
          <w:lang w:val="en-US" w:eastAsia="zh-CN"/>
        </w:rPr>
        <w:t>100mm的立方体，抗压强度检验应按现行国家标准《混凝土物理力学性能试验方法标准》GB/T 50081的有关规定执行，测得的强度值应乘以尺寸换算系数，尺寸换算系数可取为0.95。</w:t>
      </w:r>
    </w:p>
    <w:p w14:paraId="1D97BC99">
      <w:pPr>
        <w:pStyle w:val="39"/>
        <w:spacing w:before="312" w:after="312"/>
      </w:pPr>
      <w:bookmarkStart w:id="30" w:name="_Toc24119"/>
      <w:r>
        <w:rPr>
          <w:rFonts w:hint="eastAsia"/>
          <w:lang w:val="en-US" w:eastAsia="zh-CN"/>
        </w:rPr>
        <w:t>设计基本规定</w:t>
      </w:r>
      <w:bookmarkEnd w:id="20"/>
      <w:bookmarkEnd w:id="30"/>
    </w:p>
    <w:p w14:paraId="04B26AF7">
      <w:pPr>
        <w:pStyle w:val="42"/>
        <w:numPr>
          <w:ilvl w:val="0"/>
          <w:numId w:val="6"/>
        </w:numPr>
        <w:ind w:left="0" w:leftChars="0" w:firstLine="0" w:firstLineChars="0"/>
      </w:pPr>
      <w:bookmarkStart w:id="31" w:name="_Toc32765"/>
      <w:bookmarkStart w:id="32" w:name="_Toc17262"/>
      <w:r>
        <w:rPr>
          <w:rFonts w:hint="eastAsia"/>
          <w:lang w:val="en-US" w:eastAsia="zh-CN"/>
        </w:rPr>
        <w:t>钢组件框架结构建筑的设计应符合下列规定：</w:t>
      </w:r>
    </w:p>
    <w:p w14:paraId="65C2620E">
      <w:pPr>
        <w:pStyle w:val="43"/>
        <w:numPr>
          <w:ilvl w:val="3"/>
          <w:numId w:val="7"/>
        </w:numPr>
        <w:bidi w:val="0"/>
      </w:pPr>
      <w:r>
        <w:rPr>
          <w:rFonts w:hint="eastAsia"/>
          <w:lang w:val="en-US" w:eastAsia="zh-CN"/>
        </w:rPr>
        <w:t>建筑方案设计阶段，应协调建筑、设计、制作、施工各方之间的关系，并应加强建筑、结构、设备、装修等专业之间的配合；</w:t>
      </w:r>
    </w:p>
    <w:p w14:paraId="2E126C39">
      <w:pPr>
        <w:pStyle w:val="43"/>
        <w:bidi w:val="0"/>
        <w:rPr>
          <w:rFonts w:hint="eastAsia"/>
          <w:lang w:val="en-US" w:eastAsia="zh-CN"/>
        </w:rPr>
      </w:pPr>
      <w:r>
        <w:rPr>
          <w:rFonts w:hint="eastAsia"/>
          <w:lang w:val="en-US" w:eastAsia="zh-CN"/>
        </w:rPr>
        <w:t>应满足通用化、模数化、标准化的要求，遵循少规格、多组合的原则；</w:t>
      </w:r>
    </w:p>
    <w:p w14:paraId="54A80CD3">
      <w:pPr>
        <w:pStyle w:val="43"/>
        <w:bidi w:val="0"/>
        <w:rPr>
          <w:rFonts w:hint="eastAsia"/>
          <w:lang w:val="en-US" w:eastAsia="zh-CN"/>
        </w:rPr>
      </w:pPr>
      <w:r>
        <w:rPr>
          <w:rFonts w:hint="eastAsia"/>
          <w:lang w:val="en-US" w:eastAsia="zh-CN"/>
        </w:rPr>
        <w:t>预制构件深化设计应满足建筑、结构和机电设备等各专业以及构件制作、运输、安装等各环节的综合要求。</w:t>
      </w:r>
    </w:p>
    <w:p w14:paraId="3C67CB96">
      <w:pPr>
        <w:pStyle w:val="42"/>
        <w:numPr>
          <w:ilvl w:val="0"/>
          <w:numId w:val="6"/>
        </w:numPr>
        <w:ind w:left="0" w:leftChars="0" w:firstLine="0" w:firstLineChars="0"/>
        <w:rPr>
          <w:rFonts w:hint="eastAsia"/>
          <w:color w:val="auto"/>
          <w:lang w:val="en-US" w:eastAsia="zh-CN"/>
        </w:rPr>
      </w:pPr>
      <w:r>
        <w:rPr>
          <w:rFonts w:hint="eastAsia"/>
          <w:color w:val="auto"/>
          <w:lang w:val="en-US" w:eastAsia="zh-CN"/>
        </w:rPr>
        <w:t>钢组件框架结构的框架梁、框架柱及其连接节点设计应符合下列规定：</w:t>
      </w:r>
    </w:p>
    <w:p w14:paraId="0587899E">
      <w:pPr>
        <w:pStyle w:val="43"/>
        <w:numPr>
          <w:ilvl w:val="3"/>
          <w:numId w:val="8"/>
        </w:numPr>
        <w:bidi w:val="0"/>
        <w:rPr>
          <w:rFonts w:hint="default"/>
          <w:lang w:val="en-US" w:eastAsia="zh-CN"/>
        </w:rPr>
      </w:pPr>
      <w:r>
        <w:rPr>
          <w:rFonts w:hint="eastAsia"/>
          <w:lang w:val="en-US" w:eastAsia="zh-CN"/>
        </w:rPr>
        <w:t>框架梁可采用全预制形式或叠合形式；</w:t>
      </w:r>
    </w:p>
    <w:p w14:paraId="2A674C1E">
      <w:pPr>
        <w:pStyle w:val="43"/>
        <w:numPr>
          <w:ilvl w:val="3"/>
          <w:numId w:val="8"/>
        </w:numPr>
        <w:bidi w:val="0"/>
        <w:rPr>
          <w:rFonts w:hint="default"/>
          <w:lang w:val="en-US" w:eastAsia="zh-CN"/>
        </w:rPr>
      </w:pPr>
      <w:r>
        <w:rPr>
          <w:rFonts w:hint="eastAsia"/>
          <w:lang w:val="en-US" w:eastAsia="zh-CN"/>
        </w:rPr>
        <w:t>框架柱应采用全预制形式，可设计为单层预制或多层预制；</w:t>
      </w:r>
    </w:p>
    <w:p w14:paraId="20DF29A7">
      <w:pPr>
        <w:pStyle w:val="43"/>
        <w:numPr>
          <w:ilvl w:val="3"/>
          <w:numId w:val="8"/>
        </w:numPr>
        <w:bidi w:val="0"/>
        <w:rPr>
          <w:rFonts w:hint="default"/>
          <w:lang w:val="en-US" w:eastAsia="zh-CN"/>
        </w:rPr>
      </w:pPr>
      <w:r>
        <w:rPr>
          <w:rFonts w:hint="eastAsia"/>
          <w:lang w:val="en-US" w:eastAsia="zh-CN"/>
        </w:rPr>
        <w:t>对于矩形柱钢组件框架结构，框架梁与框架柱可采用A型、B型或C型梁柱连接，柱脚节点可采用钢组件螺栓连接或杯口基础连接；</w:t>
      </w:r>
    </w:p>
    <w:p w14:paraId="55731ED0">
      <w:pPr>
        <w:pStyle w:val="43"/>
        <w:numPr>
          <w:ilvl w:val="3"/>
          <w:numId w:val="8"/>
        </w:numPr>
        <w:bidi w:val="0"/>
        <w:rPr>
          <w:rFonts w:hint="default"/>
          <w:lang w:val="en-US" w:eastAsia="zh-CN"/>
        </w:rPr>
      </w:pPr>
      <w:r>
        <w:rPr>
          <w:rFonts w:hint="eastAsia"/>
          <w:lang w:val="en-US" w:eastAsia="zh-CN"/>
        </w:rPr>
        <w:t>对于异形柱钢组件框架结构，框架梁与框架柱可采用B型或C型梁柱连接，柱脚节点宜采用钢组件螺栓连接；</w:t>
      </w:r>
    </w:p>
    <w:p w14:paraId="7110F0D2">
      <w:pPr>
        <w:pStyle w:val="43"/>
        <w:numPr>
          <w:ilvl w:val="3"/>
          <w:numId w:val="8"/>
        </w:numPr>
        <w:bidi w:val="0"/>
        <w:rPr>
          <w:rFonts w:hint="eastAsia"/>
          <w:color w:val="auto"/>
          <w:lang w:val="en-US" w:eastAsia="zh-CN"/>
        </w:rPr>
      </w:pPr>
      <w:r>
        <w:rPr>
          <w:rFonts w:hint="eastAsia"/>
          <w:lang w:val="en-US" w:eastAsia="zh-CN"/>
        </w:rPr>
        <w:t>框架柱与框架柱应在柱端箍筋加密区以外进行连接，且宜在框架梁顶面以上1.0~1.3m处进行连接；框架柱与框架柱可采用钢组件螺栓连接、钢组件灌浆连接或钢组件焊接；</w:t>
      </w:r>
    </w:p>
    <w:p w14:paraId="0AF004C3">
      <w:pPr>
        <w:pStyle w:val="43"/>
        <w:numPr>
          <w:ilvl w:val="3"/>
          <w:numId w:val="8"/>
        </w:numPr>
        <w:bidi w:val="0"/>
        <w:rPr>
          <w:rFonts w:hint="eastAsia"/>
          <w:color w:val="auto"/>
          <w:lang w:val="en-US" w:eastAsia="zh-CN"/>
        </w:rPr>
      </w:pPr>
      <w:r>
        <w:rPr>
          <w:rFonts w:hint="eastAsia"/>
          <w:color w:val="auto"/>
          <w:lang w:val="en-US" w:eastAsia="zh-CN"/>
        </w:rPr>
        <w:t>各类连接节点均不应先于被连接构件破坏。</w:t>
      </w:r>
    </w:p>
    <w:p w14:paraId="38A5BCCA">
      <w:pPr>
        <w:pStyle w:val="42"/>
        <w:numPr>
          <w:ilvl w:val="0"/>
          <w:numId w:val="6"/>
        </w:numPr>
        <w:ind w:left="0" w:leftChars="0" w:firstLine="0" w:firstLineChars="0"/>
        <w:rPr>
          <w:rFonts w:hint="eastAsia"/>
          <w:color w:val="auto"/>
          <w:lang w:val="en-US" w:eastAsia="zh-CN"/>
        </w:rPr>
      </w:pPr>
      <w:r>
        <w:rPr>
          <w:rFonts w:hint="eastAsia"/>
          <w:color w:val="auto"/>
          <w:lang w:val="en-US" w:eastAsia="zh-CN"/>
        </w:rPr>
        <w:t>钢组件框架结构的楼盖设计应符合下列规定：</w:t>
      </w:r>
    </w:p>
    <w:p w14:paraId="28E04A42">
      <w:pPr>
        <w:pStyle w:val="43"/>
        <w:numPr>
          <w:ilvl w:val="3"/>
          <w:numId w:val="9"/>
        </w:numPr>
        <w:bidi w:val="0"/>
        <w:rPr>
          <w:rFonts w:hint="default"/>
          <w:lang w:val="en-US" w:eastAsia="zh-CN"/>
        </w:rPr>
      </w:pPr>
      <w:r>
        <w:rPr>
          <w:rFonts w:hint="eastAsia"/>
          <w:lang w:val="en-US" w:eastAsia="zh-CN"/>
        </w:rPr>
        <w:t>楼板宜采用可实现免支撑或少支撑施工</w:t>
      </w:r>
      <w:bookmarkStart w:id="33" w:name="OLE_LINK7"/>
      <w:r>
        <w:rPr>
          <w:rFonts w:hint="eastAsia"/>
          <w:lang w:val="en-US" w:eastAsia="zh-CN"/>
        </w:rPr>
        <w:t>的混凝土叠合板、全预制混凝土板、钢筋桁架楼承板混凝土板等；</w:t>
      </w:r>
    </w:p>
    <w:p w14:paraId="159EC1AC">
      <w:pPr>
        <w:pStyle w:val="43"/>
        <w:numPr>
          <w:ilvl w:val="3"/>
          <w:numId w:val="9"/>
        </w:numPr>
        <w:bidi w:val="0"/>
        <w:rPr>
          <w:rFonts w:hint="default"/>
          <w:lang w:val="en-US" w:eastAsia="zh-CN"/>
        </w:rPr>
      </w:pPr>
      <w:r>
        <w:rPr>
          <w:rFonts w:hint="eastAsia"/>
          <w:lang w:val="en-US" w:eastAsia="zh-CN"/>
        </w:rPr>
        <w:t>对于高层钢组件框架结构，楼板宜采用混凝土叠合板、钢筋桁架楼承板混凝土楼板，不宜采用全预制混凝土板；对于非高层钢组件框架结构，楼板可采用全预制混凝土实心板或空心板；</w:t>
      </w:r>
    </w:p>
    <w:bookmarkEnd w:id="33"/>
    <w:p w14:paraId="21F66029">
      <w:pPr>
        <w:pStyle w:val="43"/>
        <w:numPr>
          <w:ilvl w:val="3"/>
          <w:numId w:val="9"/>
        </w:numPr>
        <w:bidi w:val="0"/>
        <w:rPr>
          <w:rFonts w:hint="eastAsia"/>
          <w:color w:val="auto"/>
        </w:rPr>
      </w:pPr>
      <w:r>
        <w:rPr>
          <w:rFonts w:hint="eastAsia"/>
          <w:color w:val="auto"/>
          <w:lang w:val="en-US" w:eastAsia="zh-CN"/>
        </w:rPr>
        <w:t>宜减少次梁数量，次梁与主梁宜采用铰接连接；</w:t>
      </w:r>
    </w:p>
    <w:p w14:paraId="6BF95D1F">
      <w:pPr>
        <w:pStyle w:val="43"/>
        <w:numPr>
          <w:ilvl w:val="3"/>
          <w:numId w:val="9"/>
        </w:numPr>
        <w:bidi w:val="0"/>
        <w:rPr>
          <w:rFonts w:hint="eastAsia"/>
          <w:color w:val="auto"/>
        </w:rPr>
      </w:pPr>
      <w:r>
        <w:rPr>
          <w:rFonts w:hint="eastAsia"/>
          <w:lang w:val="en-US" w:eastAsia="zh-CN"/>
        </w:rPr>
        <w:t>应采取措施保证楼盖具有良好</w:t>
      </w:r>
      <w:r>
        <w:rPr>
          <w:rFonts w:hint="eastAsia"/>
          <w:color w:val="auto"/>
        </w:rPr>
        <w:t>的水平刚度和整体性。</w:t>
      </w:r>
    </w:p>
    <w:bookmarkEnd w:id="31"/>
    <w:bookmarkEnd w:id="32"/>
    <w:p w14:paraId="27BC05E2">
      <w:pPr>
        <w:pStyle w:val="42"/>
        <w:numPr>
          <w:ilvl w:val="0"/>
          <w:numId w:val="6"/>
        </w:numPr>
        <w:ind w:left="0" w:leftChars="0" w:firstLine="0" w:firstLineChars="0"/>
        <w:rPr>
          <w:rFonts w:hint="eastAsia"/>
          <w:color w:val="auto"/>
        </w:rPr>
      </w:pPr>
      <w:r>
        <w:rPr>
          <w:rFonts w:hint="eastAsia"/>
          <w:color w:val="auto"/>
          <w:lang w:eastAsia="zh-CN"/>
        </w:rPr>
        <w:t>钢组件框架结构</w:t>
      </w:r>
      <w:r>
        <w:rPr>
          <w:rFonts w:hint="eastAsia"/>
          <w:color w:val="auto"/>
        </w:rPr>
        <w:t>房屋的最大适用高度应符合表</w:t>
      </w:r>
      <w:r>
        <w:rPr>
          <w:rFonts w:hint="eastAsia"/>
          <w:color w:val="auto"/>
          <w:lang w:val="en-US" w:eastAsia="zh-CN"/>
        </w:rPr>
        <w:t>4.0.4</w:t>
      </w:r>
      <w:r>
        <w:rPr>
          <w:rFonts w:hint="eastAsia"/>
          <w:color w:val="auto"/>
        </w:rPr>
        <w:t>的规定，对于平面和竖向均不规则的结构，最大适用高度宜适当减低。</w:t>
      </w:r>
    </w:p>
    <w:p w14:paraId="44E4AC01">
      <w:pPr>
        <w:pStyle w:val="45"/>
        <w:keepNext w:val="0"/>
        <w:keepLines w:val="0"/>
        <w:pageBreakBefore w:val="0"/>
        <w:widowControl w:val="0"/>
        <w:kinsoku/>
        <w:wordWrap/>
        <w:overflowPunct/>
        <w:topLinePunct w:val="0"/>
        <w:autoSpaceDE/>
        <w:autoSpaceDN/>
        <w:bidi w:val="0"/>
        <w:adjustRightInd w:val="0"/>
        <w:snapToGrid w:val="0"/>
        <w:textAlignment w:val="auto"/>
        <w:rPr>
          <w:rFonts w:hint="eastAsia" w:eastAsia="黑体"/>
          <w:color w:val="auto"/>
          <w:lang w:eastAsia="zh-CN"/>
        </w:rPr>
      </w:pPr>
      <w:r>
        <w:rPr>
          <w:rFonts w:hint="eastAsia"/>
          <w:color w:val="auto"/>
        </w:rPr>
        <w:t>表</w:t>
      </w:r>
      <w:r>
        <w:rPr>
          <w:rFonts w:hint="eastAsia"/>
          <w:color w:val="auto"/>
          <w:lang w:val="en-US" w:eastAsia="zh-CN"/>
        </w:rPr>
        <w:t>4.0.4</w:t>
      </w:r>
      <w:r>
        <w:rPr>
          <w:rFonts w:hint="eastAsia"/>
          <w:color w:val="auto"/>
        </w:rPr>
        <w:t xml:space="preserve">  </w:t>
      </w:r>
      <w:r>
        <w:rPr>
          <w:rFonts w:hint="eastAsia"/>
          <w:color w:val="auto"/>
          <w:lang w:eastAsia="zh-CN"/>
        </w:rPr>
        <w:t>钢组件框架结构</w:t>
      </w:r>
      <w:r>
        <w:rPr>
          <w:rFonts w:hint="eastAsia"/>
          <w:color w:val="auto"/>
        </w:rPr>
        <w:t>房屋的最大适用高度</w:t>
      </w:r>
      <w:r>
        <w:rPr>
          <w:rFonts w:hint="eastAsia"/>
          <w:color w:val="auto"/>
          <w:lang w:eastAsia="zh-CN"/>
        </w:rPr>
        <w:t>（</w:t>
      </w:r>
      <w:r>
        <w:rPr>
          <w:rFonts w:hint="eastAsia"/>
          <w:color w:val="auto"/>
          <w:lang w:val="en-US" w:eastAsia="zh-CN"/>
        </w:rPr>
        <w:t>m</w:t>
      </w:r>
      <w:r>
        <w:rPr>
          <w:rFonts w:hint="eastAsia"/>
          <w:color w:val="auto"/>
          <w:lang w:eastAsia="zh-CN"/>
        </w:rPr>
        <w:t>）</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7"/>
        <w:gridCol w:w="955"/>
        <w:gridCol w:w="955"/>
        <w:gridCol w:w="957"/>
        <w:gridCol w:w="955"/>
        <w:gridCol w:w="1475"/>
      </w:tblGrid>
      <w:tr w14:paraId="2F85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889" w:type="pct"/>
            <w:vMerge w:val="restart"/>
            <w:vAlign w:val="center"/>
          </w:tcPr>
          <w:p w14:paraId="444CB48D">
            <w:pPr>
              <w:pStyle w:val="47"/>
              <w:rPr>
                <w:rFonts w:hint="default" w:eastAsia="宋体"/>
                <w:color w:val="auto"/>
                <w:lang w:val="en-US" w:eastAsia="zh-CN"/>
              </w:rPr>
            </w:pPr>
            <w:r>
              <w:rPr>
                <w:rFonts w:hint="eastAsia"/>
                <w:color w:val="auto"/>
                <w:lang w:val="en-US" w:eastAsia="zh-CN"/>
              </w:rPr>
              <w:t>结构类型</w:t>
            </w:r>
          </w:p>
        </w:tc>
        <w:tc>
          <w:tcPr>
            <w:tcW w:w="3110" w:type="pct"/>
            <w:gridSpan w:val="5"/>
            <w:vAlign w:val="center"/>
          </w:tcPr>
          <w:p w14:paraId="248306E3">
            <w:pPr>
              <w:pStyle w:val="47"/>
              <w:rPr>
                <w:rFonts w:hint="default" w:eastAsia="宋体"/>
                <w:color w:val="auto"/>
                <w:lang w:val="en-US" w:eastAsia="zh-CN"/>
              </w:rPr>
            </w:pPr>
            <w:r>
              <w:rPr>
                <w:rFonts w:hint="eastAsia"/>
                <w:color w:val="auto"/>
                <w:lang w:val="en-US" w:eastAsia="zh-CN"/>
              </w:rPr>
              <w:t>抗震设防烈度</w:t>
            </w:r>
          </w:p>
        </w:tc>
      </w:tr>
      <w:tr w14:paraId="43D9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9" w:type="pct"/>
            <w:vMerge w:val="continue"/>
            <w:vAlign w:val="center"/>
          </w:tcPr>
          <w:p w14:paraId="2516757B">
            <w:pPr>
              <w:pStyle w:val="47"/>
              <w:rPr>
                <w:color w:val="auto"/>
              </w:rPr>
            </w:pPr>
          </w:p>
        </w:tc>
        <w:tc>
          <w:tcPr>
            <w:tcW w:w="561" w:type="pct"/>
            <w:vAlign w:val="center"/>
          </w:tcPr>
          <w:p w14:paraId="3DFDF49F">
            <w:pPr>
              <w:pStyle w:val="47"/>
              <w:rPr>
                <w:rFonts w:hint="eastAsia"/>
                <w:color w:val="auto"/>
              </w:rPr>
            </w:pPr>
            <w:r>
              <w:rPr>
                <w:rFonts w:hint="eastAsia"/>
                <w:color w:val="auto"/>
              </w:rPr>
              <w:t>6度</w:t>
            </w:r>
          </w:p>
        </w:tc>
        <w:tc>
          <w:tcPr>
            <w:tcW w:w="1123" w:type="pct"/>
            <w:gridSpan w:val="2"/>
            <w:vAlign w:val="center"/>
          </w:tcPr>
          <w:p w14:paraId="22B7EDDF">
            <w:pPr>
              <w:pStyle w:val="47"/>
              <w:rPr>
                <w:rFonts w:hint="eastAsia"/>
                <w:color w:val="auto"/>
              </w:rPr>
            </w:pPr>
            <w:r>
              <w:rPr>
                <w:rFonts w:hint="eastAsia"/>
                <w:color w:val="auto"/>
              </w:rPr>
              <w:t>7度</w:t>
            </w:r>
          </w:p>
        </w:tc>
        <w:tc>
          <w:tcPr>
            <w:tcW w:w="1424" w:type="pct"/>
            <w:gridSpan w:val="2"/>
            <w:vAlign w:val="center"/>
          </w:tcPr>
          <w:p w14:paraId="3102A0DA">
            <w:pPr>
              <w:pStyle w:val="47"/>
              <w:rPr>
                <w:rFonts w:hint="eastAsia"/>
                <w:color w:val="auto"/>
              </w:rPr>
            </w:pPr>
            <w:r>
              <w:rPr>
                <w:rFonts w:hint="eastAsia"/>
                <w:color w:val="auto"/>
              </w:rPr>
              <w:t>8度</w:t>
            </w:r>
          </w:p>
        </w:tc>
      </w:tr>
      <w:tr w14:paraId="65A1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89" w:type="pct"/>
            <w:vMerge w:val="continue"/>
            <w:vAlign w:val="center"/>
          </w:tcPr>
          <w:p w14:paraId="16CB38B2">
            <w:pPr>
              <w:pStyle w:val="47"/>
              <w:rPr>
                <w:color w:val="auto"/>
              </w:rPr>
            </w:pPr>
          </w:p>
        </w:tc>
        <w:tc>
          <w:tcPr>
            <w:tcW w:w="561" w:type="pct"/>
            <w:vAlign w:val="center"/>
          </w:tcPr>
          <w:p w14:paraId="28F012F3">
            <w:pPr>
              <w:pStyle w:val="47"/>
              <w:rPr>
                <w:rFonts w:hint="default" w:eastAsia="宋体"/>
                <w:color w:val="auto"/>
                <w:lang w:val="en-US" w:eastAsia="zh-CN"/>
              </w:rPr>
            </w:pPr>
            <w:r>
              <w:rPr>
                <w:rFonts w:hint="eastAsia"/>
                <w:color w:val="auto"/>
                <w:lang w:val="en-US" w:eastAsia="zh-CN"/>
              </w:rPr>
              <w:t>0.05</w:t>
            </w:r>
            <w:r>
              <w:rPr>
                <w:rFonts w:hint="eastAsia"/>
                <w:i/>
                <w:iCs/>
                <w:color w:val="auto"/>
                <w:lang w:val="en-US" w:eastAsia="zh-CN"/>
              </w:rPr>
              <w:t>g</w:t>
            </w:r>
          </w:p>
        </w:tc>
        <w:tc>
          <w:tcPr>
            <w:tcW w:w="561" w:type="pct"/>
            <w:vAlign w:val="center"/>
          </w:tcPr>
          <w:p w14:paraId="4FFCFF93">
            <w:pPr>
              <w:pStyle w:val="47"/>
              <w:rPr>
                <w:rFonts w:hint="default" w:eastAsia="宋体"/>
                <w:color w:val="auto"/>
                <w:lang w:val="en-US" w:eastAsia="zh-CN"/>
              </w:rPr>
            </w:pPr>
            <w:r>
              <w:rPr>
                <w:rFonts w:hint="eastAsia"/>
                <w:color w:val="auto"/>
                <w:lang w:val="en-US" w:eastAsia="zh-CN"/>
              </w:rPr>
              <w:t>0.10</w:t>
            </w:r>
            <w:r>
              <w:rPr>
                <w:rFonts w:hint="eastAsia"/>
                <w:i/>
                <w:iCs/>
                <w:color w:val="auto"/>
                <w:lang w:val="en-US" w:eastAsia="zh-CN"/>
              </w:rPr>
              <w:t>g</w:t>
            </w:r>
          </w:p>
        </w:tc>
        <w:tc>
          <w:tcPr>
            <w:tcW w:w="561" w:type="pct"/>
            <w:vAlign w:val="center"/>
          </w:tcPr>
          <w:p w14:paraId="25D9F80C">
            <w:pPr>
              <w:pStyle w:val="47"/>
              <w:rPr>
                <w:rFonts w:hint="default"/>
                <w:color w:val="auto"/>
                <w:lang w:val="en-US" w:eastAsia="zh-CN"/>
              </w:rPr>
            </w:pPr>
            <w:r>
              <w:rPr>
                <w:rFonts w:hint="eastAsia"/>
                <w:color w:val="auto"/>
                <w:lang w:val="en-US" w:eastAsia="zh-CN"/>
              </w:rPr>
              <w:t>0.15</w:t>
            </w:r>
            <w:r>
              <w:rPr>
                <w:rFonts w:hint="eastAsia"/>
                <w:i/>
                <w:iCs/>
                <w:color w:val="auto"/>
                <w:lang w:val="en-US" w:eastAsia="zh-CN"/>
              </w:rPr>
              <w:t>g</w:t>
            </w:r>
          </w:p>
        </w:tc>
        <w:tc>
          <w:tcPr>
            <w:tcW w:w="561" w:type="pct"/>
            <w:vAlign w:val="center"/>
          </w:tcPr>
          <w:p w14:paraId="29E775D7">
            <w:pPr>
              <w:pStyle w:val="47"/>
              <w:rPr>
                <w:color w:val="auto"/>
              </w:rPr>
            </w:pPr>
            <w:r>
              <w:rPr>
                <w:rFonts w:hint="eastAsia"/>
                <w:color w:val="auto"/>
              </w:rPr>
              <w:t>0.20</w:t>
            </w:r>
            <w:r>
              <w:rPr>
                <w:rFonts w:hint="eastAsia"/>
                <w:i/>
                <w:color w:val="auto"/>
              </w:rPr>
              <w:t>g</w:t>
            </w:r>
          </w:p>
        </w:tc>
        <w:tc>
          <w:tcPr>
            <w:tcW w:w="862" w:type="pct"/>
            <w:vAlign w:val="center"/>
          </w:tcPr>
          <w:p w14:paraId="40C855F8">
            <w:pPr>
              <w:pStyle w:val="47"/>
              <w:rPr>
                <w:color w:val="auto"/>
              </w:rPr>
            </w:pPr>
            <w:r>
              <w:rPr>
                <w:rFonts w:hint="eastAsia"/>
                <w:color w:val="auto"/>
              </w:rPr>
              <w:t>0.30</w:t>
            </w:r>
            <w:r>
              <w:rPr>
                <w:rFonts w:hint="eastAsia"/>
                <w:i/>
                <w:color w:val="auto"/>
              </w:rPr>
              <w:t>g</w:t>
            </w:r>
          </w:p>
        </w:tc>
      </w:tr>
      <w:tr w14:paraId="2AA8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9" w:type="pct"/>
            <w:vAlign w:val="center"/>
          </w:tcPr>
          <w:p w14:paraId="4D9058F5">
            <w:pPr>
              <w:pStyle w:val="47"/>
              <w:rPr>
                <w:rFonts w:hint="default" w:eastAsia="宋体"/>
                <w:color w:val="auto"/>
                <w:lang w:val="en-US" w:eastAsia="zh-CN"/>
              </w:rPr>
            </w:pPr>
            <w:r>
              <w:rPr>
                <w:rFonts w:hint="eastAsia"/>
                <w:color w:val="auto"/>
                <w:lang w:val="en-US" w:eastAsia="zh-CN"/>
              </w:rPr>
              <w:t>矩形柱钢组件框架结构</w:t>
            </w:r>
          </w:p>
        </w:tc>
        <w:tc>
          <w:tcPr>
            <w:tcW w:w="561" w:type="pct"/>
            <w:vAlign w:val="center"/>
          </w:tcPr>
          <w:p w14:paraId="5E389F16">
            <w:pPr>
              <w:pStyle w:val="47"/>
              <w:rPr>
                <w:color w:val="auto"/>
              </w:rPr>
            </w:pPr>
            <w:r>
              <w:rPr>
                <w:rFonts w:hint="eastAsia"/>
                <w:color w:val="auto"/>
              </w:rPr>
              <w:t>60</w:t>
            </w:r>
          </w:p>
        </w:tc>
        <w:tc>
          <w:tcPr>
            <w:tcW w:w="561" w:type="pct"/>
            <w:vAlign w:val="center"/>
          </w:tcPr>
          <w:p w14:paraId="3279C152">
            <w:pPr>
              <w:pStyle w:val="47"/>
              <w:rPr>
                <w:color w:val="auto"/>
              </w:rPr>
            </w:pPr>
            <w:r>
              <w:rPr>
                <w:rFonts w:hint="eastAsia"/>
                <w:color w:val="auto"/>
              </w:rPr>
              <w:t>50</w:t>
            </w:r>
          </w:p>
        </w:tc>
        <w:tc>
          <w:tcPr>
            <w:tcW w:w="561" w:type="pct"/>
            <w:vAlign w:val="center"/>
          </w:tcPr>
          <w:p w14:paraId="48B56028">
            <w:pPr>
              <w:pStyle w:val="47"/>
              <w:rPr>
                <w:rFonts w:hint="default" w:eastAsia="宋体"/>
                <w:color w:val="auto"/>
                <w:lang w:val="en-US" w:eastAsia="zh-CN"/>
              </w:rPr>
            </w:pPr>
            <w:r>
              <w:rPr>
                <w:rFonts w:hint="eastAsia"/>
                <w:color w:val="auto"/>
                <w:lang w:val="en-US" w:eastAsia="zh-CN"/>
              </w:rPr>
              <w:t>45</w:t>
            </w:r>
          </w:p>
        </w:tc>
        <w:tc>
          <w:tcPr>
            <w:tcW w:w="561" w:type="pct"/>
            <w:vAlign w:val="center"/>
          </w:tcPr>
          <w:p w14:paraId="5A4C8FBE">
            <w:pPr>
              <w:pStyle w:val="47"/>
              <w:rPr>
                <w:rFonts w:hint="default" w:eastAsia="宋体"/>
                <w:color w:val="auto"/>
                <w:lang w:val="en-US" w:eastAsia="zh-CN"/>
              </w:rPr>
            </w:pPr>
            <w:r>
              <w:rPr>
                <w:rFonts w:hint="eastAsia"/>
                <w:color w:val="auto"/>
                <w:lang w:val="en-US" w:eastAsia="zh-CN"/>
              </w:rPr>
              <w:t>40</w:t>
            </w:r>
          </w:p>
        </w:tc>
        <w:tc>
          <w:tcPr>
            <w:tcW w:w="862" w:type="pct"/>
            <w:vAlign w:val="center"/>
          </w:tcPr>
          <w:p w14:paraId="1ACC4F0C">
            <w:pPr>
              <w:pStyle w:val="47"/>
              <w:rPr>
                <w:rFonts w:hint="default" w:eastAsia="宋体"/>
                <w:color w:val="auto"/>
                <w:lang w:val="en-US" w:eastAsia="zh-CN"/>
              </w:rPr>
            </w:pPr>
            <w:r>
              <w:rPr>
                <w:rFonts w:hint="eastAsia"/>
                <w:color w:val="auto"/>
                <w:lang w:val="en-US" w:eastAsia="zh-CN"/>
              </w:rPr>
              <w:t>30</w:t>
            </w:r>
          </w:p>
        </w:tc>
      </w:tr>
      <w:tr w14:paraId="4293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9" w:type="pct"/>
            <w:vAlign w:val="center"/>
          </w:tcPr>
          <w:p w14:paraId="7B7351DF">
            <w:pPr>
              <w:pStyle w:val="47"/>
              <w:rPr>
                <w:rFonts w:hint="default" w:eastAsia="宋体"/>
                <w:color w:val="auto"/>
                <w:lang w:val="en-US" w:eastAsia="zh-CN"/>
              </w:rPr>
            </w:pPr>
            <w:r>
              <w:rPr>
                <w:rFonts w:hint="eastAsia"/>
                <w:color w:val="auto"/>
                <w:lang w:val="en-US" w:eastAsia="zh-CN"/>
              </w:rPr>
              <w:t>异形柱钢组件框架结构</w:t>
            </w:r>
          </w:p>
        </w:tc>
        <w:tc>
          <w:tcPr>
            <w:tcW w:w="561" w:type="pct"/>
            <w:vAlign w:val="center"/>
          </w:tcPr>
          <w:p w14:paraId="6C6C827D">
            <w:pPr>
              <w:pStyle w:val="47"/>
              <w:rPr>
                <w:rFonts w:hint="default" w:eastAsia="宋体"/>
                <w:color w:val="auto"/>
                <w:lang w:val="en-US" w:eastAsia="zh-CN"/>
              </w:rPr>
            </w:pPr>
            <w:r>
              <w:rPr>
                <w:rFonts w:hint="eastAsia"/>
                <w:color w:val="auto"/>
                <w:lang w:val="en-US" w:eastAsia="zh-CN"/>
              </w:rPr>
              <w:t>24</w:t>
            </w:r>
          </w:p>
        </w:tc>
        <w:tc>
          <w:tcPr>
            <w:tcW w:w="561" w:type="pct"/>
            <w:vAlign w:val="center"/>
          </w:tcPr>
          <w:p w14:paraId="3EADD21B">
            <w:pPr>
              <w:pStyle w:val="47"/>
              <w:rPr>
                <w:rFonts w:hint="default" w:eastAsia="宋体"/>
                <w:color w:val="auto"/>
                <w:lang w:val="en-US" w:eastAsia="zh-CN"/>
              </w:rPr>
            </w:pPr>
            <w:r>
              <w:rPr>
                <w:rFonts w:hint="eastAsia"/>
                <w:color w:val="auto"/>
                <w:lang w:val="en-US" w:eastAsia="zh-CN"/>
              </w:rPr>
              <w:t>21</w:t>
            </w:r>
          </w:p>
        </w:tc>
        <w:tc>
          <w:tcPr>
            <w:tcW w:w="561" w:type="pct"/>
            <w:vAlign w:val="center"/>
          </w:tcPr>
          <w:p w14:paraId="0CFF9833">
            <w:pPr>
              <w:pStyle w:val="47"/>
              <w:rPr>
                <w:rFonts w:hint="default"/>
                <w:color w:val="auto"/>
                <w:lang w:val="en-US" w:eastAsia="zh-CN"/>
              </w:rPr>
            </w:pPr>
            <w:r>
              <w:rPr>
                <w:rFonts w:hint="eastAsia"/>
                <w:color w:val="auto"/>
                <w:lang w:val="en-US" w:eastAsia="zh-CN"/>
              </w:rPr>
              <w:t>18</w:t>
            </w:r>
          </w:p>
        </w:tc>
        <w:tc>
          <w:tcPr>
            <w:tcW w:w="561" w:type="pct"/>
            <w:vAlign w:val="center"/>
          </w:tcPr>
          <w:p w14:paraId="67D91D4A">
            <w:pPr>
              <w:pStyle w:val="47"/>
              <w:rPr>
                <w:rFonts w:hint="default" w:eastAsia="宋体"/>
                <w:color w:val="auto"/>
                <w:lang w:val="en-US" w:eastAsia="zh-CN"/>
              </w:rPr>
            </w:pPr>
            <w:r>
              <w:rPr>
                <w:rFonts w:hint="eastAsia"/>
                <w:color w:val="auto"/>
                <w:lang w:val="en-US" w:eastAsia="zh-CN"/>
              </w:rPr>
              <w:t>12</w:t>
            </w:r>
          </w:p>
        </w:tc>
        <w:tc>
          <w:tcPr>
            <w:tcW w:w="862" w:type="pct"/>
            <w:vAlign w:val="center"/>
          </w:tcPr>
          <w:p w14:paraId="3D38A1E3">
            <w:pPr>
              <w:pStyle w:val="47"/>
              <w:rPr>
                <w:rFonts w:hint="eastAsia" w:eastAsia="宋体"/>
                <w:color w:val="auto"/>
                <w:lang w:val="en-US" w:eastAsia="zh-CN"/>
              </w:rPr>
            </w:pPr>
            <w:r>
              <w:rPr>
                <w:rFonts w:hint="eastAsia"/>
                <w:color w:val="auto"/>
                <w:lang w:val="en-US" w:eastAsia="zh-CN"/>
              </w:rPr>
              <w:t>不应采用</w:t>
            </w:r>
          </w:p>
        </w:tc>
      </w:tr>
    </w:tbl>
    <w:p w14:paraId="174BB729">
      <w:pPr>
        <w:pStyle w:val="47"/>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auto"/>
          <w:lang w:eastAsia="zh-CN"/>
        </w:rPr>
      </w:pPr>
      <w:r>
        <w:rPr>
          <w:rFonts w:hint="eastAsia"/>
          <w:color w:val="auto"/>
        </w:rPr>
        <w:t>注：房屋高度指室外地面到主要屋面板板顶的高度，不包括局部突出屋顶部分</w:t>
      </w:r>
      <w:r>
        <w:rPr>
          <w:rFonts w:hint="eastAsia"/>
          <w:color w:val="auto"/>
          <w:lang w:eastAsia="zh-CN"/>
        </w:rPr>
        <w:t>。</w:t>
      </w:r>
    </w:p>
    <w:p w14:paraId="1EB1676B">
      <w:pPr>
        <w:bidi w:val="0"/>
        <w:rPr>
          <w:rFonts w:hint="eastAsia"/>
          <w:lang w:eastAsia="zh-CN"/>
        </w:rPr>
      </w:pPr>
    </w:p>
    <w:p w14:paraId="57A1A3E7">
      <w:pPr>
        <w:pStyle w:val="42"/>
        <w:numPr>
          <w:ilvl w:val="0"/>
          <w:numId w:val="6"/>
        </w:numPr>
        <w:ind w:left="0" w:leftChars="0" w:firstLine="0" w:firstLineChars="0"/>
        <w:rPr>
          <w:color w:val="auto"/>
        </w:rPr>
      </w:pPr>
      <w:r>
        <w:rPr>
          <w:rFonts w:hint="eastAsia"/>
          <w:color w:val="auto"/>
        </w:rPr>
        <w:t>高层</w:t>
      </w:r>
      <w:r>
        <w:rPr>
          <w:rFonts w:hint="eastAsia"/>
          <w:color w:val="auto"/>
          <w:lang w:val="en-US" w:eastAsia="zh-CN"/>
        </w:rPr>
        <w:t>矩形柱</w:t>
      </w:r>
      <w:r>
        <w:rPr>
          <w:rFonts w:hint="eastAsia"/>
          <w:color w:val="auto"/>
          <w:lang w:eastAsia="zh-CN"/>
        </w:rPr>
        <w:t>钢组件框架结构</w:t>
      </w:r>
      <w:r>
        <w:rPr>
          <w:rFonts w:hint="eastAsia"/>
          <w:color w:val="auto"/>
          <w:lang w:val="en-US" w:eastAsia="zh-CN"/>
        </w:rPr>
        <w:t>和异形柱钢组件框架结构</w:t>
      </w:r>
      <w:r>
        <w:rPr>
          <w:rFonts w:hint="eastAsia"/>
          <w:color w:val="auto"/>
        </w:rPr>
        <w:t>的高宽比不宜超过表</w:t>
      </w:r>
      <w:r>
        <w:rPr>
          <w:rFonts w:hint="eastAsia"/>
          <w:color w:val="auto"/>
          <w:lang w:val="en-US" w:eastAsia="zh-CN"/>
        </w:rPr>
        <w:t>4.0.5</w:t>
      </w:r>
      <w:r>
        <w:rPr>
          <w:rFonts w:hint="eastAsia"/>
          <w:color w:val="auto"/>
        </w:rPr>
        <w:t>的规定</w:t>
      </w:r>
      <w:r>
        <w:rPr>
          <w:rFonts w:hint="eastAsia"/>
          <w:color w:val="auto"/>
          <w:lang w:val="en-US" w:eastAsia="zh-CN"/>
        </w:rPr>
        <w:t>值</w:t>
      </w:r>
      <w:r>
        <w:rPr>
          <w:rFonts w:hint="eastAsia"/>
          <w:color w:val="auto"/>
        </w:rPr>
        <w:t>。</w:t>
      </w:r>
    </w:p>
    <w:p w14:paraId="6DA162E6">
      <w:pPr>
        <w:pStyle w:val="45"/>
        <w:ind w:firstLine="400"/>
        <w:rPr>
          <w:rFonts w:hint="eastAsia"/>
          <w:color w:val="auto"/>
        </w:rPr>
      </w:pPr>
      <w:r>
        <w:rPr>
          <w:rFonts w:hint="eastAsia"/>
          <w:color w:val="auto"/>
        </w:rPr>
        <w:t>表</w:t>
      </w:r>
      <w:r>
        <w:rPr>
          <w:rFonts w:hint="eastAsia"/>
          <w:color w:val="auto"/>
          <w:lang w:val="en-US" w:eastAsia="zh-CN"/>
        </w:rPr>
        <w:t>4.0.5</w:t>
      </w:r>
      <w:r>
        <w:rPr>
          <w:rFonts w:hint="eastAsia"/>
          <w:color w:val="auto"/>
        </w:rPr>
        <w:t xml:space="preserve">  高层</w:t>
      </w:r>
      <w:r>
        <w:rPr>
          <w:rFonts w:hint="eastAsia"/>
          <w:color w:val="auto"/>
          <w:lang w:val="en-US" w:eastAsia="zh-CN"/>
        </w:rPr>
        <w:t>矩形柱</w:t>
      </w:r>
      <w:r>
        <w:rPr>
          <w:rFonts w:hint="eastAsia"/>
          <w:color w:val="auto"/>
          <w:lang w:eastAsia="zh-CN"/>
        </w:rPr>
        <w:t>钢组件框架结构</w:t>
      </w:r>
      <w:r>
        <w:rPr>
          <w:rFonts w:hint="eastAsia"/>
          <w:color w:val="auto"/>
          <w:lang w:val="en-US" w:eastAsia="zh-CN"/>
        </w:rPr>
        <w:t>和异形柱钢组件框架结构</w:t>
      </w:r>
      <w:r>
        <w:rPr>
          <w:rFonts w:hint="eastAsia"/>
          <w:color w:val="auto"/>
        </w:rPr>
        <w:t>适用的最大高宽比</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4"/>
        <w:gridCol w:w="954"/>
        <w:gridCol w:w="954"/>
        <w:gridCol w:w="957"/>
        <w:gridCol w:w="954"/>
        <w:gridCol w:w="1480"/>
      </w:tblGrid>
      <w:tr w14:paraId="3199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888" w:type="pct"/>
            <w:vMerge w:val="restart"/>
            <w:vAlign w:val="center"/>
          </w:tcPr>
          <w:p w14:paraId="0E928DB0">
            <w:pPr>
              <w:pStyle w:val="47"/>
              <w:rPr>
                <w:rFonts w:hint="default" w:eastAsia="宋体"/>
                <w:color w:val="auto"/>
                <w:lang w:val="en-US" w:eastAsia="zh-CN"/>
              </w:rPr>
            </w:pPr>
            <w:r>
              <w:rPr>
                <w:rFonts w:hint="eastAsia"/>
                <w:color w:val="auto"/>
                <w:lang w:val="en-US" w:eastAsia="zh-CN"/>
              </w:rPr>
              <w:t>结构类型</w:t>
            </w:r>
          </w:p>
        </w:tc>
        <w:tc>
          <w:tcPr>
            <w:tcW w:w="3111" w:type="pct"/>
            <w:gridSpan w:val="5"/>
            <w:vAlign w:val="center"/>
          </w:tcPr>
          <w:p w14:paraId="11DEEC6E">
            <w:pPr>
              <w:pStyle w:val="47"/>
              <w:rPr>
                <w:rFonts w:hint="default" w:eastAsia="宋体"/>
                <w:color w:val="auto"/>
                <w:lang w:val="en-US" w:eastAsia="zh-CN"/>
              </w:rPr>
            </w:pPr>
            <w:r>
              <w:rPr>
                <w:rFonts w:hint="eastAsia"/>
                <w:color w:val="auto"/>
                <w:lang w:val="en-US" w:eastAsia="zh-CN"/>
              </w:rPr>
              <w:t>抗震设防烈度</w:t>
            </w:r>
          </w:p>
        </w:tc>
      </w:tr>
      <w:tr w14:paraId="2430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8" w:type="pct"/>
            <w:vMerge w:val="continue"/>
            <w:vAlign w:val="center"/>
          </w:tcPr>
          <w:p w14:paraId="5BBB7904">
            <w:pPr>
              <w:pStyle w:val="47"/>
              <w:rPr>
                <w:color w:val="auto"/>
              </w:rPr>
            </w:pPr>
          </w:p>
        </w:tc>
        <w:tc>
          <w:tcPr>
            <w:tcW w:w="560" w:type="pct"/>
            <w:vAlign w:val="center"/>
          </w:tcPr>
          <w:p w14:paraId="4024C664">
            <w:pPr>
              <w:pStyle w:val="47"/>
              <w:rPr>
                <w:rFonts w:hint="eastAsia"/>
                <w:color w:val="auto"/>
              </w:rPr>
            </w:pPr>
            <w:r>
              <w:rPr>
                <w:rFonts w:hint="eastAsia"/>
                <w:color w:val="auto"/>
              </w:rPr>
              <w:t>6度</w:t>
            </w:r>
          </w:p>
        </w:tc>
        <w:tc>
          <w:tcPr>
            <w:tcW w:w="1122" w:type="pct"/>
            <w:gridSpan w:val="2"/>
            <w:vAlign w:val="center"/>
          </w:tcPr>
          <w:p w14:paraId="495B4CCE">
            <w:pPr>
              <w:pStyle w:val="47"/>
              <w:rPr>
                <w:rFonts w:hint="eastAsia"/>
                <w:color w:val="auto"/>
              </w:rPr>
            </w:pPr>
            <w:r>
              <w:rPr>
                <w:rFonts w:hint="eastAsia"/>
                <w:color w:val="auto"/>
              </w:rPr>
              <w:t>7度</w:t>
            </w:r>
          </w:p>
        </w:tc>
        <w:tc>
          <w:tcPr>
            <w:tcW w:w="1428" w:type="pct"/>
            <w:gridSpan w:val="2"/>
            <w:vAlign w:val="center"/>
          </w:tcPr>
          <w:p w14:paraId="5E34D4A2">
            <w:pPr>
              <w:pStyle w:val="47"/>
              <w:rPr>
                <w:rFonts w:hint="eastAsia"/>
                <w:color w:val="auto"/>
              </w:rPr>
            </w:pPr>
            <w:r>
              <w:rPr>
                <w:rFonts w:hint="eastAsia"/>
                <w:color w:val="auto"/>
              </w:rPr>
              <w:t>8度</w:t>
            </w:r>
          </w:p>
        </w:tc>
      </w:tr>
      <w:tr w14:paraId="7888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88" w:type="pct"/>
            <w:vMerge w:val="continue"/>
            <w:vAlign w:val="center"/>
          </w:tcPr>
          <w:p w14:paraId="538AF5A0">
            <w:pPr>
              <w:pStyle w:val="47"/>
              <w:rPr>
                <w:color w:val="auto"/>
              </w:rPr>
            </w:pPr>
          </w:p>
        </w:tc>
        <w:tc>
          <w:tcPr>
            <w:tcW w:w="560" w:type="pct"/>
            <w:vAlign w:val="center"/>
          </w:tcPr>
          <w:p w14:paraId="11D3A486">
            <w:pPr>
              <w:pStyle w:val="47"/>
              <w:rPr>
                <w:rFonts w:hint="default" w:eastAsia="宋体"/>
                <w:color w:val="auto"/>
                <w:lang w:val="en-US" w:eastAsia="zh-CN"/>
              </w:rPr>
            </w:pPr>
            <w:r>
              <w:rPr>
                <w:rFonts w:hint="eastAsia"/>
                <w:color w:val="auto"/>
                <w:lang w:val="en-US" w:eastAsia="zh-CN"/>
              </w:rPr>
              <w:t>0.05</w:t>
            </w:r>
            <w:r>
              <w:rPr>
                <w:rFonts w:hint="eastAsia"/>
                <w:i/>
                <w:iCs/>
                <w:color w:val="auto"/>
                <w:lang w:val="en-US" w:eastAsia="zh-CN"/>
              </w:rPr>
              <w:t>g</w:t>
            </w:r>
          </w:p>
        </w:tc>
        <w:tc>
          <w:tcPr>
            <w:tcW w:w="560" w:type="pct"/>
            <w:vAlign w:val="center"/>
          </w:tcPr>
          <w:p w14:paraId="5B3C7053">
            <w:pPr>
              <w:pStyle w:val="47"/>
              <w:rPr>
                <w:rFonts w:hint="default" w:eastAsia="宋体"/>
                <w:color w:val="auto"/>
                <w:lang w:val="en-US" w:eastAsia="zh-CN"/>
              </w:rPr>
            </w:pPr>
            <w:r>
              <w:rPr>
                <w:rFonts w:hint="eastAsia"/>
                <w:color w:val="auto"/>
                <w:lang w:val="en-US" w:eastAsia="zh-CN"/>
              </w:rPr>
              <w:t>0.10</w:t>
            </w:r>
            <w:r>
              <w:rPr>
                <w:rFonts w:hint="eastAsia"/>
                <w:i/>
                <w:iCs/>
                <w:color w:val="auto"/>
                <w:lang w:val="en-US" w:eastAsia="zh-CN"/>
              </w:rPr>
              <w:t>g</w:t>
            </w:r>
          </w:p>
        </w:tc>
        <w:tc>
          <w:tcPr>
            <w:tcW w:w="562" w:type="pct"/>
            <w:vAlign w:val="center"/>
          </w:tcPr>
          <w:p w14:paraId="6652292D">
            <w:pPr>
              <w:pStyle w:val="47"/>
              <w:rPr>
                <w:rFonts w:hint="default"/>
                <w:color w:val="auto"/>
                <w:lang w:val="en-US" w:eastAsia="zh-CN"/>
              </w:rPr>
            </w:pPr>
            <w:r>
              <w:rPr>
                <w:rFonts w:hint="eastAsia"/>
                <w:color w:val="auto"/>
                <w:lang w:val="en-US" w:eastAsia="zh-CN"/>
              </w:rPr>
              <w:t>0.15</w:t>
            </w:r>
            <w:r>
              <w:rPr>
                <w:rFonts w:hint="eastAsia"/>
                <w:i/>
                <w:iCs/>
                <w:color w:val="auto"/>
                <w:lang w:val="en-US" w:eastAsia="zh-CN"/>
              </w:rPr>
              <w:t>g</w:t>
            </w:r>
          </w:p>
        </w:tc>
        <w:tc>
          <w:tcPr>
            <w:tcW w:w="560" w:type="pct"/>
            <w:vAlign w:val="center"/>
          </w:tcPr>
          <w:p w14:paraId="33DCFDD0">
            <w:pPr>
              <w:pStyle w:val="47"/>
              <w:rPr>
                <w:color w:val="auto"/>
              </w:rPr>
            </w:pPr>
            <w:r>
              <w:rPr>
                <w:rFonts w:hint="eastAsia"/>
                <w:color w:val="auto"/>
              </w:rPr>
              <w:t>0.20</w:t>
            </w:r>
            <w:r>
              <w:rPr>
                <w:rFonts w:hint="eastAsia"/>
                <w:i/>
                <w:color w:val="auto"/>
              </w:rPr>
              <w:t>g</w:t>
            </w:r>
          </w:p>
        </w:tc>
        <w:tc>
          <w:tcPr>
            <w:tcW w:w="868" w:type="pct"/>
            <w:vAlign w:val="center"/>
          </w:tcPr>
          <w:p w14:paraId="624008E0">
            <w:pPr>
              <w:pStyle w:val="47"/>
              <w:rPr>
                <w:color w:val="auto"/>
              </w:rPr>
            </w:pPr>
            <w:r>
              <w:rPr>
                <w:rFonts w:hint="eastAsia"/>
                <w:color w:val="auto"/>
              </w:rPr>
              <w:t>0.30</w:t>
            </w:r>
            <w:r>
              <w:rPr>
                <w:rFonts w:hint="eastAsia"/>
                <w:i/>
                <w:color w:val="auto"/>
              </w:rPr>
              <w:t>g</w:t>
            </w:r>
          </w:p>
        </w:tc>
      </w:tr>
      <w:tr w14:paraId="35B7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8" w:type="pct"/>
            <w:vAlign w:val="center"/>
          </w:tcPr>
          <w:p w14:paraId="24E8154D">
            <w:pPr>
              <w:pStyle w:val="47"/>
              <w:rPr>
                <w:rFonts w:hint="default" w:eastAsia="宋体"/>
                <w:color w:val="auto"/>
                <w:lang w:val="en-US" w:eastAsia="zh-CN"/>
              </w:rPr>
            </w:pPr>
            <w:r>
              <w:rPr>
                <w:rFonts w:hint="eastAsia"/>
                <w:color w:val="auto"/>
                <w:lang w:val="en-US" w:eastAsia="zh-CN"/>
              </w:rPr>
              <w:t>矩形柱钢组件框架结构</w:t>
            </w:r>
          </w:p>
        </w:tc>
        <w:tc>
          <w:tcPr>
            <w:tcW w:w="560" w:type="pct"/>
            <w:vAlign w:val="center"/>
          </w:tcPr>
          <w:p w14:paraId="0ED5025C">
            <w:pPr>
              <w:pStyle w:val="47"/>
              <w:rPr>
                <w:rFonts w:hint="eastAsia" w:eastAsia="宋体"/>
                <w:color w:val="auto"/>
                <w:lang w:eastAsia="zh-CN"/>
              </w:rPr>
            </w:pPr>
            <w:r>
              <w:rPr>
                <w:rFonts w:hint="eastAsia"/>
                <w:color w:val="auto"/>
                <w:lang w:val="en-US" w:eastAsia="zh-CN"/>
              </w:rPr>
              <w:t>4</w:t>
            </w:r>
          </w:p>
        </w:tc>
        <w:tc>
          <w:tcPr>
            <w:tcW w:w="1122" w:type="pct"/>
            <w:gridSpan w:val="2"/>
            <w:vAlign w:val="center"/>
          </w:tcPr>
          <w:p w14:paraId="00D7F54F">
            <w:pPr>
              <w:pStyle w:val="47"/>
              <w:rPr>
                <w:rFonts w:hint="default" w:eastAsia="宋体"/>
                <w:color w:val="auto"/>
                <w:lang w:val="en-US" w:eastAsia="zh-CN"/>
              </w:rPr>
            </w:pPr>
            <w:r>
              <w:rPr>
                <w:rFonts w:hint="eastAsia"/>
                <w:color w:val="auto"/>
                <w:lang w:val="en-US" w:eastAsia="zh-CN"/>
              </w:rPr>
              <w:t>4</w:t>
            </w:r>
          </w:p>
        </w:tc>
        <w:tc>
          <w:tcPr>
            <w:tcW w:w="1428" w:type="pct"/>
            <w:gridSpan w:val="2"/>
            <w:vAlign w:val="center"/>
          </w:tcPr>
          <w:p w14:paraId="64910216">
            <w:pPr>
              <w:pStyle w:val="47"/>
              <w:rPr>
                <w:rFonts w:hint="default" w:eastAsia="宋体"/>
                <w:color w:val="auto"/>
                <w:lang w:val="en-US" w:eastAsia="zh-CN"/>
              </w:rPr>
            </w:pPr>
            <w:r>
              <w:rPr>
                <w:rFonts w:hint="eastAsia"/>
                <w:color w:val="auto"/>
                <w:lang w:val="en-US" w:eastAsia="zh-CN"/>
              </w:rPr>
              <w:t>3</w:t>
            </w:r>
          </w:p>
        </w:tc>
      </w:tr>
      <w:tr w14:paraId="0C7A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8" w:type="pct"/>
            <w:vAlign w:val="center"/>
          </w:tcPr>
          <w:p w14:paraId="418AD4F8">
            <w:pPr>
              <w:pStyle w:val="47"/>
              <w:rPr>
                <w:rFonts w:hint="default" w:eastAsia="宋体"/>
                <w:color w:val="auto"/>
                <w:lang w:val="en-US" w:eastAsia="zh-CN"/>
              </w:rPr>
            </w:pPr>
            <w:r>
              <w:rPr>
                <w:rFonts w:hint="eastAsia"/>
                <w:color w:val="auto"/>
                <w:lang w:val="en-US" w:eastAsia="zh-CN"/>
              </w:rPr>
              <w:t>异形柱钢组件框架结构</w:t>
            </w:r>
          </w:p>
        </w:tc>
        <w:tc>
          <w:tcPr>
            <w:tcW w:w="560" w:type="pct"/>
            <w:vAlign w:val="center"/>
          </w:tcPr>
          <w:p w14:paraId="19553A09">
            <w:pPr>
              <w:pStyle w:val="47"/>
              <w:rPr>
                <w:rFonts w:hint="default" w:eastAsia="宋体"/>
                <w:color w:val="auto"/>
                <w:lang w:val="en-US" w:eastAsia="zh-CN"/>
              </w:rPr>
            </w:pPr>
            <w:r>
              <w:rPr>
                <w:rFonts w:hint="eastAsia"/>
                <w:color w:val="auto"/>
                <w:lang w:val="en-US" w:eastAsia="zh-CN"/>
              </w:rPr>
              <w:t>4</w:t>
            </w:r>
          </w:p>
        </w:tc>
        <w:tc>
          <w:tcPr>
            <w:tcW w:w="560" w:type="pct"/>
            <w:vAlign w:val="center"/>
          </w:tcPr>
          <w:p w14:paraId="6CB4E69D">
            <w:pPr>
              <w:pStyle w:val="47"/>
              <w:rPr>
                <w:rFonts w:hint="default" w:eastAsia="宋体"/>
                <w:color w:val="auto"/>
                <w:lang w:val="en-US" w:eastAsia="zh-CN"/>
              </w:rPr>
            </w:pPr>
            <w:r>
              <w:rPr>
                <w:rFonts w:hint="eastAsia"/>
                <w:color w:val="auto"/>
                <w:lang w:val="en-US" w:eastAsia="zh-CN"/>
              </w:rPr>
              <w:t>3.5</w:t>
            </w:r>
          </w:p>
        </w:tc>
        <w:tc>
          <w:tcPr>
            <w:tcW w:w="562" w:type="pct"/>
            <w:vAlign w:val="center"/>
          </w:tcPr>
          <w:p w14:paraId="1C561E5E">
            <w:pPr>
              <w:pStyle w:val="47"/>
              <w:rPr>
                <w:rFonts w:hint="default"/>
                <w:color w:val="auto"/>
                <w:lang w:val="en-US" w:eastAsia="zh-CN"/>
              </w:rPr>
            </w:pPr>
            <w:r>
              <w:rPr>
                <w:rFonts w:hint="eastAsia"/>
                <w:color w:val="auto"/>
                <w:lang w:val="en-US" w:eastAsia="zh-CN"/>
              </w:rPr>
              <w:t>3.0</w:t>
            </w:r>
          </w:p>
        </w:tc>
        <w:tc>
          <w:tcPr>
            <w:tcW w:w="560" w:type="pct"/>
            <w:vAlign w:val="center"/>
          </w:tcPr>
          <w:p w14:paraId="0E1D0D13">
            <w:pPr>
              <w:pStyle w:val="47"/>
              <w:rPr>
                <w:rFonts w:hint="default" w:eastAsia="宋体"/>
                <w:color w:val="auto"/>
                <w:lang w:val="en-US" w:eastAsia="zh-CN"/>
              </w:rPr>
            </w:pPr>
            <w:r>
              <w:rPr>
                <w:rFonts w:hint="eastAsia"/>
                <w:color w:val="auto"/>
                <w:lang w:val="en-US" w:eastAsia="zh-CN"/>
              </w:rPr>
              <w:t>2.5</w:t>
            </w:r>
          </w:p>
        </w:tc>
        <w:tc>
          <w:tcPr>
            <w:tcW w:w="868" w:type="pct"/>
            <w:vAlign w:val="center"/>
          </w:tcPr>
          <w:p w14:paraId="5E68D8FC">
            <w:pPr>
              <w:pStyle w:val="47"/>
              <w:rPr>
                <w:rFonts w:hint="eastAsia" w:eastAsia="宋体"/>
                <w:color w:val="auto"/>
                <w:lang w:val="en-US" w:eastAsia="zh-CN"/>
              </w:rPr>
            </w:pPr>
            <w:r>
              <w:rPr>
                <w:rFonts w:hint="eastAsia" w:ascii="Times New Roman" w:hAnsi="Times New Roman" w:cs="Times New Roman"/>
                <w:color w:val="auto"/>
                <w:lang w:val="en-US" w:eastAsia="zh-CN"/>
              </w:rPr>
              <w:t>/</w:t>
            </w:r>
          </w:p>
        </w:tc>
      </w:tr>
    </w:tbl>
    <w:p w14:paraId="2A970E76">
      <w:pPr>
        <w:pStyle w:val="45"/>
        <w:ind w:firstLine="400"/>
        <w:rPr>
          <w:rFonts w:hint="eastAsia"/>
          <w:color w:val="auto"/>
        </w:rPr>
      </w:pPr>
    </w:p>
    <w:p w14:paraId="771461C2">
      <w:pPr>
        <w:pStyle w:val="42"/>
        <w:numPr>
          <w:ilvl w:val="0"/>
          <w:numId w:val="6"/>
        </w:numPr>
        <w:ind w:left="0" w:leftChars="0" w:firstLine="0" w:firstLineChars="0"/>
        <w:rPr>
          <w:color w:val="auto"/>
        </w:rPr>
      </w:pPr>
      <w:r>
        <w:rPr>
          <w:rFonts w:hint="eastAsia"/>
          <w:color w:val="auto"/>
          <w:lang w:eastAsia="zh-CN"/>
        </w:rPr>
        <w:t>钢组件框架结构</w:t>
      </w:r>
      <w:r>
        <w:rPr>
          <w:rFonts w:hint="eastAsia"/>
          <w:color w:val="auto"/>
        </w:rPr>
        <w:t>的抗震等级和抗震措施应符合下列规定：</w:t>
      </w:r>
    </w:p>
    <w:p w14:paraId="538B5FE9">
      <w:pPr>
        <w:pStyle w:val="43"/>
        <w:numPr>
          <w:ilvl w:val="3"/>
          <w:numId w:val="10"/>
        </w:numPr>
        <w:tabs>
          <w:tab w:val="left" w:pos="420"/>
        </w:tabs>
        <w:ind w:firstLine="480"/>
        <w:rPr>
          <w:color w:val="auto"/>
        </w:rPr>
      </w:pPr>
      <w:r>
        <w:rPr>
          <w:rFonts w:hint="eastAsia"/>
          <w:color w:val="auto"/>
        </w:rPr>
        <w:t>丙类建筑：应</w:t>
      </w:r>
      <w:r>
        <w:rPr>
          <w:color w:val="auto"/>
        </w:rPr>
        <w:t>按本地区抗震设防烈度确定其抗震措施，抗震等级应按表</w:t>
      </w:r>
      <w:r>
        <w:rPr>
          <w:rFonts w:hint="eastAsia"/>
          <w:color w:val="auto"/>
          <w:lang w:val="en-US" w:eastAsia="zh-CN"/>
        </w:rPr>
        <w:t>4.0.6</w:t>
      </w:r>
      <w:r>
        <w:rPr>
          <w:color w:val="auto"/>
        </w:rPr>
        <w:t>确定；当建筑场地为Ⅰ类时，除</w:t>
      </w:r>
      <w:r>
        <w:rPr>
          <w:rFonts w:hint="eastAsia"/>
          <w:color w:val="auto"/>
        </w:rPr>
        <w:t>6度</w:t>
      </w:r>
      <w:r>
        <w:rPr>
          <w:rFonts w:hint="eastAsia"/>
          <w:color w:val="auto"/>
          <w:lang w:val="en-US" w:eastAsia="zh-CN"/>
        </w:rPr>
        <w:t>地区</w:t>
      </w:r>
      <w:r>
        <w:rPr>
          <w:rFonts w:hint="eastAsia"/>
          <w:color w:val="auto"/>
        </w:rPr>
        <w:t>外，可按本地区抗震设防烈度降低一度所对应的抗震等级采取抗震构造措施</w:t>
      </w:r>
      <w:r>
        <w:rPr>
          <w:rFonts w:hint="eastAsia"/>
          <w:color w:val="auto"/>
          <w:lang w:eastAsia="zh-CN"/>
        </w:rPr>
        <w:t>；</w:t>
      </w:r>
    </w:p>
    <w:p w14:paraId="568D3A3C">
      <w:pPr>
        <w:pStyle w:val="43"/>
        <w:numPr>
          <w:ilvl w:val="3"/>
          <w:numId w:val="10"/>
        </w:numPr>
        <w:tabs>
          <w:tab w:val="left" w:pos="420"/>
        </w:tabs>
        <w:ind w:firstLine="480"/>
        <w:rPr>
          <w:color w:val="auto"/>
        </w:rPr>
      </w:pPr>
      <w:r>
        <w:rPr>
          <w:rFonts w:hint="eastAsia"/>
          <w:color w:val="auto"/>
        </w:rPr>
        <w:t>乙类建筑：应按本地区抗震设防烈度提高一度后按表</w:t>
      </w:r>
      <w:r>
        <w:rPr>
          <w:rFonts w:hint="eastAsia"/>
          <w:color w:val="auto"/>
          <w:lang w:val="en-US" w:eastAsia="zh-CN"/>
        </w:rPr>
        <w:t>4.0.6</w:t>
      </w:r>
      <w:r>
        <w:rPr>
          <w:rFonts w:hint="eastAsia"/>
          <w:color w:val="auto"/>
        </w:rPr>
        <w:t>确定抗震等级；抗震设防烈度为8度时，抗震等级应提高一级，表中已为一级的，应采取比一级更高的抗震措施；当建筑场地为</w:t>
      </w:r>
      <w:r>
        <w:rPr>
          <w:color w:val="auto"/>
        </w:rPr>
        <w:t>Ⅰ类时</w:t>
      </w:r>
      <w:r>
        <w:rPr>
          <w:rFonts w:hint="eastAsia"/>
          <w:color w:val="auto"/>
        </w:rPr>
        <w:t>，可</w:t>
      </w:r>
      <w:r>
        <w:rPr>
          <w:color w:val="auto"/>
        </w:rPr>
        <w:t>仍按本地区抗震设防烈度的要求采取抗震构造</w:t>
      </w:r>
      <w:r>
        <w:rPr>
          <w:rFonts w:hint="eastAsia"/>
          <w:color w:val="auto"/>
        </w:rPr>
        <w:t>措施。</w:t>
      </w:r>
    </w:p>
    <w:p w14:paraId="1848D633">
      <w:pPr>
        <w:pStyle w:val="43"/>
        <w:numPr>
          <w:ilvl w:val="3"/>
          <w:numId w:val="10"/>
        </w:numPr>
        <w:tabs>
          <w:tab w:val="left" w:pos="420"/>
        </w:tabs>
        <w:ind w:firstLine="480"/>
        <w:rPr>
          <w:color w:val="auto"/>
        </w:rPr>
      </w:pPr>
      <w:r>
        <w:rPr>
          <w:color w:val="auto"/>
        </w:rPr>
        <w:t>当建筑场地为Ⅲ、Ⅳ类时，对设计基本地震加速度为0.15</w:t>
      </w:r>
      <w:r>
        <w:rPr>
          <w:i/>
          <w:color w:val="auto"/>
        </w:rPr>
        <w:t>g</w:t>
      </w:r>
      <w:r>
        <w:rPr>
          <w:color w:val="auto"/>
        </w:rPr>
        <w:t>的地区</w:t>
      </w:r>
      <w:r>
        <w:rPr>
          <w:rFonts w:hint="eastAsia"/>
          <w:color w:val="auto"/>
        </w:rPr>
        <w:t>，</w:t>
      </w:r>
      <w:r>
        <w:rPr>
          <w:color w:val="auto"/>
        </w:rPr>
        <w:t>宜按</w:t>
      </w:r>
      <w:r>
        <w:rPr>
          <w:rFonts w:hint="eastAsia"/>
          <w:color w:val="auto"/>
        </w:rPr>
        <w:t>表</w:t>
      </w:r>
      <w:r>
        <w:rPr>
          <w:rFonts w:hint="eastAsia"/>
          <w:color w:val="auto"/>
          <w:lang w:val="en-US" w:eastAsia="zh-CN"/>
        </w:rPr>
        <w:t>4.0.6</w:t>
      </w:r>
      <w:r>
        <w:rPr>
          <w:color w:val="auto"/>
        </w:rPr>
        <w:t>中</w:t>
      </w:r>
      <w:r>
        <w:rPr>
          <w:rFonts w:hint="eastAsia"/>
          <w:color w:val="auto"/>
        </w:rPr>
        <w:t>8度对应的抗震等级采取抗震构造措施；对设计基本地震加速度为0.30</w:t>
      </w:r>
      <w:r>
        <w:rPr>
          <w:rFonts w:hint="eastAsia"/>
          <w:i/>
          <w:color w:val="auto"/>
        </w:rPr>
        <w:t>g</w:t>
      </w:r>
      <w:r>
        <w:rPr>
          <w:color w:val="auto"/>
        </w:rPr>
        <w:t>的地区</w:t>
      </w:r>
      <w:r>
        <w:rPr>
          <w:rFonts w:hint="eastAsia"/>
          <w:color w:val="auto"/>
        </w:rPr>
        <w:t>，宜按比表</w:t>
      </w:r>
      <w:r>
        <w:rPr>
          <w:rFonts w:hint="eastAsia"/>
          <w:color w:val="auto"/>
          <w:lang w:val="en-US" w:eastAsia="zh-CN"/>
        </w:rPr>
        <w:t>4.0.6</w:t>
      </w:r>
      <w:r>
        <w:rPr>
          <w:color w:val="auto"/>
        </w:rPr>
        <w:t>中</w:t>
      </w:r>
      <w:r>
        <w:rPr>
          <w:rFonts w:hint="eastAsia"/>
          <w:color w:val="auto"/>
        </w:rPr>
        <w:t>8度对应的抗震等级提高一级采取抗震</w:t>
      </w:r>
      <w:r>
        <w:rPr>
          <w:color w:val="auto"/>
        </w:rPr>
        <w:t>构造措施</w:t>
      </w:r>
      <w:r>
        <w:rPr>
          <w:rFonts w:hint="eastAsia"/>
          <w:color w:val="auto"/>
        </w:rPr>
        <w:t>，表中已为一级的，应采取比一级更有效的抗震构造措施</w:t>
      </w:r>
      <w:r>
        <w:rPr>
          <w:rFonts w:hint="eastAsia"/>
          <w:color w:val="auto"/>
          <w:lang w:eastAsia="zh-CN"/>
        </w:rPr>
        <w:t>；</w:t>
      </w:r>
    </w:p>
    <w:p w14:paraId="400DD2B1">
      <w:pPr>
        <w:pStyle w:val="43"/>
        <w:numPr>
          <w:ilvl w:val="3"/>
          <w:numId w:val="10"/>
        </w:numPr>
        <w:tabs>
          <w:tab w:val="left" w:pos="420"/>
        </w:tabs>
        <w:ind w:firstLine="480"/>
        <w:rPr>
          <w:color w:val="auto"/>
        </w:rPr>
      </w:pPr>
      <w:r>
        <w:rPr>
          <w:color w:val="auto"/>
        </w:rPr>
        <w:t>乙类建筑按提高一度确定抗震措施时</w:t>
      </w:r>
      <w:r>
        <w:rPr>
          <w:rFonts w:hint="eastAsia"/>
          <w:color w:val="auto"/>
        </w:rPr>
        <w:t>，</w:t>
      </w:r>
      <w:r>
        <w:rPr>
          <w:color w:val="auto"/>
        </w:rPr>
        <w:t>或Ⅲ、Ⅳ类场地且设计基本地震加速度为</w:t>
      </w:r>
      <w:r>
        <w:rPr>
          <w:rFonts w:hint="eastAsia"/>
          <w:color w:val="auto"/>
        </w:rPr>
        <w:t>0.15</w:t>
      </w:r>
      <w:r>
        <w:rPr>
          <w:rFonts w:hint="eastAsia"/>
          <w:i/>
          <w:color w:val="auto"/>
        </w:rPr>
        <w:t>g</w:t>
      </w:r>
      <w:r>
        <w:rPr>
          <w:rFonts w:hint="eastAsia"/>
          <w:color w:val="auto"/>
        </w:rPr>
        <w:t>和0.30</w:t>
      </w:r>
      <w:r>
        <w:rPr>
          <w:rFonts w:hint="eastAsia"/>
          <w:i/>
          <w:color w:val="auto"/>
        </w:rPr>
        <w:t>g</w:t>
      </w:r>
      <w:r>
        <w:rPr>
          <w:rFonts w:hint="eastAsia"/>
          <w:color w:val="auto"/>
        </w:rPr>
        <w:t>的丙类建筑按提高一度确定抗震构造措施时，如果房屋高度超过提高一度后对应的房屋最大适用高度，则应采取比对应抗震等级更有效的抗震构造措施。</w:t>
      </w:r>
    </w:p>
    <w:p w14:paraId="4E963490">
      <w:pPr>
        <w:pStyle w:val="45"/>
        <w:rPr>
          <w:color w:val="auto"/>
        </w:rPr>
      </w:pPr>
      <w:r>
        <w:rPr>
          <w:rFonts w:hint="eastAsia"/>
          <w:color w:val="auto"/>
        </w:rPr>
        <w:t>表</w:t>
      </w:r>
      <w:r>
        <w:rPr>
          <w:rFonts w:hint="eastAsia"/>
          <w:color w:val="auto"/>
          <w:lang w:val="en-US" w:eastAsia="zh-CN"/>
        </w:rPr>
        <w:t>4.0.6</w:t>
      </w:r>
      <w:r>
        <w:rPr>
          <w:rFonts w:hint="eastAsia"/>
          <w:color w:val="auto"/>
        </w:rPr>
        <w:t xml:space="preserve">  </w:t>
      </w:r>
      <w:r>
        <w:rPr>
          <w:rFonts w:hint="eastAsia"/>
          <w:color w:val="auto"/>
          <w:lang w:eastAsia="zh-CN"/>
        </w:rPr>
        <w:t>钢组件框架结构</w:t>
      </w:r>
      <w:r>
        <w:rPr>
          <w:rFonts w:hint="eastAsia"/>
          <w:color w:val="auto"/>
        </w:rPr>
        <w:t>的抗震等级</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365"/>
        <w:gridCol w:w="479"/>
        <w:gridCol w:w="625"/>
        <w:gridCol w:w="559"/>
        <w:gridCol w:w="545"/>
        <w:gridCol w:w="559"/>
        <w:gridCol w:w="545"/>
        <w:gridCol w:w="559"/>
        <w:gridCol w:w="545"/>
        <w:gridCol w:w="559"/>
        <w:gridCol w:w="564"/>
      </w:tblGrid>
      <w:tr w14:paraId="2280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747" w:type="pct"/>
            <w:gridSpan w:val="2"/>
            <w:vMerge w:val="restart"/>
            <w:vAlign w:val="center"/>
          </w:tcPr>
          <w:p w14:paraId="3D50210C">
            <w:pPr>
              <w:pStyle w:val="47"/>
              <w:rPr>
                <w:rFonts w:hint="default" w:eastAsia="宋体"/>
                <w:color w:val="auto"/>
                <w:lang w:val="en-US" w:eastAsia="zh-CN"/>
              </w:rPr>
            </w:pPr>
            <w:r>
              <w:rPr>
                <w:rFonts w:hint="eastAsia"/>
                <w:color w:val="auto"/>
                <w:lang w:val="en-US" w:eastAsia="zh-CN"/>
              </w:rPr>
              <w:t>结构类型</w:t>
            </w:r>
          </w:p>
        </w:tc>
        <w:tc>
          <w:tcPr>
            <w:tcW w:w="3252" w:type="pct"/>
            <w:gridSpan w:val="10"/>
            <w:vAlign w:val="center"/>
          </w:tcPr>
          <w:p w14:paraId="488C34A9">
            <w:pPr>
              <w:pStyle w:val="47"/>
              <w:rPr>
                <w:rFonts w:hint="default" w:eastAsia="宋体"/>
                <w:color w:val="auto"/>
                <w:lang w:val="en-US" w:eastAsia="zh-CN"/>
              </w:rPr>
            </w:pPr>
            <w:r>
              <w:rPr>
                <w:rFonts w:hint="eastAsia"/>
                <w:color w:val="auto"/>
                <w:lang w:val="en-US" w:eastAsia="zh-CN"/>
              </w:rPr>
              <w:t>抗震设防烈度</w:t>
            </w:r>
          </w:p>
        </w:tc>
      </w:tr>
      <w:tr w14:paraId="398F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47" w:type="pct"/>
            <w:gridSpan w:val="2"/>
            <w:vMerge w:val="continue"/>
            <w:vAlign w:val="center"/>
          </w:tcPr>
          <w:p w14:paraId="0756DF6B">
            <w:pPr>
              <w:pStyle w:val="47"/>
              <w:rPr>
                <w:color w:val="auto"/>
              </w:rPr>
            </w:pPr>
          </w:p>
        </w:tc>
        <w:tc>
          <w:tcPr>
            <w:tcW w:w="648" w:type="pct"/>
            <w:gridSpan w:val="2"/>
            <w:vAlign w:val="center"/>
          </w:tcPr>
          <w:p w14:paraId="6B97AD34">
            <w:pPr>
              <w:pStyle w:val="47"/>
              <w:rPr>
                <w:rFonts w:hint="default" w:eastAsia="宋体"/>
                <w:color w:val="auto"/>
                <w:lang w:val="en-US" w:eastAsia="zh-CN"/>
              </w:rPr>
            </w:pPr>
            <w:r>
              <w:rPr>
                <w:rFonts w:hint="eastAsia"/>
                <w:color w:val="auto"/>
                <w:lang w:val="en-US" w:eastAsia="zh-CN"/>
              </w:rPr>
              <w:t>6度</w:t>
            </w:r>
          </w:p>
        </w:tc>
        <w:tc>
          <w:tcPr>
            <w:tcW w:w="1296" w:type="pct"/>
            <w:gridSpan w:val="4"/>
            <w:vAlign w:val="center"/>
          </w:tcPr>
          <w:p w14:paraId="1707187B">
            <w:pPr>
              <w:pStyle w:val="47"/>
              <w:rPr>
                <w:rFonts w:hint="default" w:eastAsia="宋体"/>
                <w:color w:val="auto"/>
                <w:lang w:val="en-US" w:eastAsia="zh-CN"/>
              </w:rPr>
            </w:pPr>
            <w:r>
              <w:rPr>
                <w:rFonts w:hint="eastAsia"/>
                <w:color w:val="auto"/>
                <w:lang w:val="en-US" w:eastAsia="zh-CN"/>
              </w:rPr>
              <w:t>7度</w:t>
            </w:r>
          </w:p>
        </w:tc>
        <w:tc>
          <w:tcPr>
            <w:tcW w:w="1307" w:type="pct"/>
            <w:gridSpan w:val="4"/>
            <w:vAlign w:val="center"/>
          </w:tcPr>
          <w:p w14:paraId="66D06BDA">
            <w:pPr>
              <w:pStyle w:val="47"/>
              <w:rPr>
                <w:rFonts w:hint="default" w:eastAsia="宋体"/>
                <w:color w:val="auto"/>
                <w:lang w:val="en-US" w:eastAsia="zh-CN"/>
              </w:rPr>
            </w:pPr>
            <w:r>
              <w:rPr>
                <w:rFonts w:hint="eastAsia"/>
                <w:color w:val="auto"/>
                <w:lang w:val="en-US" w:eastAsia="zh-CN"/>
              </w:rPr>
              <w:t>8度</w:t>
            </w:r>
          </w:p>
        </w:tc>
      </w:tr>
      <w:tr w14:paraId="5E7B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747" w:type="pct"/>
            <w:gridSpan w:val="2"/>
            <w:vMerge w:val="continue"/>
            <w:vAlign w:val="center"/>
          </w:tcPr>
          <w:p w14:paraId="16E5199A">
            <w:pPr>
              <w:pStyle w:val="47"/>
              <w:rPr>
                <w:color w:val="auto"/>
              </w:rPr>
            </w:pPr>
          </w:p>
        </w:tc>
        <w:tc>
          <w:tcPr>
            <w:tcW w:w="648" w:type="pct"/>
            <w:gridSpan w:val="2"/>
            <w:vAlign w:val="center"/>
          </w:tcPr>
          <w:p w14:paraId="06A10CDA">
            <w:pPr>
              <w:pStyle w:val="47"/>
              <w:rPr>
                <w:rFonts w:hint="default" w:eastAsia="宋体"/>
                <w:color w:val="auto"/>
                <w:lang w:val="en-US" w:eastAsia="zh-CN"/>
              </w:rPr>
            </w:pPr>
            <w:r>
              <w:rPr>
                <w:rFonts w:hint="eastAsia"/>
                <w:color w:val="auto"/>
                <w:lang w:val="en-US" w:eastAsia="zh-CN"/>
              </w:rPr>
              <w:t>0.05</w:t>
            </w:r>
            <w:r>
              <w:rPr>
                <w:rFonts w:hint="eastAsia"/>
                <w:i/>
                <w:iCs/>
                <w:color w:val="auto"/>
                <w:lang w:val="en-US" w:eastAsia="zh-CN"/>
              </w:rPr>
              <w:t>g</w:t>
            </w:r>
          </w:p>
        </w:tc>
        <w:tc>
          <w:tcPr>
            <w:tcW w:w="648" w:type="pct"/>
            <w:gridSpan w:val="2"/>
            <w:vAlign w:val="center"/>
          </w:tcPr>
          <w:p w14:paraId="2D9800CE">
            <w:pPr>
              <w:pStyle w:val="47"/>
              <w:rPr>
                <w:rFonts w:hint="eastAsia"/>
                <w:color w:val="auto"/>
              </w:rPr>
            </w:pPr>
            <w:r>
              <w:rPr>
                <w:rFonts w:hint="eastAsia"/>
                <w:color w:val="auto"/>
                <w:lang w:val="en-US" w:eastAsia="zh-CN"/>
              </w:rPr>
              <w:t>0.10</w:t>
            </w:r>
            <w:r>
              <w:rPr>
                <w:rFonts w:hint="eastAsia"/>
                <w:i/>
                <w:iCs/>
                <w:color w:val="auto"/>
                <w:lang w:val="en-US" w:eastAsia="zh-CN"/>
              </w:rPr>
              <w:t>g</w:t>
            </w:r>
          </w:p>
        </w:tc>
        <w:tc>
          <w:tcPr>
            <w:tcW w:w="648" w:type="pct"/>
            <w:gridSpan w:val="2"/>
            <w:vAlign w:val="center"/>
          </w:tcPr>
          <w:p w14:paraId="5B13F129">
            <w:pPr>
              <w:pStyle w:val="47"/>
              <w:rPr>
                <w:rFonts w:hint="eastAsia"/>
                <w:color w:val="auto"/>
              </w:rPr>
            </w:pPr>
            <w:r>
              <w:rPr>
                <w:rFonts w:hint="eastAsia"/>
                <w:color w:val="auto"/>
                <w:lang w:val="en-US" w:eastAsia="zh-CN"/>
              </w:rPr>
              <w:t>0.15</w:t>
            </w:r>
            <w:r>
              <w:rPr>
                <w:rFonts w:hint="eastAsia"/>
                <w:i/>
                <w:iCs/>
                <w:color w:val="auto"/>
                <w:lang w:val="en-US" w:eastAsia="zh-CN"/>
              </w:rPr>
              <w:t>g</w:t>
            </w:r>
          </w:p>
        </w:tc>
        <w:tc>
          <w:tcPr>
            <w:tcW w:w="648" w:type="pct"/>
            <w:gridSpan w:val="2"/>
            <w:vAlign w:val="center"/>
          </w:tcPr>
          <w:p w14:paraId="30653FDA">
            <w:pPr>
              <w:pStyle w:val="47"/>
              <w:rPr>
                <w:rFonts w:hint="eastAsia"/>
                <w:color w:val="auto"/>
              </w:rPr>
            </w:pPr>
            <w:r>
              <w:rPr>
                <w:rFonts w:hint="eastAsia"/>
                <w:color w:val="auto"/>
                <w:lang w:val="en-US" w:eastAsia="zh-CN"/>
              </w:rPr>
              <w:t>0.20</w:t>
            </w:r>
            <w:r>
              <w:rPr>
                <w:rFonts w:hint="eastAsia"/>
                <w:i/>
                <w:iCs/>
                <w:color w:val="auto"/>
                <w:lang w:val="en-US" w:eastAsia="zh-CN"/>
              </w:rPr>
              <w:t>g</w:t>
            </w:r>
          </w:p>
        </w:tc>
        <w:tc>
          <w:tcPr>
            <w:tcW w:w="659" w:type="pct"/>
            <w:gridSpan w:val="2"/>
            <w:vAlign w:val="center"/>
          </w:tcPr>
          <w:p w14:paraId="0B6B8012">
            <w:pPr>
              <w:pStyle w:val="47"/>
              <w:rPr>
                <w:rFonts w:hint="eastAsia"/>
                <w:color w:val="auto"/>
              </w:rPr>
            </w:pPr>
            <w:r>
              <w:rPr>
                <w:rFonts w:hint="eastAsia"/>
                <w:color w:val="auto"/>
                <w:lang w:val="en-US" w:eastAsia="zh-CN"/>
              </w:rPr>
              <w:t>0.30</w:t>
            </w:r>
            <w:r>
              <w:rPr>
                <w:rFonts w:hint="eastAsia"/>
                <w:i/>
                <w:iCs/>
                <w:color w:val="auto"/>
                <w:lang w:val="en-US" w:eastAsia="zh-CN"/>
              </w:rPr>
              <w:t>g</w:t>
            </w:r>
          </w:p>
        </w:tc>
      </w:tr>
      <w:tr w14:paraId="6D55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946" w:type="pct"/>
            <w:vMerge w:val="restart"/>
            <w:vAlign w:val="center"/>
          </w:tcPr>
          <w:p w14:paraId="73EB5F33">
            <w:pPr>
              <w:pStyle w:val="47"/>
              <w:rPr>
                <w:rFonts w:hint="default" w:eastAsia="宋体"/>
                <w:color w:val="auto"/>
                <w:lang w:val="en-US" w:eastAsia="zh-CN"/>
              </w:rPr>
            </w:pPr>
            <w:r>
              <w:rPr>
                <w:rFonts w:hint="eastAsia"/>
                <w:color w:val="auto"/>
                <w:lang w:val="en-US" w:eastAsia="zh-CN"/>
              </w:rPr>
              <w:t>矩形柱钢组件框架结构</w:t>
            </w:r>
          </w:p>
        </w:tc>
        <w:tc>
          <w:tcPr>
            <w:tcW w:w="801" w:type="pct"/>
            <w:vAlign w:val="center"/>
          </w:tcPr>
          <w:p w14:paraId="54A1354B">
            <w:pPr>
              <w:pStyle w:val="47"/>
              <w:rPr>
                <w:color w:val="auto"/>
              </w:rPr>
            </w:pPr>
            <w:r>
              <w:rPr>
                <w:color w:val="auto"/>
              </w:rPr>
              <w:t>高度</w:t>
            </w:r>
            <w:r>
              <w:rPr>
                <w:rFonts w:hint="eastAsia"/>
                <w:color w:val="auto"/>
              </w:rPr>
              <w:t>（m）</w:t>
            </w:r>
          </w:p>
        </w:tc>
        <w:tc>
          <w:tcPr>
            <w:tcW w:w="281" w:type="pct"/>
            <w:vAlign w:val="center"/>
          </w:tcPr>
          <w:p w14:paraId="4F0676BE">
            <w:pPr>
              <w:pStyle w:val="47"/>
              <w:rPr>
                <w:color w:val="auto"/>
              </w:rPr>
            </w:pPr>
            <w:r>
              <w:rPr>
                <w:rFonts w:hint="eastAsia" w:ascii="宋体" w:hAnsi="宋体" w:cs="宋体"/>
                <w:color w:val="auto"/>
              </w:rPr>
              <w:t>≤</w:t>
            </w:r>
            <w:r>
              <w:rPr>
                <w:color w:val="auto"/>
              </w:rPr>
              <w:t>24</w:t>
            </w:r>
          </w:p>
        </w:tc>
        <w:tc>
          <w:tcPr>
            <w:tcW w:w="366" w:type="pct"/>
            <w:vAlign w:val="center"/>
          </w:tcPr>
          <w:p w14:paraId="336A54D3">
            <w:pPr>
              <w:pStyle w:val="47"/>
              <w:rPr>
                <w:color w:val="auto"/>
              </w:rPr>
            </w:pPr>
            <w:r>
              <w:rPr>
                <w:rFonts w:hint="eastAsia"/>
                <w:color w:val="auto"/>
              </w:rPr>
              <w:t>&gt;24</w:t>
            </w:r>
          </w:p>
        </w:tc>
        <w:tc>
          <w:tcPr>
            <w:tcW w:w="328" w:type="pct"/>
            <w:vAlign w:val="center"/>
          </w:tcPr>
          <w:p w14:paraId="268D613A">
            <w:pPr>
              <w:pStyle w:val="47"/>
              <w:rPr>
                <w:color w:val="auto"/>
              </w:rPr>
            </w:pPr>
            <w:r>
              <w:rPr>
                <w:rFonts w:hint="eastAsia" w:ascii="宋体" w:hAnsi="宋体" w:cs="宋体"/>
                <w:color w:val="auto"/>
              </w:rPr>
              <w:t>≤</w:t>
            </w:r>
            <w:r>
              <w:rPr>
                <w:color w:val="auto"/>
              </w:rPr>
              <w:t>24</w:t>
            </w:r>
          </w:p>
        </w:tc>
        <w:tc>
          <w:tcPr>
            <w:tcW w:w="319" w:type="pct"/>
            <w:vAlign w:val="center"/>
          </w:tcPr>
          <w:p w14:paraId="31BF629E">
            <w:pPr>
              <w:pStyle w:val="47"/>
              <w:rPr>
                <w:color w:val="auto"/>
              </w:rPr>
            </w:pPr>
            <w:r>
              <w:rPr>
                <w:rFonts w:hint="eastAsia"/>
                <w:color w:val="auto"/>
              </w:rPr>
              <w:t>&gt;24</w:t>
            </w:r>
          </w:p>
        </w:tc>
        <w:tc>
          <w:tcPr>
            <w:tcW w:w="328" w:type="pct"/>
            <w:vAlign w:val="center"/>
          </w:tcPr>
          <w:p w14:paraId="12089BAE">
            <w:pPr>
              <w:pStyle w:val="47"/>
              <w:rPr>
                <w:color w:val="auto"/>
              </w:rPr>
            </w:pPr>
            <w:r>
              <w:rPr>
                <w:rFonts w:hint="eastAsia" w:ascii="宋体" w:hAnsi="宋体" w:cs="宋体"/>
                <w:color w:val="auto"/>
              </w:rPr>
              <w:t>≤</w:t>
            </w:r>
            <w:r>
              <w:rPr>
                <w:color w:val="auto"/>
              </w:rPr>
              <w:t>24</w:t>
            </w:r>
          </w:p>
        </w:tc>
        <w:tc>
          <w:tcPr>
            <w:tcW w:w="319" w:type="pct"/>
            <w:vAlign w:val="center"/>
          </w:tcPr>
          <w:p w14:paraId="3F05CAE1">
            <w:pPr>
              <w:pStyle w:val="47"/>
              <w:rPr>
                <w:color w:val="auto"/>
              </w:rPr>
            </w:pPr>
            <w:r>
              <w:rPr>
                <w:rFonts w:hint="eastAsia"/>
                <w:color w:val="auto"/>
              </w:rPr>
              <w:t>&gt;24</w:t>
            </w:r>
          </w:p>
        </w:tc>
        <w:tc>
          <w:tcPr>
            <w:tcW w:w="328" w:type="pct"/>
            <w:vAlign w:val="center"/>
          </w:tcPr>
          <w:p w14:paraId="0C5C1215">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ascii="宋体" w:hAnsi="宋体" w:cs="宋体"/>
                <w:color w:val="auto"/>
              </w:rPr>
              <w:t>≤</w:t>
            </w:r>
            <w:r>
              <w:rPr>
                <w:color w:val="auto"/>
              </w:rPr>
              <w:t>24</w:t>
            </w:r>
          </w:p>
        </w:tc>
        <w:tc>
          <w:tcPr>
            <w:tcW w:w="319" w:type="pct"/>
            <w:vAlign w:val="center"/>
          </w:tcPr>
          <w:p w14:paraId="001BBDD8">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rPr>
              <w:t>&gt;24</w:t>
            </w:r>
          </w:p>
        </w:tc>
        <w:tc>
          <w:tcPr>
            <w:tcW w:w="328" w:type="pct"/>
            <w:vAlign w:val="center"/>
          </w:tcPr>
          <w:p w14:paraId="1459D29D">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ascii="宋体" w:hAnsi="宋体" w:cs="宋体"/>
                <w:color w:val="auto"/>
              </w:rPr>
              <w:t>≤</w:t>
            </w:r>
            <w:r>
              <w:rPr>
                <w:color w:val="auto"/>
              </w:rPr>
              <w:t>24</w:t>
            </w:r>
          </w:p>
        </w:tc>
        <w:tc>
          <w:tcPr>
            <w:tcW w:w="331" w:type="pct"/>
            <w:vAlign w:val="center"/>
          </w:tcPr>
          <w:p w14:paraId="2577687D">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rPr>
              <w:t>&gt;24</w:t>
            </w:r>
          </w:p>
        </w:tc>
      </w:tr>
      <w:tr w14:paraId="67C4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946" w:type="pct"/>
            <w:vMerge w:val="continue"/>
            <w:vAlign w:val="center"/>
          </w:tcPr>
          <w:p w14:paraId="0A437897">
            <w:pPr>
              <w:pStyle w:val="47"/>
              <w:rPr>
                <w:color w:val="auto"/>
              </w:rPr>
            </w:pPr>
          </w:p>
        </w:tc>
        <w:tc>
          <w:tcPr>
            <w:tcW w:w="801" w:type="pct"/>
            <w:vAlign w:val="center"/>
          </w:tcPr>
          <w:p w14:paraId="6FE0DF00">
            <w:pPr>
              <w:pStyle w:val="47"/>
              <w:rPr>
                <w:color w:val="auto"/>
              </w:rPr>
            </w:pPr>
            <w:r>
              <w:rPr>
                <w:rFonts w:hint="eastAsia"/>
                <w:color w:val="auto"/>
              </w:rPr>
              <w:t>跨度小于18m</w:t>
            </w:r>
          </w:p>
        </w:tc>
        <w:tc>
          <w:tcPr>
            <w:tcW w:w="281" w:type="pct"/>
            <w:vAlign w:val="center"/>
          </w:tcPr>
          <w:p w14:paraId="3264D40E">
            <w:pPr>
              <w:pStyle w:val="47"/>
              <w:rPr>
                <w:rFonts w:hint="eastAsia" w:eastAsia="宋体"/>
                <w:color w:val="auto"/>
                <w:lang w:val="en-US" w:eastAsia="zh-CN"/>
              </w:rPr>
            </w:pPr>
            <w:r>
              <w:rPr>
                <w:rFonts w:hint="eastAsia"/>
                <w:color w:val="auto"/>
                <w:lang w:val="en-US" w:eastAsia="zh-CN"/>
              </w:rPr>
              <w:t>四</w:t>
            </w:r>
          </w:p>
        </w:tc>
        <w:tc>
          <w:tcPr>
            <w:tcW w:w="366" w:type="pct"/>
            <w:vAlign w:val="center"/>
          </w:tcPr>
          <w:p w14:paraId="09122453">
            <w:pPr>
              <w:pStyle w:val="47"/>
              <w:rPr>
                <w:rFonts w:hint="eastAsia" w:eastAsia="宋体"/>
                <w:color w:val="auto"/>
                <w:lang w:val="en-US" w:eastAsia="zh-CN"/>
              </w:rPr>
            </w:pPr>
            <w:r>
              <w:rPr>
                <w:rFonts w:hint="eastAsia"/>
                <w:color w:val="auto"/>
                <w:lang w:val="en-US" w:eastAsia="zh-CN"/>
              </w:rPr>
              <w:t>三</w:t>
            </w:r>
          </w:p>
        </w:tc>
        <w:tc>
          <w:tcPr>
            <w:tcW w:w="328" w:type="pct"/>
            <w:vAlign w:val="center"/>
          </w:tcPr>
          <w:p w14:paraId="518E8347">
            <w:pPr>
              <w:pStyle w:val="47"/>
              <w:rPr>
                <w:rFonts w:hint="eastAsia" w:eastAsia="宋体"/>
                <w:color w:val="auto"/>
                <w:lang w:val="en-US" w:eastAsia="zh-CN"/>
              </w:rPr>
            </w:pPr>
            <w:r>
              <w:rPr>
                <w:rFonts w:hint="eastAsia"/>
                <w:color w:val="auto"/>
                <w:lang w:val="en-US" w:eastAsia="zh-CN"/>
              </w:rPr>
              <w:t>三</w:t>
            </w:r>
          </w:p>
        </w:tc>
        <w:tc>
          <w:tcPr>
            <w:tcW w:w="319" w:type="pct"/>
            <w:vAlign w:val="center"/>
          </w:tcPr>
          <w:p w14:paraId="30720E42">
            <w:pPr>
              <w:pStyle w:val="47"/>
              <w:rPr>
                <w:rFonts w:hint="eastAsia" w:eastAsia="宋体"/>
                <w:color w:val="auto"/>
                <w:lang w:val="en-US" w:eastAsia="zh-CN"/>
              </w:rPr>
            </w:pPr>
            <w:r>
              <w:rPr>
                <w:rFonts w:hint="eastAsia"/>
                <w:color w:val="auto"/>
                <w:lang w:val="en-US" w:eastAsia="zh-CN"/>
              </w:rPr>
              <w:t>二</w:t>
            </w:r>
          </w:p>
        </w:tc>
        <w:tc>
          <w:tcPr>
            <w:tcW w:w="328" w:type="pct"/>
            <w:vAlign w:val="center"/>
          </w:tcPr>
          <w:p w14:paraId="5105C5E2">
            <w:pPr>
              <w:pStyle w:val="47"/>
              <w:rPr>
                <w:rFonts w:hint="eastAsia" w:eastAsia="宋体"/>
                <w:color w:val="auto"/>
                <w:lang w:val="en-US" w:eastAsia="zh-CN"/>
              </w:rPr>
            </w:pPr>
            <w:r>
              <w:rPr>
                <w:rFonts w:hint="eastAsia"/>
                <w:color w:val="auto"/>
                <w:lang w:val="en-US" w:eastAsia="zh-CN"/>
              </w:rPr>
              <w:t>三</w:t>
            </w:r>
          </w:p>
        </w:tc>
        <w:tc>
          <w:tcPr>
            <w:tcW w:w="319" w:type="pct"/>
            <w:vAlign w:val="center"/>
          </w:tcPr>
          <w:p w14:paraId="2A9A4EC0">
            <w:pPr>
              <w:pStyle w:val="47"/>
              <w:rPr>
                <w:rFonts w:hint="eastAsia" w:eastAsia="宋体"/>
                <w:color w:val="auto"/>
                <w:lang w:val="en-US" w:eastAsia="zh-CN"/>
              </w:rPr>
            </w:pPr>
            <w:r>
              <w:rPr>
                <w:rFonts w:hint="eastAsia"/>
                <w:color w:val="auto"/>
                <w:lang w:val="en-US" w:eastAsia="zh-CN"/>
              </w:rPr>
              <w:t>二</w:t>
            </w:r>
          </w:p>
        </w:tc>
        <w:tc>
          <w:tcPr>
            <w:tcW w:w="328" w:type="pct"/>
            <w:vAlign w:val="center"/>
          </w:tcPr>
          <w:p w14:paraId="5E3F6397">
            <w:pPr>
              <w:pStyle w:val="47"/>
              <w:rPr>
                <w:rFonts w:hint="eastAsia" w:eastAsia="宋体"/>
                <w:color w:val="auto"/>
                <w:lang w:val="en-US" w:eastAsia="zh-CN"/>
              </w:rPr>
            </w:pPr>
            <w:r>
              <w:rPr>
                <w:rFonts w:hint="eastAsia"/>
                <w:color w:val="auto"/>
                <w:lang w:val="en-US" w:eastAsia="zh-CN"/>
              </w:rPr>
              <w:t>二</w:t>
            </w:r>
          </w:p>
        </w:tc>
        <w:tc>
          <w:tcPr>
            <w:tcW w:w="319" w:type="pct"/>
            <w:vAlign w:val="center"/>
          </w:tcPr>
          <w:p w14:paraId="61158AFC">
            <w:pPr>
              <w:pStyle w:val="47"/>
              <w:rPr>
                <w:rFonts w:hint="eastAsia" w:eastAsia="宋体"/>
                <w:color w:val="auto"/>
                <w:lang w:val="en-US" w:eastAsia="zh-CN"/>
              </w:rPr>
            </w:pPr>
            <w:r>
              <w:rPr>
                <w:rFonts w:hint="eastAsia"/>
                <w:color w:val="auto"/>
                <w:lang w:val="en-US" w:eastAsia="zh-CN"/>
              </w:rPr>
              <w:t>一</w:t>
            </w:r>
          </w:p>
        </w:tc>
        <w:tc>
          <w:tcPr>
            <w:tcW w:w="328" w:type="pct"/>
            <w:vAlign w:val="center"/>
          </w:tcPr>
          <w:p w14:paraId="1C3E943D">
            <w:pPr>
              <w:pStyle w:val="47"/>
              <w:rPr>
                <w:rFonts w:hint="eastAsia" w:eastAsia="宋体"/>
                <w:color w:val="auto"/>
                <w:lang w:val="en-US" w:eastAsia="zh-CN"/>
              </w:rPr>
            </w:pPr>
            <w:r>
              <w:rPr>
                <w:rFonts w:hint="eastAsia"/>
                <w:color w:val="auto"/>
                <w:lang w:val="en-US" w:eastAsia="zh-CN"/>
              </w:rPr>
              <w:t>二</w:t>
            </w:r>
          </w:p>
        </w:tc>
        <w:tc>
          <w:tcPr>
            <w:tcW w:w="331" w:type="pct"/>
            <w:vAlign w:val="center"/>
          </w:tcPr>
          <w:p w14:paraId="5C564070">
            <w:pPr>
              <w:pStyle w:val="47"/>
              <w:rPr>
                <w:rFonts w:hint="eastAsia" w:eastAsia="宋体"/>
                <w:color w:val="auto"/>
                <w:lang w:val="en-US" w:eastAsia="zh-CN"/>
              </w:rPr>
            </w:pPr>
            <w:r>
              <w:rPr>
                <w:rFonts w:hint="eastAsia"/>
                <w:color w:val="auto"/>
                <w:lang w:val="en-US" w:eastAsia="zh-CN"/>
              </w:rPr>
              <w:t>一</w:t>
            </w:r>
          </w:p>
        </w:tc>
      </w:tr>
      <w:tr w14:paraId="7D05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946" w:type="pct"/>
            <w:vMerge w:val="continue"/>
            <w:vAlign w:val="center"/>
          </w:tcPr>
          <w:p w14:paraId="43C6F639">
            <w:pPr>
              <w:pStyle w:val="47"/>
              <w:rPr>
                <w:color w:val="auto"/>
              </w:rPr>
            </w:pPr>
          </w:p>
        </w:tc>
        <w:tc>
          <w:tcPr>
            <w:tcW w:w="801" w:type="pct"/>
            <w:vAlign w:val="center"/>
          </w:tcPr>
          <w:p w14:paraId="466C18C8">
            <w:pPr>
              <w:pStyle w:val="47"/>
              <w:rPr>
                <w:color w:val="auto"/>
              </w:rPr>
            </w:pPr>
            <w:r>
              <w:rPr>
                <w:rFonts w:hint="eastAsia"/>
                <w:color w:val="auto"/>
              </w:rPr>
              <w:t>跨度不小于18m</w:t>
            </w:r>
          </w:p>
        </w:tc>
        <w:tc>
          <w:tcPr>
            <w:tcW w:w="648" w:type="pct"/>
            <w:gridSpan w:val="2"/>
            <w:vAlign w:val="center"/>
          </w:tcPr>
          <w:p w14:paraId="10FE8508">
            <w:pPr>
              <w:pStyle w:val="47"/>
              <w:rPr>
                <w:color w:val="auto"/>
              </w:rPr>
            </w:pPr>
            <w:r>
              <w:rPr>
                <w:rFonts w:hint="eastAsia"/>
                <w:color w:val="auto"/>
              </w:rPr>
              <w:t>三</w:t>
            </w:r>
          </w:p>
        </w:tc>
        <w:tc>
          <w:tcPr>
            <w:tcW w:w="648" w:type="pct"/>
            <w:gridSpan w:val="2"/>
            <w:vAlign w:val="center"/>
          </w:tcPr>
          <w:p w14:paraId="037F833F">
            <w:pPr>
              <w:pStyle w:val="47"/>
              <w:rPr>
                <w:color w:val="auto"/>
              </w:rPr>
            </w:pPr>
            <w:r>
              <w:rPr>
                <w:rFonts w:hint="eastAsia"/>
                <w:color w:val="auto"/>
              </w:rPr>
              <w:t>二</w:t>
            </w:r>
          </w:p>
        </w:tc>
        <w:tc>
          <w:tcPr>
            <w:tcW w:w="648" w:type="pct"/>
            <w:gridSpan w:val="2"/>
            <w:vAlign w:val="center"/>
          </w:tcPr>
          <w:p w14:paraId="46076E6B">
            <w:pPr>
              <w:pStyle w:val="47"/>
              <w:rPr>
                <w:rFonts w:hint="eastAsia" w:eastAsia="宋体"/>
                <w:color w:val="auto"/>
                <w:lang w:eastAsia="zh-CN"/>
              </w:rPr>
            </w:pPr>
            <w:r>
              <w:rPr>
                <w:rFonts w:hint="eastAsia"/>
                <w:color w:val="auto"/>
                <w:lang w:val="en-US" w:eastAsia="zh-CN"/>
              </w:rPr>
              <w:t>二</w:t>
            </w:r>
          </w:p>
        </w:tc>
        <w:tc>
          <w:tcPr>
            <w:tcW w:w="648" w:type="pct"/>
            <w:gridSpan w:val="2"/>
            <w:vAlign w:val="center"/>
          </w:tcPr>
          <w:p w14:paraId="180AF1D0">
            <w:pPr>
              <w:pStyle w:val="47"/>
              <w:rPr>
                <w:rFonts w:hint="eastAsia" w:eastAsia="宋体"/>
                <w:color w:val="auto"/>
                <w:lang w:val="en-US" w:eastAsia="zh-CN"/>
              </w:rPr>
            </w:pPr>
            <w:r>
              <w:rPr>
                <w:rFonts w:hint="eastAsia"/>
                <w:color w:val="auto"/>
                <w:lang w:val="en-US" w:eastAsia="zh-CN"/>
              </w:rPr>
              <w:t>一</w:t>
            </w:r>
          </w:p>
        </w:tc>
        <w:tc>
          <w:tcPr>
            <w:tcW w:w="659" w:type="pct"/>
            <w:gridSpan w:val="2"/>
            <w:vAlign w:val="center"/>
          </w:tcPr>
          <w:p w14:paraId="56FEE293">
            <w:pPr>
              <w:pStyle w:val="47"/>
              <w:rPr>
                <w:rFonts w:hint="eastAsia" w:eastAsia="宋体"/>
                <w:color w:val="auto"/>
                <w:lang w:val="en-US" w:eastAsia="zh-CN"/>
              </w:rPr>
            </w:pPr>
            <w:r>
              <w:rPr>
                <w:rFonts w:hint="eastAsia"/>
                <w:color w:val="auto"/>
                <w:lang w:val="en-US" w:eastAsia="zh-CN"/>
              </w:rPr>
              <w:t>一</w:t>
            </w:r>
          </w:p>
        </w:tc>
      </w:tr>
      <w:tr w14:paraId="2C6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946" w:type="pct"/>
            <w:vMerge w:val="restart"/>
            <w:vAlign w:val="center"/>
          </w:tcPr>
          <w:p w14:paraId="2A48DD7E">
            <w:pPr>
              <w:pStyle w:val="47"/>
              <w:rPr>
                <w:rFonts w:hint="default" w:eastAsia="宋体"/>
                <w:color w:val="auto"/>
                <w:lang w:val="en-US" w:eastAsia="zh-CN"/>
              </w:rPr>
            </w:pPr>
            <w:r>
              <w:rPr>
                <w:rFonts w:hint="eastAsia"/>
                <w:color w:val="auto"/>
                <w:lang w:val="en-US" w:eastAsia="zh-CN"/>
              </w:rPr>
              <w:t>异形柱钢组件框架结构</w:t>
            </w:r>
          </w:p>
        </w:tc>
        <w:tc>
          <w:tcPr>
            <w:tcW w:w="801" w:type="pct"/>
            <w:vAlign w:val="center"/>
          </w:tcPr>
          <w:p w14:paraId="72FC4570">
            <w:pPr>
              <w:pStyle w:val="47"/>
              <w:rPr>
                <w:rFonts w:hint="eastAsia" w:eastAsia="宋体"/>
                <w:color w:val="auto"/>
                <w:lang w:val="en-US" w:eastAsia="zh-CN"/>
              </w:rPr>
            </w:pPr>
            <w:r>
              <w:rPr>
                <w:rFonts w:hint="eastAsia"/>
                <w:color w:val="auto"/>
                <w:lang w:val="en-US" w:eastAsia="zh-CN"/>
              </w:rPr>
              <w:t>高度（m）</w:t>
            </w:r>
          </w:p>
        </w:tc>
        <w:tc>
          <w:tcPr>
            <w:tcW w:w="281" w:type="pct"/>
            <w:vAlign w:val="center"/>
          </w:tcPr>
          <w:p w14:paraId="0565EAB5">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ascii="宋体" w:hAnsi="宋体" w:cs="宋体"/>
                <w:color w:val="auto"/>
              </w:rPr>
              <w:t>≤</w:t>
            </w:r>
            <w:r>
              <w:rPr>
                <w:color w:val="auto"/>
              </w:rPr>
              <w:t>2</w:t>
            </w:r>
            <w:r>
              <w:rPr>
                <w:rFonts w:hint="eastAsia"/>
                <w:color w:val="auto"/>
                <w:lang w:val="en-US" w:eastAsia="zh-CN"/>
              </w:rPr>
              <w:t>1</w:t>
            </w:r>
          </w:p>
        </w:tc>
        <w:tc>
          <w:tcPr>
            <w:tcW w:w="366" w:type="pct"/>
            <w:vAlign w:val="center"/>
          </w:tcPr>
          <w:p w14:paraId="411F205F">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rPr>
              <w:t>&gt;2</w:t>
            </w:r>
            <w:r>
              <w:rPr>
                <w:rFonts w:hint="eastAsia"/>
                <w:color w:val="auto"/>
                <w:lang w:val="en-US" w:eastAsia="zh-CN"/>
              </w:rPr>
              <w:t>1</w:t>
            </w:r>
          </w:p>
        </w:tc>
        <w:tc>
          <w:tcPr>
            <w:tcW w:w="328" w:type="pct"/>
            <w:vAlign w:val="center"/>
          </w:tcPr>
          <w:p w14:paraId="63A2E08B">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ascii="宋体" w:hAnsi="宋体" w:cs="宋体"/>
                <w:color w:val="auto"/>
              </w:rPr>
              <w:t>≤</w:t>
            </w:r>
            <w:r>
              <w:rPr>
                <w:color w:val="auto"/>
              </w:rPr>
              <w:t>2</w:t>
            </w:r>
            <w:r>
              <w:rPr>
                <w:rFonts w:hint="eastAsia"/>
                <w:color w:val="auto"/>
                <w:lang w:val="en-US" w:eastAsia="zh-CN"/>
              </w:rPr>
              <w:t>1</w:t>
            </w:r>
          </w:p>
        </w:tc>
        <w:tc>
          <w:tcPr>
            <w:tcW w:w="319" w:type="pct"/>
            <w:vAlign w:val="center"/>
          </w:tcPr>
          <w:p w14:paraId="1DB19556">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rPr>
              <w:t>&gt;2</w:t>
            </w:r>
            <w:r>
              <w:rPr>
                <w:rFonts w:hint="eastAsia"/>
                <w:color w:val="auto"/>
                <w:lang w:val="en-US" w:eastAsia="zh-CN"/>
              </w:rPr>
              <w:t>1</w:t>
            </w:r>
          </w:p>
        </w:tc>
        <w:tc>
          <w:tcPr>
            <w:tcW w:w="328" w:type="pct"/>
            <w:vAlign w:val="center"/>
          </w:tcPr>
          <w:p w14:paraId="4FACA398">
            <w:pPr>
              <w:pStyle w:val="47"/>
              <w:ind w:firstLine="0" w:firstLineChars="0"/>
              <w:rPr>
                <w:rFonts w:hint="default" w:ascii="Times New Roman" w:hAnsi="Times New Roman" w:eastAsia="宋体" w:cs="Times New Roman"/>
                <w:color w:val="auto"/>
                <w:kern w:val="2"/>
                <w:sz w:val="21"/>
                <w:lang w:val="en-US" w:eastAsia="zh-CN" w:bidi="ar-SA"/>
              </w:rPr>
            </w:pPr>
            <w:r>
              <w:rPr>
                <w:rFonts w:hint="eastAsia" w:ascii="宋体" w:hAnsi="宋体" w:cs="宋体"/>
                <w:color w:val="auto"/>
              </w:rPr>
              <w:t>≤</w:t>
            </w:r>
            <w:r>
              <w:rPr>
                <w:rFonts w:hint="eastAsia"/>
                <w:color w:val="auto"/>
                <w:lang w:val="en-US" w:eastAsia="zh-CN"/>
              </w:rPr>
              <w:t>18</w:t>
            </w:r>
          </w:p>
        </w:tc>
        <w:tc>
          <w:tcPr>
            <w:tcW w:w="319" w:type="pct"/>
            <w:vAlign w:val="center"/>
          </w:tcPr>
          <w:p w14:paraId="55714F5A">
            <w:pPr>
              <w:pStyle w:val="47"/>
              <w:bidi w:val="0"/>
              <w:rPr>
                <w:rFonts w:hint="default"/>
                <w:lang w:val="en-US" w:eastAsia="zh-CN"/>
              </w:rPr>
            </w:pPr>
            <w:r>
              <w:rPr>
                <w:rFonts w:hint="eastAsia"/>
              </w:rPr>
              <w:t>&gt;</w:t>
            </w:r>
            <w:r>
              <w:rPr>
                <w:rFonts w:hint="eastAsia"/>
                <w:lang w:val="en-US" w:eastAsia="zh-CN"/>
              </w:rPr>
              <w:t>18</w:t>
            </w:r>
          </w:p>
        </w:tc>
        <w:tc>
          <w:tcPr>
            <w:tcW w:w="648" w:type="pct"/>
            <w:gridSpan w:val="2"/>
            <w:vAlign w:val="center"/>
          </w:tcPr>
          <w:p w14:paraId="09D05C22">
            <w:pPr>
              <w:pStyle w:val="47"/>
              <w:bidi w:val="0"/>
              <w:rPr>
                <w:rFonts w:hint="default"/>
                <w:lang w:val="en-US" w:eastAsia="zh-CN"/>
              </w:rPr>
            </w:pPr>
            <w:r>
              <w:rPr>
                <w:rFonts w:hint="eastAsia"/>
              </w:rPr>
              <w:t>≤</w:t>
            </w:r>
            <w:r>
              <w:rPr>
                <w:rFonts w:hint="eastAsia"/>
                <w:lang w:val="en-US" w:eastAsia="zh-CN"/>
              </w:rPr>
              <w:t>12</w:t>
            </w:r>
          </w:p>
        </w:tc>
        <w:tc>
          <w:tcPr>
            <w:tcW w:w="659" w:type="pct"/>
            <w:gridSpan w:val="2"/>
            <w:vAlign w:val="center"/>
          </w:tcPr>
          <w:p w14:paraId="1CA21403">
            <w:pPr>
              <w:pStyle w:val="47"/>
              <w:bidi w:val="0"/>
              <w:rPr>
                <w:rFonts w:hint="default"/>
                <w:lang w:val="en-US" w:eastAsia="zh-CN"/>
              </w:rPr>
            </w:pPr>
            <w:r>
              <w:rPr>
                <w:rFonts w:hint="eastAsia"/>
                <w:lang w:val="en-US" w:eastAsia="zh-CN"/>
              </w:rPr>
              <w:t>/</w:t>
            </w:r>
          </w:p>
        </w:tc>
      </w:tr>
      <w:tr w14:paraId="3B52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946" w:type="pct"/>
            <w:vMerge w:val="continue"/>
            <w:vAlign w:val="center"/>
          </w:tcPr>
          <w:p w14:paraId="5B5200ED">
            <w:pPr>
              <w:pStyle w:val="47"/>
              <w:rPr>
                <w:color w:val="auto"/>
              </w:rPr>
            </w:pPr>
          </w:p>
        </w:tc>
        <w:tc>
          <w:tcPr>
            <w:tcW w:w="801" w:type="pct"/>
            <w:vAlign w:val="center"/>
          </w:tcPr>
          <w:p w14:paraId="0DD27E49">
            <w:pPr>
              <w:pStyle w:val="47"/>
              <w:rPr>
                <w:rFonts w:hint="eastAsia" w:eastAsia="宋体"/>
                <w:color w:val="auto"/>
                <w:lang w:val="en-US" w:eastAsia="zh-CN"/>
              </w:rPr>
            </w:pPr>
            <w:r>
              <w:rPr>
                <w:rFonts w:hint="eastAsia"/>
                <w:color w:val="auto"/>
                <w:lang w:val="en-US" w:eastAsia="zh-CN"/>
              </w:rPr>
              <w:t>框架</w:t>
            </w:r>
          </w:p>
        </w:tc>
        <w:tc>
          <w:tcPr>
            <w:tcW w:w="281" w:type="pct"/>
            <w:vAlign w:val="center"/>
          </w:tcPr>
          <w:p w14:paraId="19C0A449">
            <w:pPr>
              <w:pStyle w:val="47"/>
              <w:rPr>
                <w:rFonts w:hint="eastAsia" w:eastAsia="宋体"/>
                <w:color w:val="auto"/>
                <w:lang w:val="en-US" w:eastAsia="zh-CN"/>
              </w:rPr>
            </w:pPr>
            <w:r>
              <w:rPr>
                <w:rFonts w:hint="eastAsia"/>
                <w:color w:val="auto"/>
                <w:lang w:val="en-US" w:eastAsia="zh-CN"/>
              </w:rPr>
              <w:t>四</w:t>
            </w:r>
          </w:p>
        </w:tc>
        <w:tc>
          <w:tcPr>
            <w:tcW w:w="366" w:type="pct"/>
            <w:vAlign w:val="center"/>
          </w:tcPr>
          <w:p w14:paraId="42D5CA61">
            <w:pPr>
              <w:pStyle w:val="47"/>
              <w:rPr>
                <w:rFonts w:hint="eastAsia" w:eastAsia="宋体"/>
                <w:color w:val="auto"/>
                <w:lang w:val="en-US" w:eastAsia="zh-CN"/>
              </w:rPr>
            </w:pPr>
            <w:r>
              <w:rPr>
                <w:rFonts w:hint="eastAsia"/>
                <w:color w:val="auto"/>
                <w:lang w:val="en-US" w:eastAsia="zh-CN"/>
              </w:rPr>
              <w:t>三</w:t>
            </w:r>
          </w:p>
        </w:tc>
        <w:tc>
          <w:tcPr>
            <w:tcW w:w="328" w:type="pct"/>
            <w:vAlign w:val="center"/>
          </w:tcPr>
          <w:p w14:paraId="64E5E07B">
            <w:pPr>
              <w:pStyle w:val="47"/>
              <w:rPr>
                <w:rFonts w:hint="eastAsia" w:eastAsia="宋体"/>
                <w:color w:val="auto"/>
                <w:lang w:val="en-US" w:eastAsia="zh-CN"/>
              </w:rPr>
            </w:pPr>
            <w:r>
              <w:rPr>
                <w:rFonts w:hint="eastAsia"/>
                <w:color w:val="auto"/>
                <w:lang w:val="en-US" w:eastAsia="zh-CN"/>
              </w:rPr>
              <w:t>三</w:t>
            </w:r>
          </w:p>
        </w:tc>
        <w:tc>
          <w:tcPr>
            <w:tcW w:w="319" w:type="pct"/>
            <w:vAlign w:val="center"/>
          </w:tcPr>
          <w:p w14:paraId="4BE6F434">
            <w:pPr>
              <w:pStyle w:val="47"/>
              <w:rPr>
                <w:rFonts w:hint="eastAsia" w:eastAsia="宋体"/>
                <w:color w:val="auto"/>
                <w:lang w:val="en-US" w:eastAsia="zh-CN"/>
              </w:rPr>
            </w:pPr>
            <w:r>
              <w:rPr>
                <w:rFonts w:hint="eastAsia"/>
                <w:color w:val="auto"/>
                <w:lang w:val="en-US" w:eastAsia="zh-CN"/>
              </w:rPr>
              <w:t>二</w:t>
            </w:r>
          </w:p>
        </w:tc>
        <w:tc>
          <w:tcPr>
            <w:tcW w:w="328" w:type="pct"/>
            <w:vAlign w:val="center"/>
          </w:tcPr>
          <w:p w14:paraId="431AB609">
            <w:pPr>
              <w:pStyle w:val="47"/>
              <w:rPr>
                <w:rFonts w:hint="default"/>
                <w:color w:val="auto"/>
                <w:lang w:val="en-US" w:eastAsia="zh-CN"/>
              </w:rPr>
            </w:pPr>
            <w:r>
              <w:rPr>
                <w:rFonts w:hint="eastAsia"/>
                <w:color w:val="auto"/>
                <w:lang w:val="en-US" w:eastAsia="zh-CN"/>
              </w:rPr>
              <w:t>三</w:t>
            </w:r>
          </w:p>
        </w:tc>
        <w:tc>
          <w:tcPr>
            <w:tcW w:w="319" w:type="pct"/>
            <w:vAlign w:val="center"/>
          </w:tcPr>
          <w:p w14:paraId="27467EA1">
            <w:pPr>
              <w:pStyle w:val="47"/>
              <w:bidi w:val="0"/>
              <w:rPr>
                <w:rFonts w:hint="default"/>
                <w:lang w:val="en-US" w:eastAsia="zh-CN"/>
              </w:rPr>
            </w:pPr>
            <w:r>
              <w:rPr>
                <w:rFonts w:hint="eastAsia"/>
                <w:lang w:val="en-US" w:eastAsia="zh-CN"/>
              </w:rPr>
              <w:t>二</w:t>
            </w:r>
          </w:p>
        </w:tc>
        <w:tc>
          <w:tcPr>
            <w:tcW w:w="648" w:type="pct"/>
            <w:gridSpan w:val="2"/>
            <w:vAlign w:val="center"/>
          </w:tcPr>
          <w:p w14:paraId="72812787">
            <w:pPr>
              <w:pStyle w:val="47"/>
              <w:bidi w:val="0"/>
              <w:rPr>
                <w:rFonts w:hint="default"/>
                <w:lang w:val="en-US" w:eastAsia="zh-CN"/>
              </w:rPr>
            </w:pPr>
            <w:r>
              <w:rPr>
                <w:rFonts w:hint="eastAsia"/>
                <w:lang w:val="en-US" w:eastAsia="zh-CN"/>
              </w:rPr>
              <w:t>二</w:t>
            </w:r>
          </w:p>
        </w:tc>
        <w:tc>
          <w:tcPr>
            <w:tcW w:w="659" w:type="pct"/>
            <w:gridSpan w:val="2"/>
            <w:vAlign w:val="center"/>
          </w:tcPr>
          <w:p w14:paraId="5386D75E">
            <w:pPr>
              <w:pStyle w:val="47"/>
              <w:bidi w:val="0"/>
              <w:rPr>
                <w:rFonts w:hint="default"/>
                <w:lang w:val="en-US" w:eastAsia="zh-CN"/>
              </w:rPr>
            </w:pPr>
            <w:r>
              <w:rPr>
                <w:rFonts w:hint="eastAsia"/>
                <w:lang w:val="en-US" w:eastAsia="zh-CN"/>
              </w:rPr>
              <w:t>/</w:t>
            </w:r>
          </w:p>
        </w:tc>
      </w:tr>
    </w:tbl>
    <w:p w14:paraId="44185ADC">
      <w:pPr>
        <w:pStyle w:val="47"/>
        <w:ind w:firstLine="480"/>
        <w:jc w:val="left"/>
        <w:rPr>
          <w:rFonts w:hint="eastAsia"/>
          <w:color w:val="auto"/>
        </w:rPr>
      </w:pPr>
      <w:r>
        <w:rPr>
          <w:rFonts w:hint="eastAsia"/>
          <w:color w:val="auto"/>
        </w:rPr>
        <w:t>注：接近或等于高度分界时，可结合房屋不规则程度及场地、地基条件确定抗震等级。</w:t>
      </w:r>
    </w:p>
    <w:p w14:paraId="675763AB">
      <w:pPr>
        <w:pStyle w:val="47"/>
        <w:ind w:firstLine="480"/>
        <w:jc w:val="left"/>
        <w:rPr>
          <w:rFonts w:hint="eastAsia"/>
          <w:color w:val="auto"/>
        </w:rPr>
      </w:pPr>
    </w:p>
    <w:p w14:paraId="6CF82BAB">
      <w:pPr>
        <w:pStyle w:val="42"/>
        <w:numPr>
          <w:ilvl w:val="0"/>
          <w:numId w:val="6"/>
        </w:numPr>
        <w:ind w:left="0" w:leftChars="0" w:firstLine="0" w:firstLineChars="0"/>
        <w:rPr>
          <w:color w:val="auto"/>
        </w:rPr>
      </w:pPr>
      <w:r>
        <w:rPr>
          <w:rFonts w:hint="eastAsia"/>
          <w:color w:val="auto"/>
          <w:lang w:eastAsia="zh-CN"/>
        </w:rPr>
        <w:t>钢组件框架结构</w:t>
      </w:r>
      <w:r>
        <w:rPr>
          <w:rFonts w:hint="eastAsia"/>
          <w:color w:val="auto"/>
          <w:lang w:val="en-US" w:eastAsia="zh-CN"/>
        </w:rPr>
        <w:t>的</w:t>
      </w:r>
      <w:r>
        <w:rPr>
          <w:rFonts w:hint="eastAsia"/>
          <w:color w:val="auto"/>
        </w:rPr>
        <w:t>建筑形体及结构布置的规则性应符合国家现行标准《建筑与市政抗震通用规范》GB 55002</w:t>
      </w:r>
      <w:r>
        <w:rPr>
          <w:rFonts w:hint="eastAsia"/>
          <w:color w:val="auto"/>
          <w:lang w:eastAsia="zh-CN"/>
        </w:rPr>
        <w:t>、《建筑抗震设计标准》GB/T 50011</w:t>
      </w:r>
      <w:r>
        <w:rPr>
          <w:rFonts w:hint="eastAsia"/>
          <w:color w:val="auto"/>
          <w:lang w:val="en-US" w:eastAsia="zh-CN"/>
        </w:rPr>
        <w:t>、《装配式混凝土结构技术规程》JGJ 1和《混凝土异形柱结构技术规程》JGJ 149</w:t>
      </w:r>
      <w:r>
        <w:rPr>
          <w:rFonts w:hint="eastAsia"/>
          <w:color w:val="auto"/>
        </w:rPr>
        <w:t>的有关规定，高层</w:t>
      </w:r>
      <w:r>
        <w:rPr>
          <w:rFonts w:hint="eastAsia"/>
          <w:color w:val="auto"/>
          <w:lang w:eastAsia="zh-CN"/>
        </w:rPr>
        <w:t>钢组件框架结构</w:t>
      </w:r>
      <w:r>
        <w:rPr>
          <w:rFonts w:hint="eastAsia"/>
          <w:color w:val="auto"/>
        </w:rPr>
        <w:t>尚应符合现行行业标准《高层建筑混凝土结构技术规程》JGJ 3的有关规定。</w:t>
      </w:r>
    </w:p>
    <w:p w14:paraId="1050DA22">
      <w:pPr>
        <w:pStyle w:val="42"/>
        <w:numPr>
          <w:ilvl w:val="0"/>
          <w:numId w:val="6"/>
        </w:numPr>
        <w:ind w:left="0" w:leftChars="0" w:firstLine="0" w:firstLineChars="0"/>
        <w:rPr>
          <w:color w:val="auto"/>
        </w:rPr>
      </w:pPr>
      <w:r>
        <w:rPr>
          <w:rFonts w:hint="eastAsia"/>
          <w:color w:val="auto"/>
          <w:lang w:eastAsia="zh-CN"/>
        </w:rPr>
        <w:t>钢组件框架结构</w:t>
      </w:r>
      <w:r>
        <w:rPr>
          <w:rFonts w:hint="eastAsia"/>
          <w:color w:val="auto"/>
        </w:rPr>
        <w:t>需要设置防震缝时，防震缝宽度应符合下列规定：</w:t>
      </w:r>
    </w:p>
    <w:p w14:paraId="4B9B16AA">
      <w:pPr>
        <w:pStyle w:val="43"/>
        <w:numPr>
          <w:ilvl w:val="3"/>
          <w:numId w:val="11"/>
        </w:numPr>
        <w:tabs>
          <w:tab w:val="left" w:pos="0"/>
          <w:tab w:val="left" w:pos="420"/>
        </w:tabs>
        <w:ind w:firstLineChars="0"/>
        <w:rPr>
          <w:color w:val="auto"/>
        </w:rPr>
      </w:pPr>
      <w:r>
        <w:rPr>
          <w:rFonts w:hint="eastAsia"/>
          <w:color w:val="auto"/>
        </w:rPr>
        <w:t>当高度不超过15m时不应小于1</w:t>
      </w:r>
      <w:r>
        <w:rPr>
          <w:rFonts w:hint="eastAsia"/>
          <w:color w:val="auto"/>
          <w:lang w:val="en-US" w:eastAsia="zh-CN"/>
        </w:rPr>
        <w:t>0</w:t>
      </w:r>
      <w:r>
        <w:rPr>
          <w:rFonts w:hint="eastAsia"/>
          <w:color w:val="auto"/>
        </w:rPr>
        <w:t>0mm；</w:t>
      </w:r>
    </w:p>
    <w:p w14:paraId="655C17E5">
      <w:pPr>
        <w:pStyle w:val="43"/>
        <w:numPr>
          <w:ilvl w:val="3"/>
          <w:numId w:val="11"/>
        </w:numPr>
        <w:tabs>
          <w:tab w:val="left" w:pos="0"/>
          <w:tab w:val="left" w:pos="420"/>
        </w:tabs>
        <w:ind w:firstLineChars="0"/>
        <w:rPr>
          <w:color w:val="auto"/>
        </w:rPr>
      </w:pPr>
      <w:r>
        <w:rPr>
          <w:rFonts w:hint="eastAsia"/>
          <w:color w:val="auto"/>
        </w:rPr>
        <w:t>当高度超过15m时，6度、7度、8度分别每增加高度5m、4m、3m，宜加宽2</w:t>
      </w:r>
      <w:r>
        <w:rPr>
          <w:rFonts w:hint="eastAsia"/>
          <w:color w:val="auto"/>
          <w:lang w:val="en-US" w:eastAsia="zh-CN"/>
        </w:rPr>
        <w:t>0</w:t>
      </w:r>
      <w:r>
        <w:rPr>
          <w:rFonts w:hint="eastAsia"/>
          <w:color w:val="auto"/>
        </w:rPr>
        <w:t>mm。</w:t>
      </w:r>
    </w:p>
    <w:p w14:paraId="213749A4">
      <w:pPr>
        <w:pStyle w:val="42"/>
        <w:numPr>
          <w:ilvl w:val="0"/>
          <w:numId w:val="6"/>
        </w:numPr>
        <w:ind w:left="0" w:leftChars="0" w:firstLine="0" w:firstLineChars="0"/>
      </w:pPr>
      <w:r>
        <w:rPr>
          <w:rFonts w:hint="eastAsia"/>
          <w:lang w:val="en-US" w:eastAsia="zh-CN"/>
        </w:rPr>
        <w:t>对于矩形柱钢组件框架结构，</w:t>
      </w:r>
      <w:r>
        <w:rPr>
          <w:rFonts w:hint="eastAsia"/>
        </w:rPr>
        <w:t>甲、乙类建筑及高度大于24m的丙类建筑不应采用单跨</w:t>
      </w:r>
      <w:r>
        <w:rPr>
          <w:rFonts w:hint="eastAsia"/>
          <w:lang w:eastAsia="zh-CN"/>
        </w:rPr>
        <w:t>框架结构，</w:t>
      </w:r>
      <w:r>
        <w:rPr>
          <w:rFonts w:hint="eastAsia"/>
        </w:rPr>
        <w:t>高度不大于24m的丙类建筑不宜采用单跨</w:t>
      </w:r>
      <w:r>
        <w:rPr>
          <w:rFonts w:hint="eastAsia"/>
          <w:lang w:eastAsia="zh-CN"/>
        </w:rPr>
        <w:t>框架结构</w:t>
      </w:r>
      <w:r>
        <w:rPr>
          <w:rFonts w:hint="eastAsia"/>
        </w:rPr>
        <w:t>。</w:t>
      </w:r>
      <w:r>
        <w:rPr>
          <w:rFonts w:hint="eastAsia"/>
          <w:lang w:val="en-US" w:eastAsia="zh-CN"/>
        </w:rPr>
        <w:t>对于异形柱钢组件框架结构，不应采用单跨框架结构。矩形柱钢组件框架结构用于构筑物时，当高度大于24m时不宜采用单跨框架结构。</w:t>
      </w:r>
    </w:p>
    <w:p w14:paraId="16ECCAE6">
      <w:pPr>
        <w:pStyle w:val="42"/>
        <w:numPr>
          <w:ilvl w:val="0"/>
          <w:numId w:val="6"/>
        </w:numPr>
        <w:ind w:left="0" w:leftChars="0" w:firstLine="0" w:firstLineChars="0"/>
        <w:rPr>
          <w:highlight w:val="none"/>
        </w:rPr>
      </w:pPr>
      <w:r>
        <w:rPr>
          <w:rFonts w:hint="eastAsia"/>
          <w:highlight w:val="none"/>
          <w:lang w:val="en-US" w:eastAsia="zh-CN"/>
        </w:rPr>
        <w:t>钢组件框架结构的非承重外围护墙和内隔墙应符合下列规定：</w:t>
      </w:r>
    </w:p>
    <w:p w14:paraId="417A636E">
      <w:pPr>
        <w:pStyle w:val="43"/>
        <w:numPr>
          <w:ilvl w:val="3"/>
          <w:numId w:val="12"/>
        </w:numPr>
        <w:bidi w:val="0"/>
      </w:pPr>
      <w:r>
        <w:rPr>
          <w:rFonts w:hint="eastAsia"/>
          <w:lang w:val="en-US" w:eastAsia="zh-CN"/>
        </w:rPr>
        <w:t>根据不同要求和条件，宜采用轻质非砌筑类墙体；</w:t>
      </w:r>
    </w:p>
    <w:p w14:paraId="504ACB36">
      <w:pPr>
        <w:pStyle w:val="43"/>
        <w:numPr>
          <w:ilvl w:val="3"/>
          <w:numId w:val="12"/>
        </w:numPr>
        <w:bidi w:val="0"/>
      </w:pPr>
      <w:r>
        <w:rPr>
          <w:rFonts w:hint="eastAsia"/>
          <w:lang w:val="en-US" w:eastAsia="zh-CN"/>
        </w:rPr>
        <w:t>外围护墙宜实现与保温、隔热及装饰一体化；</w:t>
      </w:r>
    </w:p>
    <w:p w14:paraId="5458C29C">
      <w:pPr>
        <w:pStyle w:val="43"/>
        <w:numPr>
          <w:ilvl w:val="3"/>
          <w:numId w:val="12"/>
        </w:numPr>
        <w:bidi w:val="0"/>
      </w:pPr>
      <w:r>
        <w:rPr>
          <w:rFonts w:hint="eastAsia"/>
          <w:lang w:val="en-US" w:eastAsia="zh-CN"/>
        </w:rPr>
        <w:t>内隔墙宜实现与管线、装修一体化；</w:t>
      </w:r>
    </w:p>
    <w:p w14:paraId="34A293BF">
      <w:pPr>
        <w:pStyle w:val="43"/>
        <w:numPr>
          <w:ilvl w:val="3"/>
          <w:numId w:val="12"/>
        </w:numPr>
        <w:bidi w:val="0"/>
      </w:pPr>
      <w:r>
        <w:rPr>
          <w:rFonts w:hint="eastAsia"/>
          <w:lang w:val="en-US" w:eastAsia="zh-CN"/>
        </w:rPr>
        <w:t>对于异形柱钢组件框架结构，墙体厚度宜与异形柱柱肢厚度协调；</w:t>
      </w:r>
    </w:p>
    <w:p w14:paraId="2F922F6B">
      <w:pPr>
        <w:pStyle w:val="43"/>
        <w:numPr>
          <w:ilvl w:val="3"/>
          <w:numId w:val="12"/>
        </w:numPr>
        <w:bidi w:val="0"/>
      </w:pPr>
      <w:r>
        <w:rPr>
          <w:rFonts w:hint="eastAsia"/>
          <w:lang w:val="en-US" w:eastAsia="zh-CN"/>
        </w:rPr>
        <w:t>墙体材料、布置和与主体结构的连接构造应符合国家现行有关标准的规定。</w:t>
      </w:r>
    </w:p>
    <w:p w14:paraId="51540B77">
      <w:pPr>
        <w:pStyle w:val="39"/>
        <w:numPr>
          <w:ilvl w:val="0"/>
          <w:numId w:val="9"/>
        </w:numPr>
        <w:spacing w:before="312" w:after="312"/>
      </w:pPr>
      <w:bookmarkStart w:id="34" w:name="_Toc4941"/>
      <w:bookmarkStart w:id="35" w:name="_Toc7466"/>
      <w:r>
        <w:rPr>
          <w:rFonts w:hint="eastAsia"/>
          <w:lang w:val="en-US" w:eastAsia="zh-CN"/>
        </w:rPr>
        <w:t>结构分析与构件设计</w:t>
      </w:r>
      <w:bookmarkEnd w:id="34"/>
    </w:p>
    <w:p w14:paraId="146CC130">
      <w:pPr>
        <w:pStyle w:val="41"/>
        <w:numPr>
          <w:ilvl w:val="1"/>
          <w:numId w:val="9"/>
        </w:numPr>
        <w:spacing w:before="312" w:after="312"/>
      </w:pPr>
      <w:bookmarkStart w:id="36" w:name="_Toc4225"/>
      <w:r>
        <w:rPr>
          <w:rFonts w:hint="eastAsia"/>
        </w:rPr>
        <w:t>结构分析</w:t>
      </w:r>
      <w:bookmarkEnd w:id="35"/>
      <w:bookmarkEnd w:id="36"/>
    </w:p>
    <w:p w14:paraId="093FF485">
      <w:pPr>
        <w:pStyle w:val="42"/>
        <w:numPr>
          <w:ilvl w:val="2"/>
          <w:numId w:val="9"/>
        </w:numPr>
        <w:rPr>
          <w:color w:val="auto"/>
        </w:rPr>
      </w:pPr>
      <w:r>
        <w:rPr>
          <w:rFonts w:hint="eastAsia"/>
          <w:color w:val="auto"/>
          <w:lang w:eastAsia="zh-CN"/>
        </w:rPr>
        <w:t>钢组件框架结构</w:t>
      </w:r>
      <w:r>
        <w:rPr>
          <w:rFonts w:hint="eastAsia"/>
          <w:color w:val="auto"/>
        </w:rPr>
        <w:t>的作用及作用组合应根据现行国家标准《工程结构通用规范》GB 55001、《建筑与市政工程抗震通用规范》GB 55002、《建筑结构荷载规范》GB 50009、</w:t>
      </w:r>
      <w:r>
        <w:rPr>
          <w:rFonts w:hint="eastAsia"/>
          <w:color w:val="auto"/>
          <w:lang w:eastAsia="zh-CN"/>
        </w:rPr>
        <w:t>《建筑抗震设计标准》GB/T 50011</w:t>
      </w:r>
      <w:r>
        <w:rPr>
          <w:rFonts w:hint="eastAsia"/>
          <w:color w:val="auto"/>
        </w:rPr>
        <w:t>和《建筑结构可靠性设计统一标准》GB 50068等确定。</w:t>
      </w:r>
    </w:p>
    <w:p w14:paraId="703A70A3">
      <w:pPr>
        <w:pStyle w:val="42"/>
        <w:numPr>
          <w:ilvl w:val="2"/>
          <w:numId w:val="9"/>
        </w:numPr>
        <w:rPr>
          <w:color w:val="auto"/>
        </w:rPr>
      </w:pPr>
      <w:r>
        <w:rPr>
          <w:rFonts w:hint="eastAsia"/>
          <w:color w:val="auto"/>
          <w:lang w:eastAsia="zh-CN"/>
        </w:rPr>
        <w:t>钢组件框架结构</w:t>
      </w:r>
      <w:r>
        <w:rPr>
          <w:rFonts w:hint="eastAsia"/>
          <w:color w:val="auto"/>
          <w:lang w:val="en-US" w:eastAsia="zh-CN"/>
        </w:rPr>
        <w:t>可按照国家现行标准《混凝土结构设计标准》GB/T 50010、《建筑抗震设计标准》GB/T 50011、《高层建筑混凝土结构技术规程》JGJ 3、《混凝土异形柱结构技术规程》JGJ 149对现浇混凝土矩形柱框架结构和异形柱框架结构的有关规定进行结构分析，其</w:t>
      </w:r>
      <w:r>
        <w:rPr>
          <w:rFonts w:hint="eastAsia"/>
          <w:color w:val="auto"/>
        </w:rPr>
        <w:t>内力和变形计算可采用弹性分析方法。</w:t>
      </w:r>
    </w:p>
    <w:p w14:paraId="6A508FEE">
      <w:pPr>
        <w:pStyle w:val="42"/>
        <w:numPr>
          <w:ilvl w:val="2"/>
          <w:numId w:val="9"/>
        </w:numPr>
        <w:rPr>
          <w:color w:val="auto"/>
        </w:rPr>
      </w:pPr>
      <w:r>
        <w:rPr>
          <w:rFonts w:hint="eastAsia"/>
          <w:color w:val="auto"/>
          <w:lang w:eastAsia="zh-CN"/>
        </w:rPr>
        <w:t>钢组件框架结构整体分析</w:t>
      </w:r>
      <w:r>
        <w:rPr>
          <w:rFonts w:hint="eastAsia"/>
          <w:color w:val="auto"/>
          <w:lang w:val="en-US" w:eastAsia="zh-CN"/>
        </w:rPr>
        <w:t>中</w:t>
      </w:r>
      <w:r>
        <w:rPr>
          <w:rFonts w:hint="eastAsia"/>
          <w:color w:val="auto"/>
        </w:rPr>
        <w:t>可假定楼盖在其自身平面内为无限刚性</w:t>
      </w:r>
      <w:r>
        <w:rPr>
          <w:rFonts w:hint="eastAsia"/>
          <w:color w:val="auto"/>
          <w:lang w:eastAsia="zh-CN"/>
        </w:rPr>
        <w:t>；</w:t>
      </w:r>
      <w:r>
        <w:rPr>
          <w:rFonts w:hint="eastAsia"/>
          <w:color w:val="auto"/>
        </w:rPr>
        <w:t>当楼盖开有较大洞口或其局部会产生明显平面内变形时，在结构分析中应计入楼板面内变形的影响。</w:t>
      </w:r>
    </w:p>
    <w:p w14:paraId="7D7C3DF3">
      <w:pPr>
        <w:pStyle w:val="42"/>
        <w:numPr>
          <w:ilvl w:val="2"/>
          <w:numId w:val="9"/>
        </w:numPr>
        <w:rPr>
          <w:color w:val="auto"/>
        </w:rPr>
      </w:pPr>
      <w:r>
        <w:rPr>
          <w:rFonts w:hint="eastAsia"/>
          <w:color w:val="auto"/>
        </w:rPr>
        <w:t>进行</w:t>
      </w:r>
      <w:r>
        <w:rPr>
          <w:rFonts w:hint="eastAsia"/>
          <w:color w:val="auto"/>
          <w:lang w:eastAsia="zh-CN"/>
        </w:rPr>
        <w:t>整体</w:t>
      </w:r>
      <w:r>
        <w:rPr>
          <w:rFonts w:hint="eastAsia"/>
          <w:color w:val="auto"/>
        </w:rPr>
        <w:t>结构</w:t>
      </w:r>
      <w:r>
        <w:rPr>
          <w:rFonts w:hint="eastAsia"/>
          <w:color w:val="auto"/>
          <w:lang w:val="en-US" w:eastAsia="zh-CN"/>
        </w:rPr>
        <w:t>弹性</w:t>
      </w:r>
      <w:r>
        <w:rPr>
          <w:rFonts w:hint="eastAsia"/>
          <w:color w:val="auto"/>
        </w:rPr>
        <w:t>内力和变形计算时，</w:t>
      </w:r>
      <w:r>
        <w:rPr>
          <w:rFonts w:hint="eastAsia"/>
          <w:color w:val="auto"/>
          <w:lang w:eastAsia="zh-CN"/>
        </w:rPr>
        <w:t>对于</w:t>
      </w:r>
      <w:r>
        <w:rPr>
          <w:rFonts w:hint="eastAsia"/>
          <w:color w:val="auto"/>
        </w:rPr>
        <w:t>现浇楼盖和装配整体式楼盖，可计入楼板对预制梁刚度的增大作用，近似考虑时刚度放大系数可根据翼缘情况取1.3~2.0</w:t>
      </w:r>
      <w:r>
        <w:rPr>
          <w:rFonts w:hint="eastAsia"/>
          <w:color w:val="auto"/>
          <w:lang w:eastAsia="zh-CN"/>
        </w:rPr>
        <w:t>；</w:t>
      </w:r>
      <w:r>
        <w:rPr>
          <w:rFonts w:hint="eastAsia"/>
          <w:color w:val="auto"/>
        </w:rPr>
        <w:t>对于无现浇面层的装配式楼盖，不宜考虑楼面梁刚度的增大。</w:t>
      </w:r>
    </w:p>
    <w:p w14:paraId="4E55FE8A">
      <w:pPr>
        <w:pStyle w:val="42"/>
        <w:numPr>
          <w:ilvl w:val="2"/>
          <w:numId w:val="9"/>
        </w:numPr>
        <w:tabs>
          <w:tab w:val="left" w:pos="0"/>
          <w:tab w:val="left" w:pos="420"/>
        </w:tabs>
        <w:rPr>
          <w:color w:val="auto"/>
        </w:rPr>
      </w:pPr>
      <w:r>
        <w:rPr>
          <w:rFonts w:hint="eastAsia"/>
          <w:color w:val="auto"/>
        </w:rPr>
        <w:t>当</w:t>
      </w:r>
      <w:r>
        <w:rPr>
          <w:rFonts w:hint="eastAsia"/>
          <w:color w:val="auto"/>
          <w:lang w:eastAsia="zh-CN"/>
        </w:rPr>
        <w:t>非承重墙体</w:t>
      </w:r>
      <w:r>
        <w:rPr>
          <w:rFonts w:hint="eastAsia"/>
          <w:color w:val="auto"/>
        </w:rPr>
        <w:t>采用填充轻质</w:t>
      </w:r>
      <w:r>
        <w:rPr>
          <w:rFonts w:hint="eastAsia"/>
          <w:color w:val="auto"/>
          <w:lang w:eastAsia="zh-CN"/>
        </w:rPr>
        <w:t>砌块、</w:t>
      </w:r>
      <w:r>
        <w:rPr>
          <w:rFonts w:hint="eastAsia"/>
          <w:color w:val="auto"/>
        </w:rPr>
        <w:t>填充轻质墙板或外挂墙板时，</w:t>
      </w:r>
      <w:r>
        <w:rPr>
          <w:rFonts w:hint="eastAsia"/>
          <w:color w:val="auto"/>
          <w:lang w:eastAsia="zh-CN"/>
        </w:rPr>
        <w:t>钢组件框架结构</w:t>
      </w:r>
      <w:r>
        <w:rPr>
          <w:rFonts w:hint="eastAsia"/>
          <w:color w:val="auto"/>
          <w:lang w:val="en-US" w:eastAsia="zh-CN"/>
        </w:rPr>
        <w:t>的</w:t>
      </w:r>
      <w:r>
        <w:rPr>
          <w:rFonts w:hint="eastAsia"/>
          <w:color w:val="auto"/>
          <w:lang w:eastAsia="zh-CN"/>
        </w:rPr>
        <w:t>自振</w:t>
      </w:r>
      <w:r>
        <w:rPr>
          <w:rFonts w:hint="eastAsia"/>
          <w:color w:val="auto"/>
        </w:rPr>
        <w:t>周期折减系数可取0.</w:t>
      </w:r>
      <w:r>
        <w:rPr>
          <w:rFonts w:hint="eastAsia"/>
          <w:color w:val="auto"/>
          <w:lang w:val="en-US" w:eastAsia="zh-CN"/>
        </w:rPr>
        <w:t>7</w:t>
      </w:r>
      <w:r>
        <w:rPr>
          <w:rFonts w:hint="eastAsia"/>
          <w:color w:val="auto"/>
        </w:rPr>
        <w:t>~</w:t>
      </w:r>
      <w:r>
        <w:rPr>
          <w:rFonts w:hint="eastAsia"/>
          <w:color w:val="auto"/>
          <w:lang w:val="en-US" w:eastAsia="zh-CN"/>
        </w:rPr>
        <w:t>0.9</w:t>
      </w:r>
      <w:r>
        <w:rPr>
          <w:rFonts w:hint="eastAsia"/>
          <w:color w:val="auto"/>
        </w:rPr>
        <w:t>；结构计算中不应计入非</w:t>
      </w:r>
      <w:r>
        <w:rPr>
          <w:rFonts w:hint="eastAsia"/>
          <w:color w:val="auto"/>
          <w:lang w:eastAsia="zh-CN"/>
        </w:rPr>
        <w:t>承重墙体</w:t>
      </w:r>
      <w:r>
        <w:rPr>
          <w:rFonts w:hint="eastAsia"/>
          <w:color w:val="auto"/>
        </w:rPr>
        <w:t>对结构承载力和刚度的有利作用。</w:t>
      </w:r>
    </w:p>
    <w:p w14:paraId="34258E3D">
      <w:pPr>
        <w:pStyle w:val="42"/>
        <w:numPr>
          <w:ilvl w:val="2"/>
          <w:numId w:val="9"/>
        </w:numPr>
        <w:rPr>
          <w:color w:val="auto"/>
        </w:rPr>
      </w:pPr>
      <w:r>
        <w:rPr>
          <w:rFonts w:hint="eastAsia"/>
          <w:color w:val="auto"/>
          <w:lang w:eastAsia="zh-CN"/>
        </w:rPr>
        <w:t>钢组件框架结构</w:t>
      </w:r>
      <w:r>
        <w:rPr>
          <w:rFonts w:hint="eastAsia"/>
          <w:color w:val="auto"/>
        </w:rPr>
        <w:t>在风荷载或多遇地震标准值作用下</w:t>
      </w:r>
      <w:r>
        <w:rPr>
          <w:rFonts w:hint="eastAsia"/>
          <w:color w:val="auto"/>
          <w:lang w:eastAsia="zh-CN"/>
        </w:rPr>
        <w:t>，</w:t>
      </w:r>
      <w:r>
        <w:rPr>
          <w:rFonts w:hint="eastAsia"/>
          <w:color w:val="auto"/>
        </w:rPr>
        <w:t>按弹性方法计算的层间位移角不</w:t>
      </w:r>
      <w:r>
        <w:rPr>
          <w:rFonts w:hint="eastAsia"/>
          <w:color w:val="auto"/>
          <w:lang w:val="en-US" w:eastAsia="zh-CN"/>
        </w:rPr>
        <w:t>宜</w:t>
      </w:r>
      <w:r>
        <w:rPr>
          <w:rFonts w:hint="eastAsia"/>
          <w:color w:val="auto"/>
        </w:rPr>
        <w:t>大于1/5</w:t>
      </w:r>
      <w:r>
        <w:rPr>
          <w:rFonts w:hint="eastAsia"/>
          <w:color w:val="auto"/>
          <w:lang w:val="en-US" w:eastAsia="zh-CN"/>
        </w:rPr>
        <w:t>5</w:t>
      </w:r>
      <w:r>
        <w:rPr>
          <w:rFonts w:hint="eastAsia"/>
          <w:color w:val="auto"/>
        </w:rPr>
        <w:t>0。</w:t>
      </w:r>
    </w:p>
    <w:p w14:paraId="46560C91">
      <w:pPr>
        <w:pStyle w:val="42"/>
        <w:numPr>
          <w:ilvl w:val="2"/>
          <w:numId w:val="9"/>
        </w:numPr>
      </w:pPr>
      <w:bookmarkStart w:id="37" w:name="OLE_LINK2"/>
      <w:r>
        <w:rPr>
          <w:rFonts w:hint="eastAsia"/>
          <w:color w:val="auto"/>
          <w:lang w:eastAsia="zh-CN"/>
        </w:rPr>
        <w:t>钢组件框架结构</w:t>
      </w:r>
      <w:r>
        <w:rPr>
          <w:rFonts w:hint="eastAsia"/>
          <w:color w:val="auto"/>
        </w:rPr>
        <w:t>在罕遇地震作用下的弹塑性层间位移角不应大于1/50。</w:t>
      </w:r>
    </w:p>
    <w:bookmarkEnd w:id="37"/>
    <w:p w14:paraId="49A3EF0C">
      <w:pPr>
        <w:pStyle w:val="41"/>
        <w:numPr>
          <w:ilvl w:val="1"/>
          <w:numId w:val="9"/>
        </w:numPr>
        <w:spacing w:before="312" w:after="312"/>
      </w:pPr>
      <w:bookmarkStart w:id="38" w:name="_Toc6384"/>
      <w:r>
        <w:rPr>
          <w:rFonts w:hint="eastAsia"/>
          <w:lang w:val="en-US" w:eastAsia="zh-CN"/>
        </w:rPr>
        <w:t>构件与钢组件设计</w:t>
      </w:r>
      <w:bookmarkEnd w:id="38"/>
    </w:p>
    <w:p w14:paraId="3A7C47EA">
      <w:pPr>
        <w:pStyle w:val="42"/>
        <w:numPr>
          <w:ilvl w:val="2"/>
          <w:numId w:val="0"/>
        </w:numPr>
        <w:jc w:val="center"/>
      </w:pPr>
      <w:r>
        <w:rPr>
          <w:b/>
          <w:bCs/>
          <w:color w:val="auto"/>
        </w:rPr>
        <w:t>Ⅰ</w:t>
      </w:r>
      <w:r>
        <w:rPr>
          <w:rFonts w:hint="eastAsia"/>
          <w:b/>
          <w:bCs/>
          <w:color w:val="auto"/>
        </w:rPr>
        <w:t xml:space="preserve"> </w:t>
      </w:r>
      <w:r>
        <w:rPr>
          <w:rFonts w:hint="eastAsia"/>
          <w:b/>
          <w:bCs/>
          <w:color w:val="auto"/>
          <w:lang w:val="en-US" w:eastAsia="zh-CN"/>
        </w:rPr>
        <w:t xml:space="preserve"> 一般规定</w:t>
      </w:r>
    </w:p>
    <w:p w14:paraId="0E41A5DB">
      <w:pPr>
        <w:pStyle w:val="42"/>
        <w:bidi w:val="0"/>
        <w:rPr>
          <w:lang w:val="en-US" w:eastAsia="zh-CN"/>
        </w:rPr>
      </w:pPr>
      <w:r>
        <w:rPr>
          <w:rFonts w:hint="eastAsia"/>
          <w:lang w:val="en-US" w:eastAsia="zh-CN"/>
        </w:rPr>
        <w:t>预制梁、预制柱应进行承载能力极限状态和正常使用极限状态设计，并应符合下列规定：</w:t>
      </w:r>
    </w:p>
    <w:p w14:paraId="6FE158F6">
      <w:pPr>
        <w:pStyle w:val="43"/>
        <w:tabs>
          <w:tab w:val="left" w:pos="420"/>
        </w:tabs>
        <w:ind w:firstLine="480"/>
      </w:pPr>
      <w:r>
        <w:rPr>
          <w:rFonts w:hint="eastAsia"/>
          <w:lang w:val="en-US" w:eastAsia="zh-CN"/>
        </w:rPr>
        <w:t>对</w:t>
      </w:r>
      <w:r>
        <w:rPr>
          <w:rFonts w:hint="eastAsia"/>
        </w:rPr>
        <w:t>持久设计状况</w:t>
      </w:r>
      <w:r>
        <w:rPr>
          <w:rFonts w:hint="eastAsia"/>
          <w:lang w:val="en-US" w:eastAsia="zh-CN"/>
        </w:rPr>
        <w:t>，应对预制梁进行承载力、变形、裂缝控制验算，应对预制柱进行承载力验算</w:t>
      </w:r>
      <w:r>
        <w:rPr>
          <w:rFonts w:hint="eastAsia"/>
        </w:rPr>
        <w:t>；</w:t>
      </w:r>
    </w:p>
    <w:p w14:paraId="439F102C">
      <w:pPr>
        <w:pStyle w:val="43"/>
        <w:tabs>
          <w:tab w:val="left" w:pos="420"/>
        </w:tabs>
        <w:ind w:firstLine="480"/>
      </w:pPr>
      <w:r>
        <w:rPr>
          <w:rFonts w:hint="eastAsia"/>
          <w:lang w:val="en-US" w:eastAsia="zh-CN"/>
        </w:rPr>
        <w:t>对</w:t>
      </w:r>
      <w:r>
        <w:rPr>
          <w:rFonts w:hint="eastAsia"/>
        </w:rPr>
        <w:t>地震设计状况</w:t>
      </w:r>
      <w:r>
        <w:rPr>
          <w:rFonts w:hint="eastAsia"/>
          <w:lang w:val="en-US" w:eastAsia="zh-CN"/>
        </w:rPr>
        <w:t>，应对预制梁、</w:t>
      </w:r>
      <w:r>
        <w:rPr>
          <w:rFonts w:hint="eastAsia"/>
        </w:rPr>
        <w:t>预制柱</w:t>
      </w:r>
      <w:r>
        <w:rPr>
          <w:rFonts w:hint="eastAsia"/>
          <w:lang w:val="en-US" w:eastAsia="zh-CN"/>
        </w:rPr>
        <w:t>进行</w:t>
      </w:r>
      <w:r>
        <w:rPr>
          <w:rFonts w:hint="eastAsia"/>
        </w:rPr>
        <w:t>承载力</w:t>
      </w:r>
      <w:r>
        <w:rPr>
          <w:rFonts w:hint="eastAsia"/>
          <w:lang w:val="en-US" w:eastAsia="zh-CN"/>
        </w:rPr>
        <w:t>验算</w:t>
      </w:r>
      <w:r>
        <w:rPr>
          <w:rFonts w:hint="eastAsia"/>
        </w:rPr>
        <w:t>；</w:t>
      </w:r>
    </w:p>
    <w:p w14:paraId="23C12916">
      <w:pPr>
        <w:pStyle w:val="43"/>
        <w:tabs>
          <w:tab w:val="left" w:pos="420"/>
        </w:tabs>
        <w:ind w:firstLine="480"/>
      </w:pPr>
      <w:r>
        <w:rPr>
          <w:rFonts w:hint="eastAsia"/>
          <w:lang w:val="en-US" w:eastAsia="zh-CN"/>
        </w:rPr>
        <w:t>对制作、运输和堆放、安装等短暂设计状况，应对预制梁、</w:t>
      </w:r>
      <w:r>
        <w:rPr>
          <w:rFonts w:hint="eastAsia"/>
        </w:rPr>
        <w:t>预制柱</w:t>
      </w:r>
      <w:r>
        <w:rPr>
          <w:rFonts w:hint="eastAsia"/>
          <w:lang w:eastAsia="zh-CN"/>
        </w:rPr>
        <w:t>进行施工</w:t>
      </w:r>
      <w:r>
        <w:rPr>
          <w:rFonts w:hint="eastAsia"/>
        </w:rPr>
        <w:t>验算。</w:t>
      </w:r>
    </w:p>
    <w:p w14:paraId="4C9CF185">
      <w:pPr>
        <w:pStyle w:val="42"/>
      </w:pPr>
      <w:r>
        <w:rPr>
          <w:rFonts w:hint="eastAsia"/>
          <w:lang w:val="en-US" w:eastAsia="zh-CN"/>
        </w:rPr>
        <w:t>预制梁、预制柱的承载力验算应符合下列规定：</w:t>
      </w:r>
    </w:p>
    <w:p w14:paraId="7394A574">
      <w:pPr>
        <w:pStyle w:val="43"/>
        <w:tabs>
          <w:tab w:val="left" w:pos="420"/>
        </w:tabs>
        <w:ind w:firstLine="480"/>
        <w:rPr>
          <w:color w:val="auto"/>
        </w:rPr>
      </w:pPr>
      <w:r>
        <w:rPr>
          <w:rFonts w:hint="eastAsia"/>
          <w:color w:val="auto"/>
        </w:rPr>
        <w:t>持久设计状况、短暂设计状况时应满足下式要求：</w:t>
      </w:r>
    </w:p>
    <w:p w14:paraId="694BD3D3">
      <w:pPr>
        <w:ind w:firstLine="480"/>
        <w:jc w:val="right"/>
        <w:rPr>
          <w:color w:val="auto"/>
        </w:rPr>
      </w:pPr>
      <w:r>
        <w:rPr>
          <w:rFonts w:hint="eastAsia"/>
          <w:color w:val="auto"/>
          <w:position w:val="-12"/>
        </w:rPr>
        <w:object>
          <v:shape id="_x0000_i1054" o:spt="75" type="#_x0000_t75" style="height:18.4pt;width:48.4pt;" o:ole="t" filled="f" o:preferrelative="t" stroked="f" coordsize="21600,21600">
            <v:path/>
            <v:fill on="f" focussize="0,0"/>
            <v:stroke on="f" joinstyle="miter"/>
            <v:imagedata r:id="rId79" o:title=""/>
            <o:lock v:ext="edit" aspectratio="t"/>
            <w10:wrap type="none"/>
            <w10:anchorlock/>
          </v:shape>
          <o:OLEObject Type="Embed" ProgID="Equation.DSMT4" ShapeID="_x0000_i1054" DrawAspect="Content" ObjectID="_1468075754" r:id="rId78">
            <o:LockedField>false</o:LockedField>
          </o:OLEObject>
        </w:object>
      </w:r>
      <w:r>
        <w:rPr>
          <w:rFonts w:hint="eastAsia"/>
          <w:color w:val="auto"/>
        </w:rPr>
        <w:t xml:space="preserve">                          （5.</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-1）</w:t>
      </w:r>
    </w:p>
    <w:p w14:paraId="2C091BD7">
      <w:pPr>
        <w:pStyle w:val="43"/>
        <w:tabs>
          <w:tab w:val="left" w:pos="420"/>
        </w:tabs>
        <w:ind w:firstLine="480"/>
        <w:rPr>
          <w:color w:val="auto"/>
        </w:rPr>
      </w:pPr>
      <w:r>
        <w:rPr>
          <w:rFonts w:hint="eastAsia"/>
          <w:color w:val="auto"/>
        </w:rPr>
        <w:t>地震设计状况时应满足下式要求：</w:t>
      </w:r>
    </w:p>
    <w:p w14:paraId="5E320875">
      <w:pPr>
        <w:ind w:firstLine="480"/>
        <w:jc w:val="right"/>
        <w:rPr>
          <w:color w:val="auto"/>
        </w:rPr>
      </w:pPr>
      <w:r>
        <w:rPr>
          <w:rFonts w:hint="eastAsia"/>
          <w:color w:val="auto"/>
          <w:position w:val="-12"/>
        </w:rPr>
        <w:object>
          <v:shape id="_x0000_i1055" o:spt="75" type="#_x0000_t75" style="height:18.4pt;width:62.25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r>
        <w:rPr>
          <w:rFonts w:hint="eastAsia"/>
          <w:color w:val="auto"/>
        </w:rPr>
        <w:t xml:space="preserve">                          （5.</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-2）</w:t>
      </w:r>
    </w:p>
    <w:tbl>
      <w:tblPr>
        <w:tblStyle w:val="30"/>
        <w:tblW w:w="0" w:type="auto"/>
        <w:tblInd w:w="0" w:type="dxa"/>
        <w:tblLayout w:type="autofit"/>
        <w:tblCellMar>
          <w:top w:w="0" w:type="dxa"/>
          <w:left w:w="0" w:type="dxa"/>
          <w:bottom w:w="0" w:type="dxa"/>
          <w:right w:w="0" w:type="dxa"/>
        </w:tblCellMar>
      </w:tblPr>
      <w:tblGrid>
        <w:gridCol w:w="719"/>
        <w:gridCol w:w="368"/>
        <w:gridCol w:w="480"/>
        <w:gridCol w:w="6732"/>
      </w:tblGrid>
      <w:tr w14:paraId="69EA6626">
        <w:tblPrEx>
          <w:tblCellMar>
            <w:top w:w="0" w:type="dxa"/>
            <w:left w:w="0" w:type="dxa"/>
            <w:bottom w:w="0" w:type="dxa"/>
            <w:right w:w="0" w:type="dxa"/>
          </w:tblCellMar>
        </w:tblPrEx>
        <w:trPr>
          <w:trHeight w:val="245" w:hRule="atLeast"/>
        </w:trPr>
        <w:tc>
          <w:tcPr>
            <w:tcW w:w="719" w:type="dxa"/>
          </w:tcPr>
          <w:p w14:paraId="1F6D0440">
            <w:pPr>
              <w:ind w:firstLine="0" w:firstLineChars="0"/>
              <w:rPr>
                <w:i/>
                <w:color w:val="auto"/>
              </w:rPr>
            </w:pPr>
            <w:r>
              <w:rPr>
                <w:rFonts w:hint="eastAsia"/>
                <w:color w:val="auto"/>
              </w:rPr>
              <w:t>式中：</w:t>
            </w:r>
          </w:p>
        </w:tc>
        <w:tc>
          <w:tcPr>
            <w:tcW w:w="0" w:type="auto"/>
          </w:tcPr>
          <w:p w14:paraId="6FD1E36F">
            <w:pPr>
              <w:ind w:firstLine="0" w:firstLineChars="0"/>
              <w:jc w:val="right"/>
              <w:rPr>
                <w:color w:val="auto"/>
              </w:rPr>
            </w:pPr>
            <w:r>
              <w:rPr>
                <w:rFonts w:hint="eastAsia"/>
                <w:color w:val="auto"/>
                <w:position w:val="-12"/>
              </w:rPr>
              <w:object>
                <v:shape id="_x0000_i1056" o:spt="75" type="#_x0000_t75" style="height:18.4pt;width:12.4pt;" o:ole="t" filled="f" o:preferrelative="t" stroked="f" coordsize="21600,21600">
                  <v:path/>
                  <v:fill on="f" focussize="0,0"/>
                  <v:stroke on="f" joinstyle="miter"/>
                  <v:imagedata r:id="rId83" o:title=""/>
                  <o:lock v:ext="edit" aspectratio="t"/>
                  <w10:wrap type="none"/>
                  <w10:anchorlock/>
                </v:shape>
                <o:OLEObject Type="Embed" ProgID="Equation.DSMT4" ShapeID="_x0000_i1056" DrawAspect="Content" ObjectID="_1468075756" r:id="rId82">
                  <o:LockedField>false</o:LockedField>
                </o:OLEObject>
              </w:object>
            </w:r>
          </w:p>
        </w:tc>
        <w:tc>
          <w:tcPr>
            <w:tcW w:w="480" w:type="dxa"/>
          </w:tcPr>
          <w:p w14:paraId="30127A6E">
            <w:pPr>
              <w:ind w:firstLine="0" w:firstLineChars="0"/>
              <w:rPr>
                <w:color w:val="auto"/>
              </w:rPr>
            </w:pPr>
            <w:r>
              <w:rPr>
                <w:color w:val="auto"/>
              </w:rPr>
              <w:t>——</w:t>
            </w:r>
          </w:p>
        </w:tc>
        <w:tc>
          <w:tcPr>
            <w:tcW w:w="6732" w:type="dxa"/>
          </w:tcPr>
          <w:p w14:paraId="121A32BB">
            <w:pPr>
              <w:ind w:firstLine="0" w:firstLineChars="0"/>
              <w:rPr>
                <w:color w:val="auto"/>
              </w:rPr>
            </w:pPr>
            <w:r>
              <w:rPr>
                <w:rFonts w:hint="eastAsia"/>
                <w:color w:val="auto"/>
              </w:rPr>
              <w:t>结构重要性系数，安全等级为一级时不应小于1.1，安全等级为二级时不应小于1.0；</w:t>
            </w:r>
          </w:p>
        </w:tc>
      </w:tr>
      <w:tr w14:paraId="310DC7BD">
        <w:tblPrEx>
          <w:tblCellMar>
            <w:top w:w="0" w:type="dxa"/>
            <w:left w:w="0" w:type="dxa"/>
            <w:bottom w:w="0" w:type="dxa"/>
            <w:right w:w="0" w:type="dxa"/>
          </w:tblCellMar>
        </w:tblPrEx>
        <w:trPr>
          <w:trHeight w:val="245" w:hRule="atLeast"/>
        </w:trPr>
        <w:tc>
          <w:tcPr>
            <w:tcW w:w="719" w:type="dxa"/>
          </w:tcPr>
          <w:p w14:paraId="0C01EF9A">
            <w:pPr>
              <w:ind w:firstLine="0" w:firstLineChars="0"/>
              <w:rPr>
                <w:color w:val="auto"/>
              </w:rPr>
            </w:pPr>
          </w:p>
        </w:tc>
        <w:tc>
          <w:tcPr>
            <w:tcW w:w="0" w:type="auto"/>
          </w:tcPr>
          <w:p w14:paraId="260E2053">
            <w:pPr>
              <w:ind w:firstLine="0" w:firstLineChars="0"/>
              <w:jc w:val="right"/>
              <w:rPr>
                <w:color w:val="auto"/>
              </w:rPr>
            </w:pPr>
            <w:r>
              <w:rPr>
                <w:rFonts w:hint="eastAsia"/>
                <w:color w:val="auto"/>
                <w:position w:val="-12"/>
              </w:rPr>
              <w:object>
                <v:shape id="_x0000_i1057" o:spt="75" type="#_x0000_t75" style="height:18.4pt;width:13.15pt;" o:ole="t" filled="f" o:preferrelative="t" stroked="f" coordsize="21600,21600">
                  <v:path/>
                  <v:fill on="f" focussize="0,0"/>
                  <v:stroke on="f" joinstyle="miter"/>
                  <v:imagedata r:id="rId85" o:title=""/>
                  <o:lock v:ext="edit" aspectratio="t"/>
                  <w10:wrap type="none"/>
                  <w10:anchorlock/>
                </v:shape>
                <o:OLEObject Type="Embed" ProgID="Equation.DSMT4" ShapeID="_x0000_i1057" DrawAspect="Content" ObjectID="_1468075757" r:id="rId84">
                  <o:LockedField>false</o:LockedField>
                </o:OLEObject>
              </w:object>
            </w:r>
          </w:p>
        </w:tc>
        <w:tc>
          <w:tcPr>
            <w:tcW w:w="480" w:type="dxa"/>
          </w:tcPr>
          <w:p w14:paraId="2089F9AB">
            <w:pPr>
              <w:ind w:firstLine="0" w:firstLineChars="0"/>
              <w:rPr>
                <w:color w:val="auto"/>
              </w:rPr>
            </w:pPr>
            <w:r>
              <w:rPr>
                <w:color w:val="auto"/>
              </w:rPr>
              <w:t>——</w:t>
            </w:r>
          </w:p>
        </w:tc>
        <w:tc>
          <w:tcPr>
            <w:tcW w:w="6732" w:type="dxa"/>
          </w:tcPr>
          <w:p w14:paraId="2C6868B0">
            <w:pPr>
              <w:ind w:firstLine="0" w:firstLineChars="0"/>
              <w:rPr>
                <w:color w:val="auto"/>
              </w:rPr>
            </w:pPr>
            <w:r>
              <w:rPr>
                <w:rFonts w:hint="eastAsia"/>
                <w:color w:val="auto"/>
              </w:rPr>
              <w:t>作用组合的效应设计值，应按现行国家标准《工程结构通用规范》GB 55001、《建筑与市政抗震通用规范》GB 55002、《建筑结构可靠性设计统一标准》GB 50068及本规程的有关规定计算；</w:t>
            </w:r>
          </w:p>
        </w:tc>
      </w:tr>
      <w:tr w14:paraId="31C3D0FF">
        <w:tblPrEx>
          <w:tblCellMar>
            <w:top w:w="0" w:type="dxa"/>
            <w:left w:w="0" w:type="dxa"/>
            <w:bottom w:w="0" w:type="dxa"/>
            <w:right w:w="0" w:type="dxa"/>
          </w:tblCellMar>
        </w:tblPrEx>
        <w:trPr>
          <w:trHeight w:val="396" w:hRule="atLeast"/>
        </w:trPr>
        <w:tc>
          <w:tcPr>
            <w:tcW w:w="719" w:type="dxa"/>
          </w:tcPr>
          <w:p w14:paraId="761E87FA">
            <w:pPr>
              <w:ind w:firstLine="0" w:firstLineChars="0"/>
              <w:rPr>
                <w:color w:val="auto"/>
              </w:rPr>
            </w:pPr>
          </w:p>
        </w:tc>
        <w:tc>
          <w:tcPr>
            <w:tcW w:w="0" w:type="auto"/>
          </w:tcPr>
          <w:p w14:paraId="6909EDC9">
            <w:pPr>
              <w:ind w:firstLine="0" w:firstLineChars="0"/>
              <w:jc w:val="right"/>
              <w:rPr>
                <w:i/>
                <w:color w:val="auto"/>
              </w:rPr>
            </w:pPr>
            <w:r>
              <w:rPr>
                <w:rFonts w:hint="eastAsia"/>
                <w:color w:val="auto"/>
                <w:position w:val="-12"/>
              </w:rPr>
              <w:object>
                <v:shape id="_x0000_i1058" o:spt="75" type="#_x0000_t75" style="height:18.4pt;width:15pt;" o:ole="t" filled="f" o:preferrelative="t" stroked="f" coordsize="21600,21600">
                  <v:path/>
                  <v:fill on="f" focussize="0,0"/>
                  <v:stroke on="f" joinstyle="miter"/>
                  <v:imagedata r:id="rId87" o:title=""/>
                  <o:lock v:ext="edit" aspectratio="t"/>
                  <w10:wrap type="none"/>
                  <w10:anchorlock/>
                </v:shape>
                <o:OLEObject Type="Embed" ProgID="Equation.DSMT4" ShapeID="_x0000_i1058" DrawAspect="Content" ObjectID="_1468075758" r:id="rId86">
                  <o:LockedField>false</o:LockedField>
                </o:OLEObject>
              </w:object>
            </w:r>
          </w:p>
        </w:tc>
        <w:tc>
          <w:tcPr>
            <w:tcW w:w="480" w:type="dxa"/>
          </w:tcPr>
          <w:p w14:paraId="6AC4933D">
            <w:pPr>
              <w:ind w:firstLine="0" w:firstLineChars="0"/>
              <w:rPr>
                <w:color w:val="auto"/>
              </w:rPr>
            </w:pPr>
            <w:r>
              <w:rPr>
                <w:color w:val="auto"/>
              </w:rPr>
              <w:t>——</w:t>
            </w:r>
          </w:p>
        </w:tc>
        <w:tc>
          <w:tcPr>
            <w:tcW w:w="6732" w:type="dxa"/>
          </w:tcPr>
          <w:p w14:paraId="0CE10FCB">
            <w:pPr>
              <w:ind w:firstLine="0" w:firstLineChars="0"/>
              <w:rPr>
                <w:color w:val="auto"/>
              </w:rPr>
            </w:pPr>
            <w:r>
              <w:rPr>
                <w:rFonts w:hint="eastAsia"/>
                <w:color w:val="auto"/>
              </w:rPr>
              <w:t>预制梁或预制柱的承载力设计值；</w:t>
            </w:r>
          </w:p>
        </w:tc>
      </w:tr>
      <w:tr w14:paraId="36AEBF5F">
        <w:tblPrEx>
          <w:tblCellMar>
            <w:top w:w="0" w:type="dxa"/>
            <w:left w:w="0" w:type="dxa"/>
            <w:bottom w:w="0" w:type="dxa"/>
            <w:right w:w="0" w:type="dxa"/>
          </w:tblCellMar>
        </w:tblPrEx>
        <w:trPr>
          <w:trHeight w:val="568" w:hRule="atLeast"/>
        </w:trPr>
        <w:tc>
          <w:tcPr>
            <w:tcW w:w="719" w:type="dxa"/>
          </w:tcPr>
          <w:p w14:paraId="02E0466C">
            <w:pPr>
              <w:ind w:firstLine="0" w:firstLineChars="0"/>
              <w:rPr>
                <w:color w:val="auto"/>
              </w:rPr>
            </w:pPr>
          </w:p>
        </w:tc>
        <w:tc>
          <w:tcPr>
            <w:tcW w:w="0" w:type="auto"/>
          </w:tcPr>
          <w:p w14:paraId="6853EA1F">
            <w:pPr>
              <w:ind w:firstLine="0" w:firstLineChars="0"/>
              <w:jc w:val="right"/>
              <w:rPr>
                <w:color w:val="auto"/>
                <w:position w:val="-12"/>
              </w:rPr>
            </w:pPr>
            <w:r>
              <w:rPr>
                <w:rFonts w:hint="eastAsia"/>
                <w:color w:val="auto"/>
                <w:position w:val="-12"/>
              </w:rPr>
              <w:object>
                <v:shape id="_x0000_i1059" o:spt="75" type="#_x0000_t75" style="height:18.4pt;width:18.4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88">
                  <o:LockedField>false</o:LockedField>
                </o:OLEObject>
              </w:object>
            </w:r>
          </w:p>
        </w:tc>
        <w:tc>
          <w:tcPr>
            <w:tcW w:w="480" w:type="dxa"/>
          </w:tcPr>
          <w:p w14:paraId="7B9186B9">
            <w:pPr>
              <w:ind w:firstLine="0" w:firstLineChars="0"/>
              <w:rPr>
                <w:color w:val="auto"/>
              </w:rPr>
            </w:pPr>
            <w:r>
              <w:rPr>
                <w:color w:val="auto"/>
              </w:rPr>
              <w:t>——</w:t>
            </w:r>
          </w:p>
        </w:tc>
        <w:tc>
          <w:tcPr>
            <w:tcW w:w="6732" w:type="dxa"/>
          </w:tcPr>
          <w:p w14:paraId="1DCBA623">
            <w:pPr>
              <w:ind w:firstLine="0" w:firstLineChars="0"/>
              <w:rPr>
                <w:color w:val="auto"/>
              </w:rPr>
            </w:pPr>
            <w:r>
              <w:rPr>
                <w:rFonts w:hint="eastAsia"/>
                <w:color w:val="auto"/>
              </w:rPr>
              <w:t>预制梁或预制柱的承载力抗震调整系数，应按表5.</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采用，当仅考虑竖向地震作用组合时应取1.0。</w:t>
            </w:r>
          </w:p>
        </w:tc>
      </w:tr>
    </w:tbl>
    <w:p w14:paraId="4A8B845D">
      <w:pPr>
        <w:pStyle w:val="45"/>
        <w:rPr>
          <w:rFonts w:hint="eastAsia"/>
          <w:color w:val="auto"/>
        </w:rPr>
      </w:pPr>
    </w:p>
    <w:p w14:paraId="0FA847D6">
      <w:pPr>
        <w:pStyle w:val="45"/>
        <w:rPr>
          <w:color w:val="auto"/>
        </w:rPr>
      </w:pPr>
      <w:r>
        <w:rPr>
          <w:rFonts w:hint="eastAsia"/>
          <w:color w:val="auto"/>
        </w:rPr>
        <w:t>表5.</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 xml:space="preserve">  承载力抗震调整系数</w:t>
      </w:r>
    </w:p>
    <w:tbl>
      <w:tblPr>
        <w:tblStyle w:val="30"/>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98"/>
        <w:gridCol w:w="1201"/>
        <w:gridCol w:w="1218"/>
        <w:gridCol w:w="1290"/>
        <w:gridCol w:w="664"/>
        <w:gridCol w:w="1586"/>
        <w:gridCol w:w="900"/>
      </w:tblGrid>
      <w:tr w14:paraId="067A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Merge w:val="restart"/>
            <w:vAlign w:val="center"/>
          </w:tcPr>
          <w:p w14:paraId="4D7FBBF1">
            <w:pPr>
              <w:pStyle w:val="47"/>
              <w:rPr>
                <w:color w:val="auto"/>
              </w:rPr>
            </w:pPr>
            <w:r>
              <w:rPr>
                <w:rFonts w:hint="eastAsia"/>
                <w:color w:val="auto"/>
              </w:rPr>
              <w:t>构件类别</w:t>
            </w:r>
          </w:p>
        </w:tc>
        <w:tc>
          <w:tcPr>
            <w:tcW w:w="2399" w:type="dxa"/>
            <w:gridSpan w:val="2"/>
            <w:vAlign w:val="center"/>
          </w:tcPr>
          <w:p w14:paraId="20B46831">
            <w:pPr>
              <w:pStyle w:val="47"/>
              <w:rPr>
                <w:color w:val="auto"/>
              </w:rPr>
            </w:pPr>
            <w:r>
              <w:rPr>
                <w:rFonts w:hint="eastAsia"/>
                <w:color w:val="auto"/>
              </w:rPr>
              <w:t>预制梁</w:t>
            </w:r>
          </w:p>
        </w:tc>
        <w:tc>
          <w:tcPr>
            <w:tcW w:w="4758" w:type="dxa"/>
            <w:gridSpan w:val="4"/>
            <w:vAlign w:val="center"/>
          </w:tcPr>
          <w:p w14:paraId="6F9004DD">
            <w:pPr>
              <w:pStyle w:val="47"/>
              <w:rPr>
                <w:color w:val="auto"/>
              </w:rPr>
            </w:pPr>
            <w:r>
              <w:rPr>
                <w:rFonts w:hint="eastAsia"/>
                <w:color w:val="auto"/>
              </w:rPr>
              <w:t>预制柱</w:t>
            </w:r>
          </w:p>
        </w:tc>
        <w:tc>
          <w:tcPr>
            <w:tcW w:w="900" w:type="dxa"/>
            <w:vMerge w:val="restart"/>
            <w:vAlign w:val="center"/>
          </w:tcPr>
          <w:p w14:paraId="166430A4">
            <w:pPr>
              <w:pStyle w:val="47"/>
              <w:rPr>
                <w:color w:val="auto"/>
              </w:rPr>
            </w:pPr>
            <w:r>
              <w:rPr>
                <w:rFonts w:hint="eastAsia"/>
                <w:color w:val="auto"/>
              </w:rPr>
              <w:t>连接钢板、螺栓、焊缝</w:t>
            </w:r>
          </w:p>
        </w:tc>
      </w:tr>
      <w:tr w14:paraId="59F1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9" w:type="dxa"/>
            <w:vMerge w:val="continue"/>
            <w:vAlign w:val="center"/>
          </w:tcPr>
          <w:p w14:paraId="2BED4876">
            <w:pPr>
              <w:pStyle w:val="47"/>
              <w:rPr>
                <w:color w:val="auto"/>
              </w:rPr>
            </w:pPr>
          </w:p>
        </w:tc>
        <w:tc>
          <w:tcPr>
            <w:tcW w:w="1198" w:type="dxa"/>
            <w:vAlign w:val="center"/>
          </w:tcPr>
          <w:p w14:paraId="1463CF1C">
            <w:pPr>
              <w:pStyle w:val="47"/>
              <w:rPr>
                <w:color w:val="auto"/>
              </w:rPr>
            </w:pPr>
            <w:r>
              <w:rPr>
                <w:rFonts w:hint="eastAsia"/>
                <w:color w:val="auto"/>
              </w:rPr>
              <w:t>混凝土梁身</w:t>
            </w:r>
          </w:p>
        </w:tc>
        <w:tc>
          <w:tcPr>
            <w:tcW w:w="1201" w:type="dxa"/>
            <w:vAlign w:val="center"/>
          </w:tcPr>
          <w:p w14:paraId="727BABA7">
            <w:pPr>
              <w:pStyle w:val="47"/>
              <w:rPr>
                <w:rFonts w:hint="eastAsia" w:eastAsia="宋体"/>
                <w:color w:val="auto"/>
                <w:lang w:val="en-US" w:eastAsia="zh-CN"/>
              </w:rPr>
            </w:pPr>
            <w:r>
              <w:rPr>
                <w:rFonts w:hint="eastAsia"/>
                <w:color w:val="auto"/>
              </w:rPr>
              <w:t>梁端</w:t>
            </w:r>
            <w:r>
              <w:rPr>
                <w:rFonts w:hint="eastAsia"/>
                <w:color w:val="auto"/>
                <w:lang w:val="en-US" w:eastAsia="zh-CN"/>
              </w:rPr>
              <w:t>钢组件</w:t>
            </w:r>
          </w:p>
        </w:tc>
        <w:tc>
          <w:tcPr>
            <w:tcW w:w="3172" w:type="dxa"/>
            <w:gridSpan w:val="3"/>
            <w:vAlign w:val="center"/>
          </w:tcPr>
          <w:p w14:paraId="340336CC">
            <w:pPr>
              <w:pStyle w:val="47"/>
              <w:rPr>
                <w:color w:val="auto"/>
              </w:rPr>
            </w:pPr>
            <w:r>
              <w:rPr>
                <w:rFonts w:hint="eastAsia"/>
                <w:color w:val="auto"/>
              </w:rPr>
              <w:t>混凝土柱身</w:t>
            </w:r>
          </w:p>
        </w:tc>
        <w:tc>
          <w:tcPr>
            <w:tcW w:w="1586" w:type="dxa"/>
            <w:vAlign w:val="center"/>
          </w:tcPr>
          <w:p w14:paraId="4005F84C">
            <w:pPr>
              <w:pStyle w:val="47"/>
              <w:rPr>
                <w:rFonts w:hint="default" w:eastAsia="宋体"/>
                <w:color w:val="auto"/>
                <w:lang w:val="en-US" w:eastAsia="zh-CN"/>
              </w:rPr>
            </w:pPr>
            <w:r>
              <w:rPr>
                <w:rFonts w:hint="eastAsia"/>
                <w:color w:val="auto"/>
                <w:lang w:val="en-US" w:eastAsia="zh-CN"/>
              </w:rPr>
              <w:t>节点域钢组件、柱侧钢组件、</w:t>
            </w:r>
            <w:r>
              <w:rPr>
                <w:rFonts w:hint="eastAsia"/>
                <w:color w:val="auto"/>
              </w:rPr>
              <w:t>柱</w:t>
            </w:r>
            <w:r>
              <w:rPr>
                <w:rFonts w:hint="eastAsia"/>
                <w:color w:val="auto"/>
                <w:lang w:val="en-US" w:eastAsia="zh-CN"/>
              </w:rPr>
              <w:t>端钢组件</w:t>
            </w:r>
          </w:p>
        </w:tc>
        <w:tc>
          <w:tcPr>
            <w:tcW w:w="900" w:type="dxa"/>
            <w:vMerge w:val="continue"/>
            <w:vAlign w:val="center"/>
          </w:tcPr>
          <w:p w14:paraId="2567D3EB">
            <w:pPr>
              <w:pStyle w:val="47"/>
              <w:rPr>
                <w:color w:val="auto"/>
              </w:rPr>
            </w:pPr>
          </w:p>
        </w:tc>
      </w:tr>
      <w:tr w14:paraId="1A86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Align w:val="center"/>
          </w:tcPr>
          <w:p w14:paraId="4C92E21D">
            <w:pPr>
              <w:pStyle w:val="47"/>
              <w:rPr>
                <w:color w:val="auto"/>
              </w:rPr>
            </w:pPr>
            <w:r>
              <w:rPr>
                <w:rFonts w:hint="eastAsia"/>
                <w:color w:val="auto"/>
              </w:rPr>
              <w:t>受力状态</w:t>
            </w:r>
          </w:p>
        </w:tc>
        <w:tc>
          <w:tcPr>
            <w:tcW w:w="1198" w:type="dxa"/>
            <w:vAlign w:val="center"/>
          </w:tcPr>
          <w:p w14:paraId="461A6644">
            <w:pPr>
              <w:pStyle w:val="47"/>
              <w:rPr>
                <w:color w:val="auto"/>
              </w:rPr>
            </w:pPr>
            <w:r>
              <w:rPr>
                <w:rFonts w:hint="eastAsia"/>
                <w:color w:val="auto"/>
              </w:rPr>
              <w:t>受弯</w:t>
            </w:r>
          </w:p>
        </w:tc>
        <w:tc>
          <w:tcPr>
            <w:tcW w:w="1201" w:type="dxa"/>
            <w:vAlign w:val="center"/>
          </w:tcPr>
          <w:p w14:paraId="2F637BA5">
            <w:pPr>
              <w:pStyle w:val="47"/>
              <w:rPr>
                <w:color w:val="auto"/>
              </w:rPr>
            </w:pPr>
            <w:r>
              <w:rPr>
                <w:rFonts w:hint="eastAsia"/>
                <w:color w:val="auto"/>
              </w:rPr>
              <w:t>强度</w:t>
            </w:r>
          </w:p>
        </w:tc>
        <w:tc>
          <w:tcPr>
            <w:tcW w:w="1218" w:type="dxa"/>
            <w:vAlign w:val="center"/>
          </w:tcPr>
          <w:p w14:paraId="3F4827C1">
            <w:pPr>
              <w:pStyle w:val="47"/>
              <w:rPr>
                <w:color w:val="auto"/>
              </w:rPr>
            </w:pPr>
            <w:r>
              <w:rPr>
                <w:rFonts w:hint="eastAsia"/>
                <w:color w:val="auto"/>
              </w:rPr>
              <w:t>偏压</w:t>
            </w:r>
          </w:p>
          <w:p w14:paraId="68CCC3F5">
            <w:pPr>
              <w:pStyle w:val="47"/>
              <w:rPr>
                <w:color w:val="auto"/>
              </w:rPr>
            </w:pPr>
            <w:r>
              <w:rPr>
                <w:rFonts w:hint="eastAsia"/>
                <w:color w:val="auto"/>
              </w:rPr>
              <w:t>（轴压比小于0.15）</w:t>
            </w:r>
          </w:p>
        </w:tc>
        <w:tc>
          <w:tcPr>
            <w:tcW w:w="1290" w:type="dxa"/>
            <w:vAlign w:val="center"/>
          </w:tcPr>
          <w:p w14:paraId="0AC7EADE">
            <w:pPr>
              <w:pStyle w:val="47"/>
              <w:rPr>
                <w:color w:val="auto"/>
              </w:rPr>
            </w:pPr>
            <w:r>
              <w:rPr>
                <w:rFonts w:hint="eastAsia"/>
                <w:color w:val="auto"/>
              </w:rPr>
              <w:t>偏压</w:t>
            </w:r>
          </w:p>
          <w:p w14:paraId="7C5FE6AE">
            <w:pPr>
              <w:pStyle w:val="47"/>
              <w:rPr>
                <w:color w:val="auto"/>
              </w:rPr>
            </w:pPr>
            <w:r>
              <w:rPr>
                <w:rFonts w:hint="eastAsia"/>
                <w:color w:val="auto"/>
              </w:rPr>
              <w:t>（轴压比不小于0.15）</w:t>
            </w:r>
          </w:p>
        </w:tc>
        <w:tc>
          <w:tcPr>
            <w:tcW w:w="664" w:type="dxa"/>
            <w:vAlign w:val="center"/>
          </w:tcPr>
          <w:p w14:paraId="03EA040E">
            <w:pPr>
              <w:pStyle w:val="47"/>
              <w:rPr>
                <w:color w:val="auto"/>
              </w:rPr>
            </w:pPr>
            <w:r>
              <w:rPr>
                <w:rFonts w:hint="eastAsia"/>
                <w:color w:val="auto"/>
              </w:rPr>
              <w:t>受剪、偏拉</w:t>
            </w:r>
          </w:p>
        </w:tc>
        <w:tc>
          <w:tcPr>
            <w:tcW w:w="1586" w:type="dxa"/>
            <w:vAlign w:val="center"/>
          </w:tcPr>
          <w:p w14:paraId="04D0B90E">
            <w:pPr>
              <w:pStyle w:val="47"/>
              <w:rPr>
                <w:color w:val="auto"/>
              </w:rPr>
            </w:pPr>
            <w:r>
              <w:rPr>
                <w:rFonts w:hint="eastAsia"/>
                <w:color w:val="auto"/>
              </w:rPr>
              <w:t>强度</w:t>
            </w:r>
          </w:p>
        </w:tc>
        <w:tc>
          <w:tcPr>
            <w:tcW w:w="900" w:type="dxa"/>
            <w:vAlign w:val="center"/>
          </w:tcPr>
          <w:p w14:paraId="2109BCD2">
            <w:pPr>
              <w:pStyle w:val="47"/>
              <w:rPr>
                <w:color w:val="auto"/>
              </w:rPr>
            </w:pPr>
            <w:r>
              <w:rPr>
                <w:rFonts w:hint="eastAsia"/>
                <w:color w:val="auto"/>
              </w:rPr>
              <w:t>强度</w:t>
            </w:r>
          </w:p>
        </w:tc>
      </w:tr>
      <w:tr w14:paraId="1FCE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Align w:val="center"/>
          </w:tcPr>
          <w:p w14:paraId="652BE060">
            <w:pPr>
              <w:pStyle w:val="47"/>
              <w:rPr>
                <w:color w:val="auto"/>
              </w:rPr>
            </w:pPr>
            <w:r>
              <w:rPr>
                <w:i/>
                <w:iCs/>
                <w:color w:val="auto"/>
              </w:rPr>
              <w:t>γ</w:t>
            </w:r>
            <w:r>
              <w:rPr>
                <w:color w:val="auto"/>
                <w:vertAlign w:val="subscript"/>
              </w:rPr>
              <w:t>RE</w:t>
            </w:r>
          </w:p>
        </w:tc>
        <w:tc>
          <w:tcPr>
            <w:tcW w:w="1198" w:type="dxa"/>
            <w:vAlign w:val="center"/>
          </w:tcPr>
          <w:p w14:paraId="476F3BD2">
            <w:pPr>
              <w:pStyle w:val="47"/>
              <w:rPr>
                <w:color w:val="auto"/>
              </w:rPr>
            </w:pPr>
            <w:r>
              <w:rPr>
                <w:rFonts w:hint="eastAsia"/>
                <w:color w:val="auto"/>
              </w:rPr>
              <w:t>0.75</w:t>
            </w:r>
          </w:p>
        </w:tc>
        <w:tc>
          <w:tcPr>
            <w:tcW w:w="1201" w:type="dxa"/>
            <w:vAlign w:val="center"/>
          </w:tcPr>
          <w:p w14:paraId="5A26239F">
            <w:pPr>
              <w:pStyle w:val="47"/>
              <w:rPr>
                <w:color w:val="auto"/>
              </w:rPr>
            </w:pPr>
            <w:r>
              <w:rPr>
                <w:rFonts w:hint="eastAsia"/>
                <w:color w:val="auto"/>
              </w:rPr>
              <w:t>0.75</w:t>
            </w:r>
          </w:p>
        </w:tc>
        <w:tc>
          <w:tcPr>
            <w:tcW w:w="1218" w:type="dxa"/>
            <w:vAlign w:val="center"/>
          </w:tcPr>
          <w:p w14:paraId="09D8CBE4">
            <w:pPr>
              <w:pStyle w:val="47"/>
              <w:rPr>
                <w:color w:val="auto"/>
              </w:rPr>
            </w:pPr>
            <w:r>
              <w:rPr>
                <w:rFonts w:hint="eastAsia"/>
                <w:color w:val="auto"/>
              </w:rPr>
              <w:t>0.75</w:t>
            </w:r>
          </w:p>
        </w:tc>
        <w:tc>
          <w:tcPr>
            <w:tcW w:w="1290" w:type="dxa"/>
            <w:vAlign w:val="center"/>
          </w:tcPr>
          <w:p w14:paraId="5558AA4D">
            <w:pPr>
              <w:pStyle w:val="47"/>
              <w:rPr>
                <w:color w:val="auto"/>
              </w:rPr>
            </w:pPr>
            <w:r>
              <w:rPr>
                <w:rFonts w:hint="eastAsia"/>
                <w:color w:val="auto"/>
              </w:rPr>
              <w:t>0.8</w:t>
            </w:r>
          </w:p>
        </w:tc>
        <w:tc>
          <w:tcPr>
            <w:tcW w:w="664" w:type="dxa"/>
            <w:vAlign w:val="center"/>
          </w:tcPr>
          <w:p w14:paraId="3AEAECDA">
            <w:pPr>
              <w:pStyle w:val="47"/>
              <w:rPr>
                <w:color w:val="auto"/>
              </w:rPr>
            </w:pPr>
            <w:r>
              <w:rPr>
                <w:rFonts w:hint="eastAsia"/>
                <w:color w:val="auto"/>
              </w:rPr>
              <w:t>0.85</w:t>
            </w:r>
          </w:p>
        </w:tc>
        <w:tc>
          <w:tcPr>
            <w:tcW w:w="1586" w:type="dxa"/>
            <w:vAlign w:val="center"/>
          </w:tcPr>
          <w:p w14:paraId="7F728003">
            <w:pPr>
              <w:pStyle w:val="47"/>
              <w:rPr>
                <w:color w:val="auto"/>
              </w:rPr>
            </w:pPr>
            <w:r>
              <w:rPr>
                <w:rFonts w:hint="eastAsia"/>
                <w:color w:val="auto"/>
              </w:rPr>
              <w:t>0.75</w:t>
            </w:r>
          </w:p>
        </w:tc>
        <w:tc>
          <w:tcPr>
            <w:tcW w:w="900" w:type="dxa"/>
            <w:vAlign w:val="center"/>
          </w:tcPr>
          <w:p w14:paraId="39C29510">
            <w:pPr>
              <w:pStyle w:val="47"/>
              <w:rPr>
                <w:color w:val="auto"/>
              </w:rPr>
            </w:pPr>
            <w:r>
              <w:rPr>
                <w:rFonts w:hint="eastAsia"/>
                <w:color w:val="auto"/>
              </w:rPr>
              <w:t>0.75</w:t>
            </w:r>
          </w:p>
        </w:tc>
      </w:tr>
    </w:tbl>
    <w:p w14:paraId="36A9F288">
      <w:pPr>
        <w:ind w:firstLine="480"/>
      </w:pPr>
    </w:p>
    <w:p w14:paraId="04601200">
      <w:pPr>
        <w:pStyle w:val="42"/>
      </w:pPr>
      <w:r>
        <w:rPr>
          <w:rFonts w:hint="eastAsia"/>
          <w:color w:val="auto"/>
          <w:lang w:val="en-US" w:eastAsia="zh-CN"/>
        </w:rPr>
        <w:t>节点域钢组件中隔板与侧板的焊接，以及柱端钢组件中侧板与侧板、底板、顶板的焊接均应采用全熔透焊缝，焊缝质量等级应为一级。</w:t>
      </w:r>
    </w:p>
    <w:p w14:paraId="12A42F30">
      <w:pPr>
        <w:pStyle w:val="42"/>
      </w:pPr>
      <w:r>
        <w:rPr>
          <w:rFonts w:hint="eastAsia"/>
          <w:lang w:val="en-US" w:eastAsia="zh-CN"/>
        </w:rPr>
        <w:t>预制梁、预制柱</w:t>
      </w:r>
      <w:r>
        <w:rPr>
          <w:rFonts w:hint="eastAsia"/>
          <w:color w:val="auto"/>
        </w:rPr>
        <w:t>中纵向受力钢筋的混凝土保护层厚度大于50mm时，宜在混凝土保护层内采取有效的构造措施。</w:t>
      </w:r>
    </w:p>
    <w:p w14:paraId="45E97681">
      <w:pPr>
        <w:pStyle w:val="42"/>
        <w:numPr>
          <w:ilvl w:val="2"/>
          <w:numId w:val="0"/>
        </w:numPr>
        <w:jc w:val="center"/>
      </w:pPr>
      <w:r>
        <w:rPr>
          <w:rFonts w:hint="default"/>
          <w:b/>
          <w:bCs/>
          <w:color w:val="auto"/>
        </w:rPr>
        <w:t xml:space="preserve">Ⅱ </w:t>
      </w:r>
      <w:r>
        <w:rPr>
          <w:rFonts w:hint="default"/>
          <w:b/>
          <w:bCs/>
          <w:color w:val="auto"/>
          <w:lang w:val="en-US" w:eastAsia="zh-CN"/>
        </w:rPr>
        <w:t xml:space="preserve"> </w:t>
      </w:r>
      <w:r>
        <w:rPr>
          <w:rFonts w:hint="eastAsia" w:ascii="Times New Roman" w:hAnsi="Times New Roman" w:cs="Times New Roman"/>
          <w:b/>
          <w:bCs/>
          <w:color w:val="auto"/>
          <w:lang w:val="en-US" w:eastAsia="zh-CN"/>
        </w:rPr>
        <w:t>预制梁</w:t>
      </w:r>
    </w:p>
    <w:p w14:paraId="2FE0CA24">
      <w:pPr>
        <w:pStyle w:val="42"/>
      </w:pPr>
      <w:r>
        <w:rPr>
          <w:rFonts w:hint="eastAsia"/>
          <w:lang w:val="en-US" w:eastAsia="zh-CN"/>
        </w:rPr>
        <w:t>采用A型</w:t>
      </w:r>
      <w:r>
        <w:rPr>
          <w:rFonts w:hint="eastAsia" w:ascii="Times New Roman" w:hAnsi="Times New Roman" w:cs="Times New Roman"/>
          <w:lang w:val="en-US" w:eastAsia="zh-CN"/>
        </w:rPr>
        <w:t>梁柱连接</w:t>
      </w:r>
      <w:r>
        <w:rPr>
          <w:rFonts w:hint="eastAsia" w:cs="Times New Roman"/>
          <w:lang w:val="en-US" w:eastAsia="zh-CN"/>
        </w:rPr>
        <w:t>时，</w:t>
      </w:r>
      <w:r>
        <w:rPr>
          <w:rFonts w:hint="eastAsia" w:ascii="Times New Roman" w:hAnsi="Times New Roman" w:cs="Times New Roman"/>
          <w:lang w:val="en-US" w:eastAsia="zh-CN"/>
        </w:rPr>
        <w:t>预制梁</w:t>
      </w:r>
      <w:r>
        <w:rPr>
          <w:rFonts w:hint="eastAsia" w:cs="Times New Roman"/>
          <w:lang w:val="en-US" w:eastAsia="zh-CN"/>
        </w:rPr>
        <w:t>宜采用A型梁端钢组件，包括</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Ⅰ</w:t>
      </w:r>
      <w:r>
        <w:rPr>
          <w:rFonts w:hint="eastAsia"/>
          <w:color w:val="auto"/>
          <w:lang w:val="en-US" w:eastAsia="zh-CN"/>
        </w:rPr>
        <w:t>型、A</w:t>
      </w:r>
      <w:r>
        <w:rPr>
          <w:rFonts w:hint="default" w:ascii="Times New Roman" w:hAnsi="Times New Roman" w:eastAsia="微软雅黑" w:cs="Times New Roman"/>
          <w:color w:val="auto"/>
          <w:vertAlign w:val="subscript"/>
          <w:lang w:val="en-US" w:eastAsia="zh-CN"/>
        </w:rPr>
        <w:t>Ⅱ</w:t>
      </w:r>
      <w:r>
        <w:rPr>
          <w:rFonts w:hint="eastAsia"/>
          <w:color w:val="auto"/>
          <w:lang w:val="en-US" w:eastAsia="zh-CN"/>
        </w:rPr>
        <w:t>型两种</w:t>
      </w:r>
      <w:r>
        <w:rPr>
          <w:rFonts w:hint="eastAsia"/>
          <w:color w:val="auto"/>
        </w:rPr>
        <w:t>[图</w:t>
      </w:r>
      <w:r>
        <w:rPr>
          <w:rFonts w:hint="eastAsia"/>
          <w:color w:val="auto"/>
          <w:lang w:val="en-US" w:eastAsia="zh-CN"/>
        </w:rPr>
        <w:t>5.2.5(</w:t>
      </w:r>
      <w:r>
        <w:rPr>
          <w:color w:val="auto"/>
        </w:rPr>
        <w:t>a</w:t>
      </w:r>
      <w:r>
        <w:rPr>
          <w:rFonts w:hint="eastAsia"/>
          <w:color w:val="auto"/>
          <w:lang w:val="en-US" w:eastAsia="zh-CN"/>
        </w:rPr>
        <w:t>)</w:t>
      </w:r>
      <w:r>
        <w:rPr>
          <w:color w:val="auto"/>
        </w:rPr>
        <w:t>、</w:t>
      </w:r>
      <w:r>
        <w:rPr>
          <w:rFonts w:hint="eastAsia"/>
          <w:color w:val="auto"/>
        </w:rPr>
        <w:t>图</w:t>
      </w:r>
      <w:r>
        <w:rPr>
          <w:rFonts w:hint="eastAsia"/>
          <w:color w:val="auto"/>
          <w:lang w:val="en-US" w:eastAsia="zh-CN"/>
        </w:rPr>
        <w:t>5.2.5(b)</w:t>
      </w:r>
      <w:r>
        <w:rPr>
          <w:rFonts w:hint="eastAsia"/>
          <w:color w:val="auto"/>
        </w:rPr>
        <w:t>]</w:t>
      </w:r>
      <w:r>
        <w:rPr>
          <w:rFonts w:hint="eastAsia"/>
          <w:color w:val="auto"/>
          <w:lang w:eastAsia="zh-CN"/>
        </w:rPr>
        <w:t>；</w:t>
      </w:r>
      <w:r>
        <w:rPr>
          <w:rFonts w:hint="eastAsia"/>
          <w:color w:val="auto"/>
          <w:lang w:val="en-US" w:eastAsia="zh-CN"/>
        </w:rPr>
        <w:t>采用</w:t>
      </w:r>
      <w:r>
        <w:rPr>
          <w:rFonts w:hint="eastAsia"/>
          <w:lang w:val="en-US" w:eastAsia="zh-CN"/>
        </w:rPr>
        <w:t>B型</w:t>
      </w:r>
      <w:r>
        <w:rPr>
          <w:rFonts w:hint="eastAsia" w:ascii="Times New Roman" w:hAnsi="Times New Roman" w:cs="Times New Roman"/>
          <w:lang w:val="en-US" w:eastAsia="zh-CN"/>
        </w:rPr>
        <w:t>梁柱连接</w:t>
      </w:r>
      <w:r>
        <w:rPr>
          <w:rFonts w:hint="eastAsia" w:cs="Times New Roman"/>
          <w:lang w:val="en-US" w:eastAsia="zh-CN"/>
        </w:rPr>
        <w:t>时，</w:t>
      </w:r>
      <w:r>
        <w:rPr>
          <w:rFonts w:hint="eastAsia" w:ascii="Times New Roman" w:hAnsi="Times New Roman" w:cs="Times New Roman"/>
          <w:lang w:val="en-US" w:eastAsia="zh-CN"/>
        </w:rPr>
        <w:t>预制梁宜采用</w:t>
      </w:r>
      <w:r>
        <w:rPr>
          <w:rFonts w:hint="eastAsia"/>
          <w:color w:val="auto"/>
          <w:lang w:val="en-US" w:eastAsia="zh-CN"/>
        </w:rPr>
        <w:t>B型梁端钢组件连接</w:t>
      </w:r>
      <w:r>
        <w:rPr>
          <w:rFonts w:hint="eastAsia"/>
          <w:color w:val="auto"/>
        </w:rPr>
        <w:t>[图</w:t>
      </w:r>
      <w:r>
        <w:rPr>
          <w:rFonts w:hint="eastAsia"/>
          <w:color w:val="auto"/>
          <w:lang w:val="en-US" w:eastAsia="zh-CN"/>
        </w:rPr>
        <w:t>5.2.5(c)</w:t>
      </w:r>
      <w:r>
        <w:rPr>
          <w:rFonts w:hint="eastAsia"/>
          <w:color w:val="auto"/>
        </w:rPr>
        <w:t>]</w:t>
      </w:r>
      <w:r>
        <w:rPr>
          <w:rFonts w:hint="eastAsia"/>
          <w:color w:val="auto"/>
          <w:lang w:eastAsia="zh-CN"/>
        </w:rPr>
        <w:t>；</w:t>
      </w:r>
      <w:r>
        <w:rPr>
          <w:rFonts w:hint="eastAsia"/>
          <w:color w:val="auto"/>
          <w:lang w:val="en-US" w:eastAsia="zh-CN"/>
        </w:rPr>
        <w:t>采用</w:t>
      </w:r>
      <w:r>
        <w:rPr>
          <w:rFonts w:hint="eastAsia"/>
          <w:lang w:val="en-US" w:eastAsia="zh-CN"/>
        </w:rPr>
        <w:t>C型</w:t>
      </w:r>
      <w:r>
        <w:rPr>
          <w:rFonts w:hint="eastAsia" w:ascii="Times New Roman" w:hAnsi="Times New Roman" w:cs="Times New Roman"/>
          <w:lang w:val="en-US" w:eastAsia="zh-CN"/>
        </w:rPr>
        <w:t>梁柱连接</w:t>
      </w:r>
      <w:r>
        <w:rPr>
          <w:rFonts w:hint="eastAsia" w:cs="Times New Roman"/>
          <w:lang w:val="en-US" w:eastAsia="zh-CN"/>
        </w:rPr>
        <w:t>时，</w:t>
      </w:r>
      <w:r>
        <w:rPr>
          <w:rFonts w:hint="eastAsia" w:ascii="Times New Roman" w:hAnsi="Times New Roman" w:cs="Times New Roman"/>
          <w:lang w:val="en-US" w:eastAsia="zh-CN"/>
        </w:rPr>
        <w:t>预制梁宜采用</w:t>
      </w:r>
      <w:r>
        <w:rPr>
          <w:rFonts w:hint="eastAsia"/>
          <w:color w:val="auto"/>
          <w:lang w:val="en-US" w:eastAsia="zh-CN"/>
        </w:rPr>
        <w:t>C型梁端钢组件连接</w:t>
      </w:r>
      <w:r>
        <w:rPr>
          <w:rFonts w:hint="eastAsia"/>
          <w:color w:val="auto"/>
        </w:rPr>
        <w:t>[图</w:t>
      </w:r>
      <w:r>
        <w:rPr>
          <w:rFonts w:hint="eastAsia"/>
          <w:color w:val="auto"/>
          <w:lang w:val="en-US" w:eastAsia="zh-CN"/>
        </w:rPr>
        <w:t>5.2.5(d)</w:t>
      </w:r>
      <w:r>
        <w:rPr>
          <w:rFonts w:hint="eastAsia"/>
          <w:color w:val="auto"/>
        </w:rPr>
        <w:t>]</w:t>
      </w:r>
      <w:r>
        <w:rPr>
          <w:rFonts w:hint="eastAsia"/>
          <w:color w:val="auto"/>
          <w:lang w:val="en-US"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0133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vAlign w:val="center"/>
          </w:tcPr>
          <w:p w14:paraId="16A86445">
            <w:pPr>
              <w:pStyle w:val="45"/>
              <w:rPr>
                <w:rFonts w:hint="eastAsia"/>
                <w:color w:val="auto"/>
              </w:rPr>
            </w:pPr>
            <w:r>
              <w:drawing>
                <wp:inline distT="0" distB="0" distL="114300" distR="114300">
                  <wp:extent cx="1287145" cy="1080135"/>
                  <wp:effectExtent l="0" t="0" r="8255" b="5715"/>
                  <wp:docPr id="1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4"/>
                          <pic:cNvPicPr>
                            <a:picLocks noChangeAspect="1"/>
                          </pic:cNvPicPr>
                        </pic:nvPicPr>
                        <pic:blipFill>
                          <a:blip r:embed="rId89"/>
                          <a:stretch>
                            <a:fillRect/>
                          </a:stretch>
                        </pic:blipFill>
                        <pic:spPr>
                          <a:xfrm>
                            <a:off x="0" y="0"/>
                            <a:ext cx="1287145" cy="1080135"/>
                          </a:xfrm>
                          <a:prstGeom prst="rect">
                            <a:avLst/>
                          </a:prstGeom>
                          <a:noFill/>
                          <a:ln>
                            <a:noFill/>
                          </a:ln>
                        </pic:spPr>
                      </pic:pic>
                    </a:graphicData>
                  </a:graphic>
                </wp:inline>
              </w:drawing>
            </w:r>
          </w:p>
        </w:tc>
        <w:tc>
          <w:tcPr>
            <w:tcW w:w="4258" w:type="dxa"/>
            <w:vAlign w:val="center"/>
          </w:tcPr>
          <w:p w14:paraId="1B528F93">
            <w:pPr>
              <w:pStyle w:val="45"/>
              <w:rPr>
                <w:rFonts w:hint="eastAsia"/>
                <w:color w:val="auto"/>
              </w:rPr>
            </w:pPr>
            <w:r>
              <w:drawing>
                <wp:inline distT="0" distB="0" distL="114300" distR="114300">
                  <wp:extent cx="1310005" cy="1080135"/>
                  <wp:effectExtent l="0" t="0" r="4445" b="5715"/>
                  <wp:docPr id="1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5"/>
                          <pic:cNvPicPr>
                            <a:picLocks noChangeAspect="1"/>
                          </pic:cNvPicPr>
                        </pic:nvPicPr>
                        <pic:blipFill>
                          <a:blip r:embed="rId90"/>
                          <a:stretch>
                            <a:fillRect/>
                          </a:stretch>
                        </pic:blipFill>
                        <pic:spPr>
                          <a:xfrm>
                            <a:off x="0" y="0"/>
                            <a:ext cx="1310005" cy="1080135"/>
                          </a:xfrm>
                          <a:prstGeom prst="rect">
                            <a:avLst/>
                          </a:prstGeom>
                          <a:noFill/>
                          <a:ln>
                            <a:noFill/>
                          </a:ln>
                        </pic:spPr>
                      </pic:pic>
                    </a:graphicData>
                  </a:graphic>
                </wp:inline>
              </w:drawing>
            </w:r>
          </w:p>
        </w:tc>
      </w:tr>
      <w:tr w14:paraId="28C7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4736E3E1">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a</w:t>
            </w:r>
            <w:r>
              <w:rPr>
                <w:rFonts w:hint="eastAsia"/>
                <w:color w:val="auto"/>
              </w:rPr>
              <w:t>）</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Ⅰ</w:t>
            </w:r>
            <w:r>
              <w:rPr>
                <w:rFonts w:hint="eastAsia"/>
                <w:color w:val="auto"/>
                <w:lang w:val="en-US" w:eastAsia="zh-CN"/>
              </w:rPr>
              <w:t>型梁端钢组件</w:t>
            </w:r>
          </w:p>
        </w:tc>
        <w:tc>
          <w:tcPr>
            <w:tcW w:w="4258" w:type="dxa"/>
            <w:shd w:val="clear" w:color="auto" w:fill="auto"/>
            <w:vAlign w:val="center"/>
          </w:tcPr>
          <w:p w14:paraId="28F0EA28">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Ⅱ</w:t>
            </w:r>
            <w:r>
              <w:rPr>
                <w:rFonts w:hint="eastAsia"/>
                <w:color w:val="auto"/>
                <w:lang w:val="en-US" w:eastAsia="zh-CN"/>
              </w:rPr>
              <w:t>型梁端钢组件</w:t>
            </w:r>
          </w:p>
        </w:tc>
      </w:tr>
      <w:tr w14:paraId="4A3CD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vAlign w:val="center"/>
          </w:tcPr>
          <w:p w14:paraId="4AFAFD3E">
            <w:pPr>
              <w:pStyle w:val="45"/>
              <w:rPr>
                <w:rFonts w:hint="eastAsia"/>
                <w:color w:val="auto"/>
              </w:rPr>
            </w:pPr>
            <w:r>
              <w:drawing>
                <wp:inline distT="0" distB="0" distL="114300" distR="114300">
                  <wp:extent cx="1308735" cy="1080135"/>
                  <wp:effectExtent l="0" t="0" r="5715" b="5715"/>
                  <wp:docPr id="1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6"/>
                          <pic:cNvPicPr>
                            <a:picLocks noChangeAspect="1"/>
                          </pic:cNvPicPr>
                        </pic:nvPicPr>
                        <pic:blipFill>
                          <a:blip r:embed="rId91"/>
                          <a:stretch>
                            <a:fillRect/>
                          </a:stretch>
                        </pic:blipFill>
                        <pic:spPr>
                          <a:xfrm>
                            <a:off x="0" y="0"/>
                            <a:ext cx="1308735" cy="1080135"/>
                          </a:xfrm>
                          <a:prstGeom prst="rect">
                            <a:avLst/>
                          </a:prstGeom>
                          <a:noFill/>
                          <a:ln>
                            <a:noFill/>
                          </a:ln>
                        </pic:spPr>
                      </pic:pic>
                    </a:graphicData>
                  </a:graphic>
                </wp:inline>
              </w:drawing>
            </w:r>
          </w:p>
        </w:tc>
        <w:tc>
          <w:tcPr>
            <w:tcW w:w="4258" w:type="dxa"/>
            <w:vAlign w:val="center"/>
          </w:tcPr>
          <w:p w14:paraId="4A984BF1">
            <w:pPr>
              <w:pStyle w:val="45"/>
              <w:rPr>
                <w:rFonts w:hint="eastAsia"/>
                <w:color w:val="auto"/>
              </w:rPr>
            </w:pPr>
            <w:r>
              <w:drawing>
                <wp:inline distT="0" distB="0" distL="114300" distR="114300">
                  <wp:extent cx="1400175" cy="1080135"/>
                  <wp:effectExtent l="0" t="0" r="9525" b="5715"/>
                  <wp:docPr id="1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7"/>
                          <pic:cNvPicPr>
                            <a:picLocks noChangeAspect="1"/>
                          </pic:cNvPicPr>
                        </pic:nvPicPr>
                        <pic:blipFill>
                          <a:blip r:embed="rId92"/>
                          <a:stretch>
                            <a:fillRect/>
                          </a:stretch>
                        </pic:blipFill>
                        <pic:spPr>
                          <a:xfrm>
                            <a:off x="0" y="0"/>
                            <a:ext cx="1400175" cy="1080135"/>
                          </a:xfrm>
                          <a:prstGeom prst="rect">
                            <a:avLst/>
                          </a:prstGeom>
                          <a:noFill/>
                          <a:ln>
                            <a:noFill/>
                          </a:ln>
                        </pic:spPr>
                      </pic:pic>
                    </a:graphicData>
                  </a:graphic>
                </wp:inline>
              </w:drawing>
            </w:r>
          </w:p>
        </w:tc>
      </w:tr>
      <w:tr w14:paraId="626F0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258" w:type="dxa"/>
            <w:shd w:val="clear" w:color="auto" w:fill="auto"/>
            <w:vAlign w:val="center"/>
          </w:tcPr>
          <w:p w14:paraId="74D0716E">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c</w:t>
            </w:r>
            <w:r>
              <w:rPr>
                <w:rFonts w:hint="eastAsia"/>
                <w:color w:val="auto"/>
              </w:rPr>
              <w:t>）</w:t>
            </w:r>
            <w:r>
              <w:rPr>
                <w:rFonts w:hint="eastAsia"/>
                <w:color w:val="auto"/>
                <w:lang w:val="en-US" w:eastAsia="zh-CN"/>
              </w:rPr>
              <w:t>B型梁端钢组件</w:t>
            </w:r>
          </w:p>
        </w:tc>
        <w:tc>
          <w:tcPr>
            <w:tcW w:w="4258" w:type="dxa"/>
            <w:shd w:val="clear" w:color="auto" w:fill="auto"/>
            <w:vAlign w:val="center"/>
          </w:tcPr>
          <w:p w14:paraId="55425F7B">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d</w:t>
            </w:r>
            <w:r>
              <w:rPr>
                <w:rFonts w:hint="eastAsia"/>
                <w:color w:val="auto"/>
              </w:rPr>
              <w:t>）</w:t>
            </w:r>
            <w:r>
              <w:rPr>
                <w:rFonts w:hint="eastAsia"/>
                <w:color w:val="auto"/>
                <w:lang w:val="en-US" w:eastAsia="zh-CN"/>
              </w:rPr>
              <w:t>C型梁端钢组件</w:t>
            </w:r>
          </w:p>
        </w:tc>
      </w:tr>
    </w:tbl>
    <w:p w14:paraId="73D3838E">
      <w:pPr>
        <w:pStyle w:val="45"/>
        <w:rPr>
          <w:color w:val="auto"/>
        </w:rPr>
      </w:pPr>
    </w:p>
    <w:p w14:paraId="4100072A">
      <w:pPr>
        <w:pStyle w:val="45"/>
        <w:rPr>
          <w:rFonts w:hint="default" w:eastAsia="黑体"/>
          <w:color w:val="auto"/>
          <w:lang w:val="en-US" w:eastAsia="zh-CN"/>
        </w:rPr>
      </w:pPr>
      <w:r>
        <w:rPr>
          <w:color w:val="auto"/>
        </w:rPr>
        <w:t>1—</w:t>
      </w:r>
      <w:r>
        <w:rPr>
          <w:rFonts w:hint="eastAsia"/>
          <w:color w:val="auto"/>
          <w:lang w:val="en-US" w:eastAsia="zh-CN"/>
        </w:rPr>
        <w:t>腹板</w:t>
      </w:r>
      <w:r>
        <w:rPr>
          <w:color w:val="auto"/>
        </w:rPr>
        <w:t>；2—</w:t>
      </w:r>
      <w:r>
        <w:rPr>
          <w:rFonts w:hint="eastAsia"/>
          <w:color w:val="auto"/>
          <w:lang w:val="en-US" w:eastAsia="zh-CN"/>
        </w:rPr>
        <w:t>螺栓孔</w:t>
      </w:r>
      <w:r>
        <w:rPr>
          <w:rFonts w:hint="eastAsia"/>
          <w:color w:val="auto"/>
        </w:rPr>
        <w:t>；3</w:t>
      </w:r>
      <w:r>
        <w:rPr>
          <w:color w:val="auto"/>
        </w:rPr>
        <w:t>—</w:t>
      </w:r>
      <w:r>
        <w:rPr>
          <w:rFonts w:hint="eastAsia"/>
          <w:color w:val="auto"/>
          <w:lang w:val="en-US" w:eastAsia="zh-CN"/>
        </w:rPr>
        <w:t>翼缘</w:t>
      </w:r>
      <w:r>
        <w:rPr>
          <w:rFonts w:hint="eastAsia"/>
          <w:color w:val="auto"/>
        </w:rPr>
        <w:t>；4</w:t>
      </w:r>
      <w:r>
        <w:rPr>
          <w:color w:val="auto"/>
        </w:rPr>
        <w:t>—</w:t>
      </w:r>
      <w:r>
        <w:rPr>
          <w:rFonts w:hint="eastAsia"/>
          <w:color w:val="auto"/>
          <w:lang w:val="en-US" w:eastAsia="zh-CN"/>
        </w:rPr>
        <w:t>抗剪栓钉；5</w:t>
      </w:r>
      <w:r>
        <w:rPr>
          <w:color w:val="auto"/>
        </w:rPr>
        <w:t>—</w:t>
      </w:r>
      <w:r>
        <w:rPr>
          <w:rFonts w:hint="eastAsia"/>
          <w:color w:val="auto"/>
          <w:lang w:val="en-US" w:eastAsia="zh-CN"/>
        </w:rPr>
        <w:t>过浆孔</w:t>
      </w:r>
    </w:p>
    <w:p w14:paraId="4F81416C">
      <w:pPr>
        <w:pStyle w:val="45"/>
        <w:rPr>
          <w:rFonts w:hint="eastAsia"/>
          <w:color w:val="auto"/>
        </w:rPr>
      </w:pPr>
      <w:r>
        <w:rPr>
          <w:rFonts w:hint="eastAsia"/>
          <w:color w:val="auto"/>
        </w:rPr>
        <w:t>图</w:t>
      </w:r>
      <w:r>
        <w:rPr>
          <w:rFonts w:hint="eastAsia"/>
          <w:color w:val="auto"/>
          <w:lang w:val="en-US" w:eastAsia="zh-CN"/>
        </w:rPr>
        <w:t>5</w:t>
      </w:r>
      <w:r>
        <w:rPr>
          <w:rFonts w:hint="eastAsia"/>
          <w:color w:val="auto"/>
        </w:rPr>
        <w:t>.2.</w:t>
      </w:r>
      <w:r>
        <w:rPr>
          <w:rFonts w:hint="eastAsia"/>
          <w:color w:val="auto"/>
          <w:lang w:val="en-US" w:eastAsia="zh-CN"/>
        </w:rPr>
        <w:t>5</w:t>
      </w:r>
      <w:r>
        <w:rPr>
          <w:color w:val="auto"/>
        </w:rPr>
        <w:t xml:space="preserve"> </w:t>
      </w:r>
      <w:r>
        <w:rPr>
          <w:rFonts w:hint="eastAsia"/>
          <w:color w:val="auto"/>
        </w:rPr>
        <w:t xml:space="preserve"> </w:t>
      </w:r>
      <w:r>
        <w:rPr>
          <w:rFonts w:hint="eastAsia"/>
          <w:color w:val="auto"/>
          <w:lang w:val="en-US" w:eastAsia="zh-CN"/>
        </w:rPr>
        <w:t>梁端钢组件</w:t>
      </w:r>
      <w:r>
        <w:rPr>
          <w:rFonts w:hint="eastAsia"/>
          <w:color w:val="auto"/>
        </w:rPr>
        <w:t>示意</w:t>
      </w:r>
    </w:p>
    <w:p w14:paraId="2D335732">
      <w:pPr>
        <w:pStyle w:val="45"/>
        <w:rPr>
          <w:rFonts w:hint="eastAsia"/>
          <w:color w:val="auto"/>
        </w:rPr>
      </w:pPr>
    </w:p>
    <w:p w14:paraId="51B5BDA2">
      <w:pPr>
        <w:pStyle w:val="42"/>
      </w:pPr>
      <w:r>
        <w:rPr>
          <w:rFonts w:hint="eastAsia"/>
        </w:rPr>
        <w:t>预制梁由混凝土梁身和梁端钢</w:t>
      </w:r>
      <w:r>
        <w:rPr>
          <w:rFonts w:hint="eastAsia"/>
          <w:lang w:val="en-US" w:eastAsia="zh-CN"/>
        </w:rPr>
        <w:t>组</w:t>
      </w:r>
      <w:r>
        <w:rPr>
          <w:rFonts w:hint="eastAsia"/>
        </w:rPr>
        <w:t>件组成，可采用全预制形式或叠合形式（图</w:t>
      </w:r>
      <w:r>
        <w:rPr>
          <w:rFonts w:hint="eastAsia"/>
          <w:lang w:val="en-US" w:eastAsia="zh-CN"/>
        </w:rPr>
        <w:t>5</w:t>
      </w:r>
      <w:r>
        <w:rPr>
          <w:rFonts w:hint="eastAsia"/>
        </w:rPr>
        <w:t>.2.</w:t>
      </w:r>
      <w:r>
        <w:rPr>
          <w:rFonts w:hint="eastAsia"/>
          <w:lang w:val="en-US" w:eastAsia="zh-CN"/>
        </w:rPr>
        <w:t>6</w:t>
      </w:r>
      <w:r>
        <w:rPr>
          <w:rFonts w:hint="eastAsia"/>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29A45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vAlign w:val="center"/>
          </w:tcPr>
          <w:p w14:paraId="677B7895">
            <w:pPr>
              <w:pStyle w:val="48"/>
              <w:rPr>
                <w:color w:val="auto"/>
              </w:rPr>
            </w:pPr>
            <w:r>
              <w:drawing>
                <wp:inline distT="0" distB="0" distL="114300" distR="114300">
                  <wp:extent cx="1440180" cy="1440180"/>
                  <wp:effectExtent l="0" t="0" r="7620" b="7620"/>
                  <wp:docPr id="10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53"/>
                          <pic:cNvPicPr>
                            <a:picLocks noChangeAspect="1"/>
                          </pic:cNvPicPr>
                        </pic:nvPicPr>
                        <pic:blipFill>
                          <a:blip r:embed="rId93"/>
                          <a:stretch>
                            <a:fillRect/>
                          </a:stretch>
                        </pic:blipFill>
                        <pic:spPr>
                          <a:xfrm>
                            <a:off x="0" y="0"/>
                            <a:ext cx="1440180" cy="1440180"/>
                          </a:xfrm>
                          <a:prstGeom prst="rect">
                            <a:avLst/>
                          </a:prstGeom>
                          <a:noFill/>
                          <a:ln>
                            <a:noFill/>
                          </a:ln>
                        </pic:spPr>
                      </pic:pic>
                    </a:graphicData>
                  </a:graphic>
                </wp:inline>
              </w:drawing>
            </w:r>
          </w:p>
        </w:tc>
        <w:tc>
          <w:tcPr>
            <w:tcW w:w="4258" w:type="dxa"/>
            <w:vAlign w:val="center"/>
          </w:tcPr>
          <w:p w14:paraId="5349C940">
            <w:pPr>
              <w:pStyle w:val="48"/>
              <w:rPr>
                <w:color w:val="auto"/>
              </w:rPr>
            </w:pPr>
            <w:r>
              <w:drawing>
                <wp:inline distT="0" distB="0" distL="114300" distR="114300">
                  <wp:extent cx="1404620" cy="1440180"/>
                  <wp:effectExtent l="0" t="0" r="5080" b="7620"/>
                  <wp:docPr id="102"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5"/>
                          <pic:cNvPicPr>
                            <a:picLocks noChangeAspect="1"/>
                          </pic:cNvPicPr>
                        </pic:nvPicPr>
                        <pic:blipFill>
                          <a:blip r:embed="rId94"/>
                          <a:stretch>
                            <a:fillRect/>
                          </a:stretch>
                        </pic:blipFill>
                        <pic:spPr>
                          <a:xfrm>
                            <a:off x="0" y="0"/>
                            <a:ext cx="1404620" cy="1440180"/>
                          </a:xfrm>
                          <a:prstGeom prst="rect">
                            <a:avLst/>
                          </a:prstGeom>
                          <a:noFill/>
                          <a:ln>
                            <a:noFill/>
                          </a:ln>
                        </pic:spPr>
                      </pic:pic>
                    </a:graphicData>
                  </a:graphic>
                </wp:inline>
              </w:drawing>
            </w:r>
          </w:p>
        </w:tc>
      </w:tr>
      <w:tr w14:paraId="484E1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vAlign w:val="center"/>
          </w:tcPr>
          <w:p w14:paraId="16345243">
            <w:pPr>
              <w:pStyle w:val="45"/>
              <w:rPr>
                <w:rFonts w:hint="eastAsia" w:eastAsia="黑体"/>
                <w:color w:val="auto"/>
                <w:lang w:eastAsia="zh-CN"/>
              </w:rPr>
            </w:pPr>
            <w:r>
              <w:rPr>
                <w:rFonts w:hint="eastAsia"/>
                <w:color w:val="auto"/>
              </w:rPr>
              <w:t>（</w:t>
            </w:r>
            <w:r>
              <w:rPr>
                <w:color w:val="auto"/>
              </w:rPr>
              <w:t>a</w:t>
            </w:r>
            <w:r>
              <w:rPr>
                <w:rFonts w:hint="eastAsia"/>
                <w:color w:val="auto"/>
              </w:rPr>
              <w:t>）</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Ⅰ</w:t>
            </w:r>
            <w:r>
              <w:rPr>
                <w:rFonts w:hint="eastAsia"/>
                <w:color w:val="auto"/>
                <w:lang w:val="en-US" w:eastAsia="zh-CN"/>
              </w:rPr>
              <w:t>型</w:t>
            </w:r>
            <w:r>
              <w:rPr>
                <w:rFonts w:hint="eastAsia"/>
                <w:color w:val="auto"/>
              </w:rPr>
              <w:t>全预制梁</w:t>
            </w:r>
          </w:p>
        </w:tc>
        <w:tc>
          <w:tcPr>
            <w:tcW w:w="4258" w:type="dxa"/>
            <w:vAlign w:val="center"/>
          </w:tcPr>
          <w:p w14:paraId="481544A1">
            <w:pPr>
              <w:pStyle w:val="45"/>
              <w:rPr>
                <w:rFonts w:hint="eastAsia" w:eastAsia="黑体"/>
                <w:color w:val="auto"/>
                <w:lang w:eastAsia="zh-CN"/>
              </w:rP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Ⅱ</w:t>
            </w:r>
            <w:r>
              <w:rPr>
                <w:rFonts w:hint="eastAsia"/>
                <w:color w:val="auto"/>
                <w:lang w:val="en-US" w:eastAsia="zh-CN"/>
              </w:rPr>
              <w:t>型</w:t>
            </w:r>
            <w:r>
              <w:rPr>
                <w:rFonts w:hint="eastAsia"/>
                <w:color w:val="auto"/>
              </w:rPr>
              <w:t>全预制梁</w:t>
            </w:r>
          </w:p>
        </w:tc>
      </w:tr>
      <w:tr w14:paraId="4EA18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vAlign w:val="center"/>
          </w:tcPr>
          <w:p w14:paraId="10444BDA">
            <w:pPr>
              <w:pStyle w:val="45"/>
              <w:rPr>
                <w:rFonts w:hint="eastAsia"/>
                <w:color w:val="auto"/>
              </w:rPr>
            </w:pPr>
            <w:r>
              <w:drawing>
                <wp:inline distT="0" distB="0" distL="114300" distR="114300">
                  <wp:extent cx="1456055" cy="1440180"/>
                  <wp:effectExtent l="0" t="0" r="10795" b="7620"/>
                  <wp:docPr id="104"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57"/>
                          <pic:cNvPicPr>
                            <a:picLocks noChangeAspect="1"/>
                          </pic:cNvPicPr>
                        </pic:nvPicPr>
                        <pic:blipFill>
                          <a:blip r:embed="rId95"/>
                          <a:stretch>
                            <a:fillRect/>
                          </a:stretch>
                        </pic:blipFill>
                        <pic:spPr>
                          <a:xfrm>
                            <a:off x="0" y="0"/>
                            <a:ext cx="1456055" cy="1440180"/>
                          </a:xfrm>
                          <a:prstGeom prst="rect">
                            <a:avLst/>
                          </a:prstGeom>
                          <a:noFill/>
                          <a:ln>
                            <a:noFill/>
                          </a:ln>
                        </pic:spPr>
                      </pic:pic>
                    </a:graphicData>
                  </a:graphic>
                </wp:inline>
              </w:drawing>
            </w:r>
          </w:p>
        </w:tc>
        <w:tc>
          <w:tcPr>
            <w:tcW w:w="4258" w:type="dxa"/>
            <w:vAlign w:val="center"/>
          </w:tcPr>
          <w:p w14:paraId="65A179FF">
            <w:pPr>
              <w:pStyle w:val="45"/>
              <w:rPr>
                <w:rFonts w:hint="eastAsia"/>
                <w:color w:val="auto"/>
              </w:rPr>
            </w:pPr>
            <w:r>
              <w:drawing>
                <wp:inline distT="0" distB="0" distL="114300" distR="114300">
                  <wp:extent cx="1620520" cy="1440180"/>
                  <wp:effectExtent l="0" t="0" r="17780" b="7620"/>
                  <wp:docPr id="105"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58"/>
                          <pic:cNvPicPr>
                            <a:picLocks noChangeAspect="1"/>
                          </pic:cNvPicPr>
                        </pic:nvPicPr>
                        <pic:blipFill>
                          <a:blip r:embed="rId96"/>
                          <a:stretch>
                            <a:fillRect/>
                          </a:stretch>
                        </pic:blipFill>
                        <pic:spPr>
                          <a:xfrm>
                            <a:off x="0" y="0"/>
                            <a:ext cx="1620520" cy="1440180"/>
                          </a:xfrm>
                          <a:prstGeom prst="rect">
                            <a:avLst/>
                          </a:prstGeom>
                          <a:noFill/>
                          <a:ln>
                            <a:noFill/>
                          </a:ln>
                        </pic:spPr>
                      </pic:pic>
                    </a:graphicData>
                  </a:graphic>
                </wp:inline>
              </w:drawing>
            </w:r>
          </w:p>
        </w:tc>
      </w:tr>
      <w:tr w14:paraId="37C15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55327DE7">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c</w:t>
            </w:r>
            <w:r>
              <w:rPr>
                <w:rFonts w:hint="eastAsia"/>
                <w:color w:val="auto"/>
              </w:rPr>
              <w:t>）</w:t>
            </w:r>
            <w:r>
              <w:rPr>
                <w:rFonts w:hint="eastAsia"/>
                <w:color w:val="auto"/>
                <w:lang w:val="en-US" w:eastAsia="zh-CN"/>
              </w:rPr>
              <w:t>B型</w:t>
            </w:r>
            <w:r>
              <w:rPr>
                <w:rFonts w:hint="eastAsia"/>
                <w:color w:val="auto"/>
              </w:rPr>
              <w:t>全预制梁</w:t>
            </w:r>
          </w:p>
        </w:tc>
        <w:tc>
          <w:tcPr>
            <w:tcW w:w="4258" w:type="dxa"/>
            <w:shd w:val="clear" w:color="auto" w:fill="auto"/>
            <w:vAlign w:val="center"/>
          </w:tcPr>
          <w:p w14:paraId="4DE8B72E">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d</w:t>
            </w:r>
            <w:r>
              <w:rPr>
                <w:rFonts w:hint="eastAsia"/>
                <w:color w:val="auto"/>
              </w:rPr>
              <w:t>）</w:t>
            </w:r>
            <w:r>
              <w:rPr>
                <w:rFonts w:hint="eastAsia"/>
                <w:color w:val="auto"/>
                <w:lang w:val="en-US" w:eastAsia="zh-CN"/>
              </w:rPr>
              <w:t>B型</w:t>
            </w:r>
            <w:r>
              <w:rPr>
                <w:rFonts w:hint="eastAsia"/>
                <w:color w:val="auto"/>
              </w:rPr>
              <w:t>叠合梁</w:t>
            </w:r>
          </w:p>
        </w:tc>
      </w:tr>
      <w:tr w14:paraId="05C75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vAlign w:val="center"/>
          </w:tcPr>
          <w:p w14:paraId="70A2DDA0">
            <w:pPr>
              <w:pStyle w:val="45"/>
              <w:rPr>
                <w:rFonts w:hint="eastAsia"/>
                <w:color w:val="auto"/>
              </w:rPr>
            </w:pPr>
            <w:r>
              <w:drawing>
                <wp:inline distT="0" distB="0" distL="114300" distR="114300">
                  <wp:extent cx="1419225" cy="1440180"/>
                  <wp:effectExtent l="0" t="0" r="9525" b="7620"/>
                  <wp:docPr id="106"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59"/>
                          <pic:cNvPicPr>
                            <a:picLocks noChangeAspect="1"/>
                          </pic:cNvPicPr>
                        </pic:nvPicPr>
                        <pic:blipFill>
                          <a:blip r:embed="rId97"/>
                          <a:stretch>
                            <a:fillRect/>
                          </a:stretch>
                        </pic:blipFill>
                        <pic:spPr>
                          <a:xfrm>
                            <a:off x="0" y="0"/>
                            <a:ext cx="1419225" cy="1440180"/>
                          </a:xfrm>
                          <a:prstGeom prst="rect">
                            <a:avLst/>
                          </a:prstGeom>
                          <a:noFill/>
                          <a:ln>
                            <a:noFill/>
                          </a:ln>
                        </pic:spPr>
                      </pic:pic>
                    </a:graphicData>
                  </a:graphic>
                </wp:inline>
              </w:drawing>
            </w:r>
          </w:p>
        </w:tc>
        <w:tc>
          <w:tcPr>
            <w:tcW w:w="4258" w:type="dxa"/>
            <w:vAlign w:val="center"/>
          </w:tcPr>
          <w:p w14:paraId="4F60992C">
            <w:pPr>
              <w:pStyle w:val="45"/>
              <w:rPr>
                <w:rFonts w:hint="eastAsia"/>
                <w:color w:val="auto"/>
              </w:rPr>
            </w:pPr>
            <w:r>
              <w:drawing>
                <wp:inline distT="0" distB="0" distL="114300" distR="114300">
                  <wp:extent cx="1575435" cy="1440180"/>
                  <wp:effectExtent l="0" t="0" r="5715" b="7620"/>
                  <wp:docPr id="107"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60"/>
                          <pic:cNvPicPr>
                            <a:picLocks noChangeAspect="1"/>
                          </pic:cNvPicPr>
                        </pic:nvPicPr>
                        <pic:blipFill>
                          <a:blip r:embed="rId98"/>
                          <a:stretch>
                            <a:fillRect/>
                          </a:stretch>
                        </pic:blipFill>
                        <pic:spPr>
                          <a:xfrm>
                            <a:off x="0" y="0"/>
                            <a:ext cx="1575435" cy="1440180"/>
                          </a:xfrm>
                          <a:prstGeom prst="rect">
                            <a:avLst/>
                          </a:prstGeom>
                          <a:noFill/>
                          <a:ln>
                            <a:noFill/>
                          </a:ln>
                        </pic:spPr>
                      </pic:pic>
                    </a:graphicData>
                  </a:graphic>
                </wp:inline>
              </w:drawing>
            </w:r>
          </w:p>
        </w:tc>
      </w:tr>
      <w:tr w14:paraId="115E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7591D0DB">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e</w:t>
            </w:r>
            <w:r>
              <w:rPr>
                <w:rFonts w:hint="eastAsia"/>
                <w:color w:val="auto"/>
              </w:rPr>
              <w:t>）</w:t>
            </w:r>
            <w:r>
              <w:rPr>
                <w:rFonts w:hint="eastAsia"/>
                <w:color w:val="auto"/>
                <w:lang w:val="en-US" w:eastAsia="zh-CN"/>
              </w:rPr>
              <w:t>C型</w:t>
            </w:r>
            <w:r>
              <w:rPr>
                <w:rFonts w:hint="eastAsia"/>
                <w:color w:val="auto"/>
              </w:rPr>
              <w:t>全预制梁</w:t>
            </w:r>
          </w:p>
        </w:tc>
        <w:tc>
          <w:tcPr>
            <w:tcW w:w="4258" w:type="dxa"/>
            <w:shd w:val="clear" w:color="auto" w:fill="auto"/>
            <w:vAlign w:val="center"/>
          </w:tcPr>
          <w:p w14:paraId="03A67BE6">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f</w:t>
            </w:r>
            <w:r>
              <w:rPr>
                <w:rFonts w:hint="eastAsia"/>
                <w:color w:val="auto"/>
              </w:rPr>
              <w:t>）</w:t>
            </w:r>
            <w:r>
              <w:rPr>
                <w:rFonts w:hint="eastAsia"/>
                <w:color w:val="auto"/>
                <w:lang w:val="en-US" w:eastAsia="zh-CN"/>
              </w:rPr>
              <w:t>C型</w:t>
            </w:r>
            <w:r>
              <w:rPr>
                <w:rFonts w:hint="eastAsia"/>
                <w:color w:val="auto"/>
              </w:rPr>
              <w:t>叠合梁</w:t>
            </w:r>
          </w:p>
        </w:tc>
      </w:tr>
    </w:tbl>
    <w:p w14:paraId="19C9EAE9">
      <w:pPr>
        <w:pStyle w:val="45"/>
        <w:rPr>
          <w:color w:val="auto"/>
        </w:rPr>
      </w:pPr>
    </w:p>
    <w:p w14:paraId="2BF056AD">
      <w:pPr>
        <w:pStyle w:val="45"/>
        <w:rPr>
          <w:color w:val="auto"/>
        </w:rPr>
      </w:pPr>
      <w:r>
        <w:rPr>
          <w:color w:val="auto"/>
        </w:rPr>
        <w:t>1—</w:t>
      </w:r>
      <w:r>
        <w:rPr>
          <w:rFonts w:hint="eastAsia"/>
          <w:color w:val="auto"/>
        </w:rPr>
        <w:t>梁端钢</w:t>
      </w:r>
      <w:r>
        <w:rPr>
          <w:rFonts w:hint="eastAsia"/>
          <w:color w:val="auto"/>
          <w:lang w:val="en-US" w:eastAsia="zh-CN"/>
        </w:rPr>
        <w:t>组</w:t>
      </w:r>
      <w:r>
        <w:rPr>
          <w:rFonts w:hint="eastAsia"/>
          <w:color w:val="auto"/>
        </w:rPr>
        <w:t>件</w:t>
      </w:r>
      <w:r>
        <w:rPr>
          <w:color w:val="auto"/>
        </w:rPr>
        <w:t>；2—混凝土梁</w:t>
      </w:r>
      <w:r>
        <w:rPr>
          <w:rFonts w:hint="eastAsia"/>
          <w:color w:val="auto"/>
        </w:rPr>
        <w:t>身；3</w:t>
      </w:r>
      <w:r>
        <w:rPr>
          <w:color w:val="auto"/>
        </w:rPr>
        <w:t>—</w:t>
      </w:r>
      <w:r>
        <w:rPr>
          <w:rFonts w:hint="eastAsia"/>
          <w:color w:val="auto"/>
        </w:rPr>
        <w:t>叠合层；4</w:t>
      </w:r>
      <w:r>
        <w:rPr>
          <w:color w:val="auto"/>
        </w:rPr>
        <w:t>—</w:t>
      </w:r>
      <w:r>
        <w:rPr>
          <w:rFonts w:hint="eastAsia"/>
          <w:color w:val="auto"/>
        </w:rPr>
        <w:t>叠合梁预制部分</w:t>
      </w:r>
    </w:p>
    <w:p w14:paraId="0C2A4106">
      <w:pPr>
        <w:pStyle w:val="45"/>
        <w:rPr>
          <w:rFonts w:hint="eastAsia"/>
          <w:color w:val="auto"/>
        </w:rPr>
      </w:pPr>
      <w:r>
        <w:rPr>
          <w:rFonts w:hint="eastAsia"/>
          <w:color w:val="auto"/>
        </w:rPr>
        <w:t>图</w:t>
      </w:r>
      <w:r>
        <w:rPr>
          <w:rFonts w:hint="eastAsia"/>
          <w:color w:val="auto"/>
          <w:lang w:val="en-US" w:eastAsia="zh-CN"/>
        </w:rPr>
        <w:t>5</w:t>
      </w:r>
      <w:r>
        <w:rPr>
          <w:rFonts w:hint="eastAsia"/>
          <w:color w:val="auto"/>
        </w:rPr>
        <w:t>.2.</w:t>
      </w:r>
      <w:r>
        <w:rPr>
          <w:rFonts w:hint="eastAsia"/>
          <w:color w:val="auto"/>
          <w:lang w:val="en-US" w:eastAsia="zh-CN"/>
        </w:rPr>
        <w:t>6</w:t>
      </w:r>
      <w:r>
        <w:rPr>
          <w:color w:val="auto"/>
        </w:rPr>
        <w:t xml:space="preserve"> </w:t>
      </w:r>
      <w:r>
        <w:rPr>
          <w:rFonts w:hint="eastAsia"/>
          <w:color w:val="auto"/>
        </w:rPr>
        <w:t xml:space="preserve"> 预制梁示意</w:t>
      </w:r>
    </w:p>
    <w:p w14:paraId="477D66AC">
      <w:pPr>
        <w:pStyle w:val="45"/>
        <w:rPr>
          <w:rFonts w:hint="eastAsia"/>
          <w:color w:val="auto"/>
        </w:rPr>
      </w:pPr>
    </w:p>
    <w:p w14:paraId="3ACF25B9">
      <w:pPr>
        <w:pStyle w:val="42"/>
      </w:pPr>
      <w:r>
        <w:rPr>
          <w:rFonts w:hint="eastAsia"/>
        </w:rPr>
        <w:t>混凝土梁身的截面尺寸应符合下列</w:t>
      </w:r>
      <w:r>
        <w:rPr>
          <w:rFonts w:hint="eastAsia"/>
          <w:lang w:val="en-US" w:eastAsia="zh-CN"/>
        </w:rPr>
        <w:t>规定</w:t>
      </w:r>
      <w:r>
        <w:rPr>
          <w:rFonts w:hint="eastAsia"/>
        </w:rPr>
        <w:t>：</w:t>
      </w:r>
    </w:p>
    <w:p w14:paraId="5B2F014C">
      <w:pPr>
        <w:pStyle w:val="43"/>
        <w:tabs>
          <w:tab w:val="left" w:pos="420"/>
        </w:tabs>
        <w:ind w:firstLine="480"/>
        <w:rPr>
          <w:color w:val="auto"/>
        </w:rPr>
      </w:pPr>
      <w:r>
        <w:rPr>
          <w:rFonts w:hint="eastAsia"/>
          <w:color w:val="auto"/>
        </w:rPr>
        <w:t>截面宽度不应小于200mm；</w:t>
      </w:r>
    </w:p>
    <w:p w14:paraId="105BC597">
      <w:pPr>
        <w:pStyle w:val="43"/>
        <w:tabs>
          <w:tab w:val="left" w:pos="420"/>
        </w:tabs>
        <w:ind w:firstLine="480"/>
        <w:rPr>
          <w:color w:val="auto"/>
        </w:rPr>
      </w:pPr>
      <w:r>
        <w:rPr>
          <w:rFonts w:hint="eastAsia"/>
          <w:color w:val="auto"/>
        </w:rPr>
        <w:t>截面高宽比不宜大于4；</w:t>
      </w:r>
    </w:p>
    <w:p w14:paraId="54211A62">
      <w:pPr>
        <w:pStyle w:val="43"/>
        <w:tabs>
          <w:tab w:val="left" w:pos="420"/>
        </w:tabs>
        <w:ind w:firstLine="480"/>
        <w:rPr>
          <w:color w:val="auto"/>
        </w:rPr>
      </w:pPr>
      <w:r>
        <w:rPr>
          <w:rFonts w:hint="eastAsia"/>
          <w:color w:val="auto"/>
        </w:rPr>
        <w:t>净跨与截面高度之比不宜小于4；</w:t>
      </w:r>
    </w:p>
    <w:p w14:paraId="622239F2">
      <w:pPr>
        <w:pStyle w:val="43"/>
        <w:tabs>
          <w:tab w:val="left" w:pos="420"/>
        </w:tabs>
        <w:ind w:firstLine="480"/>
        <w:rPr>
          <w:color w:val="auto"/>
        </w:rPr>
      </w:pPr>
      <w:r>
        <w:rPr>
          <w:rFonts w:hint="eastAsia"/>
          <w:color w:val="auto"/>
        </w:rPr>
        <w:t>叠合梁的叠合层厚度不宜小于150mm。</w:t>
      </w:r>
    </w:p>
    <w:p w14:paraId="28AD2A4D">
      <w:pPr>
        <w:pStyle w:val="42"/>
        <w:bidi w:val="0"/>
      </w:pPr>
      <w:r>
        <w:rPr>
          <w:rFonts w:hint="eastAsia"/>
        </w:rPr>
        <w:t>混凝土梁身的钢筋配置</w:t>
      </w:r>
      <w:r>
        <w:rPr>
          <w:rFonts w:hint="eastAsia"/>
          <w:lang w:val="en-US" w:eastAsia="zh-CN"/>
        </w:rPr>
        <w:t>除应满足</w:t>
      </w:r>
      <w:r>
        <w:rPr>
          <w:rFonts w:hint="eastAsia"/>
        </w:rPr>
        <w:t>现行国家标准《建筑抗震设计</w:t>
      </w:r>
      <w:r>
        <w:rPr>
          <w:rFonts w:hint="eastAsia"/>
          <w:lang w:val="en-US" w:eastAsia="zh-CN"/>
        </w:rPr>
        <w:t>标准</w:t>
      </w:r>
      <w:r>
        <w:rPr>
          <w:rFonts w:hint="eastAsia"/>
        </w:rPr>
        <w:t>》GB</w:t>
      </w:r>
      <w:r>
        <w:rPr>
          <w:rFonts w:hint="eastAsia"/>
          <w:lang w:val="en-US" w:eastAsia="zh-CN"/>
        </w:rPr>
        <w:t>/T</w:t>
      </w:r>
      <w:r>
        <w:rPr>
          <w:rFonts w:hint="eastAsia"/>
        </w:rPr>
        <w:t xml:space="preserve"> 50011的有关规定</w:t>
      </w:r>
      <w:r>
        <w:rPr>
          <w:rFonts w:hint="eastAsia"/>
          <w:lang w:val="en-US" w:eastAsia="zh-CN"/>
        </w:rPr>
        <w:t>外</w:t>
      </w:r>
      <w:r>
        <w:rPr>
          <w:rFonts w:hint="eastAsia"/>
          <w:lang w:eastAsia="zh-CN"/>
        </w:rPr>
        <w:t>，</w:t>
      </w:r>
      <w:r>
        <w:rPr>
          <w:rFonts w:hint="eastAsia"/>
          <w:lang w:val="en-US" w:eastAsia="zh-CN"/>
        </w:rPr>
        <w:t>尚</w:t>
      </w:r>
      <w:r>
        <w:rPr>
          <w:rFonts w:hint="eastAsia"/>
        </w:rPr>
        <w:t>应符合</w:t>
      </w:r>
      <w:r>
        <w:rPr>
          <w:rFonts w:hint="eastAsia"/>
          <w:lang w:val="en-US" w:eastAsia="zh-CN"/>
        </w:rPr>
        <w:t>下列规定</w:t>
      </w:r>
      <w:r>
        <w:rPr>
          <w:rFonts w:hint="eastAsia"/>
        </w:rPr>
        <w:t>：</w:t>
      </w:r>
    </w:p>
    <w:p w14:paraId="17A31AE3">
      <w:pPr>
        <w:pStyle w:val="43"/>
        <w:tabs>
          <w:tab w:val="left" w:pos="420"/>
        </w:tabs>
        <w:ind w:firstLine="480" w:firstLineChars="0"/>
        <w:outlineLvl w:val="2"/>
        <w:rPr>
          <w:rFonts w:hint="eastAsia" w:ascii="Times New Roman" w:hAnsi="Times New Roman" w:eastAsia="宋体" w:cs="Times New Roman"/>
          <w:color w:val="auto"/>
        </w:rPr>
      </w:pPr>
      <w:r>
        <w:rPr>
          <w:rFonts w:hint="eastAsia" w:cs="Times New Roman"/>
          <w:color w:val="auto"/>
          <w:lang w:val="en-US" w:eastAsia="zh-CN"/>
        </w:rPr>
        <w:t>与钢组件连接的</w:t>
      </w:r>
      <w:r>
        <w:rPr>
          <w:rFonts w:hint="eastAsia" w:ascii="Times New Roman" w:hAnsi="Times New Roman" w:eastAsia="宋体" w:cs="Times New Roman"/>
          <w:color w:val="auto"/>
        </w:rPr>
        <w:t>纵向受力钢筋层数不应超过</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层</w:t>
      </w:r>
      <w:r>
        <w:rPr>
          <w:rFonts w:hint="eastAsia" w:ascii="Times New Roman" w:hAnsi="Times New Roman" w:eastAsia="宋体" w:cs="Times New Roman"/>
          <w:color w:val="auto"/>
          <w:lang w:eastAsia="zh-CN"/>
        </w:rPr>
        <w:t>；</w:t>
      </w:r>
    </w:p>
    <w:p w14:paraId="55C06707">
      <w:pPr>
        <w:pStyle w:val="43"/>
        <w:tabs>
          <w:tab w:val="left" w:pos="420"/>
        </w:tabs>
        <w:ind w:firstLine="480" w:firstLineChars="0"/>
        <w:outlineLvl w:val="2"/>
        <w:rPr>
          <w:rFonts w:hint="eastAsia" w:ascii="Times New Roman" w:hAnsi="Times New Roman" w:eastAsia="宋体" w:cs="Times New Roman"/>
          <w:color w:val="auto"/>
        </w:rPr>
      </w:pPr>
      <w:r>
        <w:rPr>
          <w:rFonts w:hint="eastAsia" w:ascii="Times New Roman" w:hAnsi="Times New Roman" w:eastAsia="宋体" w:cs="Times New Roman"/>
          <w:color w:val="auto"/>
        </w:rPr>
        <w:t>箍筋加密区长度</w:t>
      </w:r>
      <w:r>
        <w:rPr>
          <w:rFonts w:hint="eastAsia" w:ascii="Times New Roman" w:hAnsi="Times New Roman" w:eastAsia="宋体" w:cs="Times New Roman"/>
          <w:i/>
          <w:iCs/>
          <w:color w:val="auto"/>
        </w:rPr>
        <w:t>L</w:t>
      </w:r>
      <w:r>
        <w:rPr>
          <w:rFonts w:hint="eastAsia" w:ascii="Times New Roman" w:hAnsi="Times New Roman" w:eastAsia="宋体" w:cs="Times New Roman"/>
          <w:color w:val="auto"/>
          <w:vertAlign w:val="subscript"/>
        </w:rPr>
        <w:t>d</w:t>
      </w:r>
      <w:r>
        <w:rPr>
          <w:rFonts w:hint="eastAsia" w:ascii="Times New Roman" w:hAnsi="Times New Roman" w:eastAsia="宋体" w:cs="Times New Roman"/>
          <w:color w:val="auto"/>
        </w:rPr>
        <w:t>应</w:t>
      </w:r>
      <w:r>
        <w:rPr>
          <w:rFonts w:hint="eastAsia" w:cs="Times New Roman"/>
          <w:color w:val="auto"/>
          <w:lang w:val="en-US" w:eastAsia="zh-CN"/>
        </w:rPr>
        <w:t>从</w:t>
      </w:r>
      <w:r>
        <w:rPr>
          <w:rFonts w:hint="eastAsia"/>
          <w:lang w:val="en-US" w:eastAsia="zh-CN"/>
        </w:rPr>
        <w:t>钢组件伸入梁身内的端部</w:t>
      </w:r>
      <w:r>
        <w:rPr>
          <w:rFonts w:hint="eastAsia" w:ascii="Times New Roman" w:hAnsi="Times New Roman" w:eastAsia="宋体" w:cs="Times New Roman"/>
          <w:color w:val="auto"/>
        </w:rPr>
        <w:t>开始起算（图</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.2.</w:t>
      </w:r>
      <w:r>
        <w:rPr>
          <w:rFonts w:hint="eastAsia" w:ascii="Times New Roman" w:hAnsi="Times New Roman" w:eastAsia="宋体" w:cs="Times New Roman"/>
          <w:color w:val="auto"/>
          <w:lang w:val="en-US" w:eastAsia="zh-CN"/>
        </w:rPr>
        <w:t>8</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w:t>
      </w:r>
    </w:p>
    <w:p w14:paraId="6A2EC9F8">
      <w:pPr>
        <w:pStyle w:val="43"/>
        <w:tabs>
          <w:tab w:val="left" w:pos="420"/>
        </w:tabs>
        <w:ind w:firstLine="480" w:firstLineChars="0"/>
        <w:outlineLvl w:val="2"/>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梁端</w:t>
      </w:r>
      <w:r>
        <w:rPr>
          <w:rFonts w:hint="eastAsia" w:ascii="Times New Roman" w:hAnsi="Times New Roman" w:eastAsia="宋体" w:cs="Times New Roman"/>
          <w:color w:val="auto"/>
        </w:rPr>
        <w:t>钢组件伸入梁身并延伸</w:t>
      </w:r>
      <w:r>
        <w:rPr>
          <w:rFonts w:hint="eastAsia" w:ascii="Times New Roman" w:hAnsi="Times New Roman" w:eastAsia="宋体" w:cs="Times New Roman"/>
          <w:color w:val="auto"/>
          <w:lang w:val="en-US" w:eastAsia="zh-CN"/>
        </w:rPr>
        <w:t>截面高度</w:t>
      </w:r>
      <w:r>
        <w:rPr>
          <w:rFonts w:hint="eastAsia" w:ascii="Times New Roman" w:hAnsi="Times New Roman" w:eastAsia="宋体" w:cs="Times New Roman"/>
          <w:i/>
          <w:iCs/>
          <w:color w:val="auto"/>
        </w:rPr>
        <w:t>h</w:t>
      </w:r>
      <w:r>
        <w:rPr>
          <w:rFonts w:hint="eastAsia" w:ascii="Times New Roman" w:hAnsi="Times New Roman" w:eastAsia="宋体" w:cs="Times New Roman"/>
          <w:color w:val="auto"/>
          <w:vertAlign w:val="subscript"/>
        </w:rPr>
        <w:t>b</w:t>
      </w:r>
      <w:r>
        <w:rPr>
          <w:rFonts w:hint="eastAsia" w:ascii="Times New Roman" w:hAnsi="Times New Roman" w:eastAsia="宋体" w:cs="Times New Roman"/>
          <w:color w:val="auto"/>
          <w:lang w:val="en-US" w:eastAsia="zh-CN"/>
        </w:rPr>
        <w:t>一半</w:t>
      </w:r>
      <w:r>
        <w:rPr>
          <w:rFonts w:hint="eastAsia" w:ascii="Times New Roman" w:hAnsi="Times New Roman" w:eastAsia="宋体" w:cs="Times New Roman"/>
          <w:color w:val="auto"/>
        </w:rPr>
        <w:t>的范围内</w:t>
      </w:r>
      <w:r>
        <w:rPr>
          <w:rFonts w:hint="eastAsia" w:ascii="Times New Roman" w:hAnsi="Times New Roman" w:eastAsia="宋体" w:cs="Times New Roman"/>
          <w:color w:val="auto"/>
          <w:lang w:val="en-US" w:eastAsia="zh-CN"/>
        </w:rPr>
        <w:t>应设置箍筋加强区</w:t>
      </w:r>
      <w:r>
        <w:rPr>
          <w:rFonts w:hint="eastAsia" w:ascii="Times New Roman" w:hAnsi="Times New Roman" w:eastAsia="宋体" w:cs="Times New Roman"/>
          <w:i/>
          <w:iCs/>
          <w:color w:val="auto"/>
        </w:rPr>
        <w:t>L</w:t>
      </w:r>
      <w:r>
        <w:rPr>
          <w:rFonts w:hint="eastAsia" w:ascii="Times New Roman" w:hAnsi="Times New Roman" w:eastAsia="宋体" w:cs="Times New Roman"/>
          <w:color w:val="auto"/>
          <w:vertAlign w:val="subscript"/>
          <w:lang w:val="en-US" w:eastAsia="zh-CN"/>
        </w:rPr>
        <w:t>q</w:t>
      </w:r>
      <w:r>
        <w:rPr>
          <w:rFonts w:hint="eastAsia" w:ascii="Times New Roman" w:hAnsi="Times New Roman" w:eastAsia="宋体" w:cs="Times New Roman"/>
          <w:color w:val="auto"/>
        </w:rPr>
        <w:t>，箍筋间距不应大于50mm</w:t>
      </w:r>
      <w:r>
        <w:rPr>
          <w:rFonts w:hint="eastAsia" w:ascii="Times New Roman" w:hAnsi="Times New Roman" w:eastAsia="宋体" w:cs="Times New Roman"/>
          <w:color w:val="auto"/>
          <w:lang w:val="en-US" w:eastAsia="zh-CN"/>
        </w:rPr>
        <w:t>且配置在同一截面内箍筋各肢的全部截面面积同</w:t>
      </w:r>
      <w:r>
        <w:rPr>
          <w:rFonts w:hint="eastAsia" w:ascii="Times New Roman" w:hAnsi="Times New Roman" w:eastAsia="宋体" w:cs="Times New Roman"/>
          <w:color w:val="auto"/>
        </w:rPr>
        <w:t>箍筋加密区（图</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.2.</w:t>
      </w:r>
      <w:r>
        <w:rPr>
          <w:rFonts w:hint="eastAsia" w:ascii="Times New Roman" w:hAnsi="Times New Roman" w:eastAsia="宋体" w:cs="Times New Roman"/>
          <w:color w:val="auto"/>
          <w:lang w:val="en-US" w:eastAsia="zh-CN"/>
        </w:rPr>
        <w:t>8</w:t>
      </w:r>
      <w:r>
        <w:rPr>
          <w:rFonts w:hint="eastAsia" w:ascii="Times New Roman" w:hAnsi="Times New Roman" w:eastAsia="宋体" w:cs="Times New Roman"/>
          <w:color w:val="auto"/>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14:paraId="129C4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shd w:val="clear" w:color="auto" w:fill="auto"/>
            <w:vAlign w:val="center"/>
          </w:tcPr>
          <w:p w14:paraId="41F534F9">
            <w:pPr>
              <w:pStyle w:val="45"/>
              <w:ind w:firstLine="0" w:firstLineChars="0"/>
              <w:rPr>
                <w:rFonts w:hint="eastAsia" w:ascii="Times New Roman" w:hAnsi="Times New Roman" w:eastAsia="黑体" w:cs="Times New Roman"/>
                <w:color w:val="auto"/>
                <w:kern w:val="2"/>
                <w:sz w:val="21"/>
                <w:szCs w:val="21"/>
                <w:lang w:val="en-US" w:eastAsia="zh-CN" w:bidi="ar-SA"/>
              </w:rPr>
            </w:pPr>
            <w:r>
              <w:drawing>
                <wp:inline distT="0" distB="0" distL="114300" distR="114300">
                  <wp:extent cx="2338070" cy="1440180"/>
                  <wp:effectExtent l="0" t="0" r="5080" b="7620"/>
                  <wp:docPr id="2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8"/>
                          <pic:cNvPicPr>
                            <a:picLocks noChangeAspect="1"/>
                          </pic:cNvPicPr>
                        </pic:nvPicPr>
                        <pic:blipFill>
                          <a:blip r:embed="rId99"/>
                          <a:stretch>
                            <a:fillRect/>
                          </a:stretch>
                        </pic:blipFill>
                        <pic:spPr>
                          <a:xfrm>
                            <a:off x="0" y="0"/>
                            <a:ext cx="2338070" cy="1440180"/>
                          </a:xfrm>
                          <a:prstGeom prst="rect">
                            <a:avLst/>
                          </a:prstGeom>
                          <a:noFill/>
                          <a:ln>
                            <a:noFill/>
                          </a:ln>
                        </pic:spPr>
                      </pic:pic>
                    </a:graphicData>
                  </a:graphic>
                </wp:inline>
              </w:drawing>
            </w:r>
          </w:p>
        </w:tc>
      </w:tr>
    </w:tbl>
    <w:p w14:paraId="577EB436">
      <w:pPr>
        <w:pStyle w:val="45"/>
        <w:rPr>
          <w:color w:val="auto"/>
        </w:rPr>
      </w:pPr>
    </w:p>
    <w:p w14:paraId="7790F41D">
      <w:pPr>
        <w:pStyle w:val="45"/>
        <w:rPr>
          <w:rFonts w:hint="default" w:eastAsia="黑体"/>
          <w:color w:val="auto"/>
          <w:lang w:val="en-US" w:eastAsia="zh-CN"/>
        </w:rPr>
      </w:pPr>
      <w:r>
        <w:rPr>
          <w:color w:val="auto"/>
        </w:rPr>
        <w:t>1—</w:t>
      </w:r>
      <w:r>
        <w:rPr>
          <w:rFonts w:hint="eastAsia"/>
          <w:color w:val="auto"/>
        </w:rPr>
        <w:t>梁端钢</w:t>
      </w:r>
      <w:r>
        <w:rPr>
          <w:rFonts w:hint="eastAsia"/>
          <w:color w:val="auto"/>
          <w:lang w:val="en-US" w:eastAsia="zh-CN"/>
        </w:rPr>
        <w:t>组</w:t>
      </w:r>
      <w:r>
        <w:rPr>
          <w:rFonts w:hint="eastAsia"/>
          <w:color w:val="auto"/>
        </w:rPr>
        <w:t>件</w:t>
      </w:r>
      <w:r>
        <w:rPr>
          <w:color w:val="auto"/>
        </w:rPr>
        <w:t>；2—混凝土梁</w:t>
      </w:r>
      <w:r>
        <w:rPr>
          <w:rFonts w:hint="eastAsia"/>
          <w:color w:val="auto"/>
        </w:rPr>
        <w:t>身；3</w:t>
      </w:r>
      <w:r>
        <w:rPr>
          <w:color w:val="auto"/>
        </w:rPr>
        <w:t>—</w:t>
      </w:r>
      <w:r>
        <w:rPr>
          <w:rFonts w:hint="eastAsia"/>
          <w:color w:val="auto"/>
          <w:lang w:val="en-US" w:eastAsia="zh-CN"/>
        </w:rPr>
        <w:t>梁身纵筋</w:t>
      </w:r>
      <w:r>
        <w:rPr>
          <w:rFonts w:hint="eastAsia"/>
          <w:color w:val="auto"/>
        </w:rPr>
        <w:t>；</w:t>
      </w:r>
      <w:r>
        <w:rPr>
          <w:rFonts w:hint="eastAsia"/>
          <w:color w:val="auto"/>
          <w:lang w:val="en-US" w:eastAsia="zh-CN"/>
        </w:rPr>
        <w:t>4</w:t>
      </w:r>
      <w:r>
        <w:rPr>
          <w:color w:val="auto"/>
        </w:rPr>
        <w:t>—</w:t>
      </w:r>
      <w:r>
        <w:rPr>
          <w:rFonts w:hint="eastAsia"/>
          <w:color w:val="auto"/>
          <w:lang w:val="en-US" w:eastAsia="zh-CN"/>
        </w:rPr>
        <w:t>梁身箍筋</w:t>
      </w:r>
    </w:p>
    <w:p w14:paraId="52B8C45A">
      <w:pPr>
        <w:pStyle w:val="45"/>
        <w:rPr>
          <w:rFonts w:hint="eastAsia"/>
          <w:color w:val="auto"/>
        </w:rPr>
      </w:pPr>
      <w:r>
        <w:rPr>
          <w:rFonts w:hint="eastAsia"/>
          <w:color w:val="auto"/>
        </w:rPr>
        <w:t>图</w:t>
      </w:r>
      <w:r>
        <w:rPr>
          <w:rFonts w:hint="eastAsia"/>
          <w:color w:val="auto"/>
          <w:lang w:val="en-US" w:eastAsia="zh-CN"/>
        </w:rPr>
        <w:t>5</w:t>
      </w:r>
      <w:r>
        <w:rPr>
          <w:rFonts w:hint="eastAsia"/>
          <w:color w:val="auto"/>
        </w:rPr>
        <w:t>.2.</w:t>
      </w:r>
      <w:r>
        <w:rPr>
          <w:rFonts w:hint="eastAsia"/>
          <w:color w:val="auto"/>
          <w:lang w:val="en-US" w:eastAsia="zh-CN"/>
        </w:rPr>
        <w:t>8</w:t>
      </w:r>
      <w:r>
        <w:rPr>
          <w:color w:val="auto"/>
        </w:rPr>
        <w:t xml:space="preserve"> </w:t>
      </w:r>
      <w:r>
        <w:rPr>
          <w:rFonts w:hint="eastAsia"/>
          <w:color w:val="auto"/>
        </w:rPr>
        <w:t xml:space="preserve"> </w:t>
      </w:r>
      <w:r>
        <w:rPr>
          <w:rFonts w:hint="eastAsia"/>
          <w:color w:val="auto"/>
          <w:lang w:val="en-US" w:eastAsia="zh-CN"/>
        </w:rPr>
        <w:t>预制梁箍筋加密区和加强区</w:t>
      </w:r>
      <w:r>
        <w:rPr>
          <w:rFonts w:hint="eastAsia"/>
          <w:color w:val="auto"/>
        </w:rPr>
        <w:t>示意</w:t>
      </w:r>
    </w:p>
    <w:p w14:paraId="2B8614B9">
      <w:pPr>
        <w:pStyle w:val="45"/>
        <w:rPr>
          <w:rFonts w:hint="eastAsia"/>
          <w:color w:val="auto"/>
        </w:rPr>
      </w:pPr>
    </w:p>
    <w:p w14:paraId="4DFD7278">
      <w:pPr>
        <w:numPr>
          <w:ilvl w:val="2"/>
          <w:numId w:val="2"/>
        </w:numPr>
        <w:ind w:firstLineChars="0"/>
        <w:outlineLvl w:val="2"/>
        <w:rPr>
          <w:color w:val="auto"/>
        </w:rPr>
      </w:pPr>
      <w:r>
        <w:rPr>
          <w:rFonts w:hint="eastAsia"/>
          <w:color w:val="auto"/>
        </w:rPr>
        <w:t>梁端钢</w:t>
      </w:r>
      <w:r>
        <w:rPr>
          <w:rFonts w:hint="eastAsia"/>
          <w:color w:val="auto"/>
          <w:lang w:val="en-US" w:eastAsia="zh-CN"/>
        </w:rPr>
        <w:t>组</w:t>
      </w:r>
      <w:r>
        <w:rPr>
          <w:rFonts w:hint="eastAsia"/>
          <w:color w:val="auto"/>
        </w:rPr>
        <w:t>件的截面及构造应符合下列规定（图</w:t>
      </w:r>
      <w:r>
        <w:rPr>
          <w:rFonts w:hint="eastAsia"/>
          <w:color w:val="auto"/>
          <w:lang w:val="en-US" w:eastAsia="zh-CN"/>
        </w:rPr>
        <w:t>5</w:t>
      </w:r>
      <w:r>
        <w:rPr>
          <w:rFonts w:hint="eastAsia"/>
          <w:color w:val="auto"/>
        </w:rPr>
        <w:t>.2.</w:t>
      </w:r>
      <w:r>
        <w:rPr>
          <w:rFonts w:hint="eastAsia"/>
          <w:color w:val="auto"/>
          <w:lang w:val="en-US" w:eastAsia="zh-CN"/>
        </w:rPr>
        <w:t>9</w:t>
      </w:r>
      <w:r>
        <w:rPr>
          <w:rFonts w:hint="eastAsia"/>
          <w:color w:val="auto"/>
        </w:rPr>
        <w:t>）：</w:t>
      </w:r>
    </w:p>
    <w:p w14:paraId="151D705E">
      <w:pPr>
        <w:pStyle w:val="43"/>
        <w:tabs>
          <w:tab w:val="left" w:pos="420"/>
        </w:tabs>
        <w:ind w:firstLine="480"/>
        <w:rPr>
          <w:color w:val="auto"/>
        </w:rPr>
      </w:pPr>
      <w:r>
        <w:rPr>
          <w:rFonts w:hint="eastAsia"/>
          <w:color w:val="auto"/>
        </w:rPr>
        <w:t>钢</w:t>
      </w:r>
      <w:r>
        <w:rPr>
          <w:rFonts w:hint="eastAsia"/>
          <w:color w:val="auto"/>
          <w:lang w:val="en-US" w:eastAsia="zh-CN"/>
        </w:rPr>
        <w:t>组</w:t>
      </w:r>
      <w:r>
        <w:rPr>
          <w:rFonts w:hint="eastAsia"/>
          <w:color w:val="auto"/>
        </w:rPr>
        <w:t>件应相对混凝土梁身居中布置，侧面至混凝土表面的距离应满足最外侧箍筋的保护层厚度要求</w:t>
      </w:r>
      <w:r>
        <w:rPr>
          <w:rFonts w:hint="eastAsia"/>
          <w:color w:val="auto"/>
          <w:lang w:eastAsia="zh-CN"/>
        </w:rPr>
        <w:t>，</w:t>
      </w:r>
      <w:r>
        <w:rPr>
          <w:rFonts w:hint="eastAsia"/>
          <w:color w:val="auto"/>
        </w:rPr>
        <w:t>上、下翼缘表面至混凝土表面的距离不应小于50mm，</w:t>
      </w:r>
      <w:r>
        <w:rPr>
          <w:rFonts w:hint="eastAsia"/>
          <w:color w:val="auto"/>
          <w:lang w:val="en-US" w:eastAsia="zh-CN"/>
        </w:rPr>
        <w:t>当采用A、B型钢组件时，尚</w:t>
      </w:r>
      <w:r>
        <w:rPr>
          <w:rFonts w:hint="eastAsia"/>
          <w:color w:val="auto"/>
        </w:rPr>
        <w:t>不宜大于80mm；</w:t>
      </w:r>
    </w:p>
    <w:p w14:paraId="5C7342FD">
      <w:pPr>
        <w:pStyle w:val="43"/>
        <w:tabs>
          <w:tab w:val="left" w:pos="420"/>
        </w:tabs>
        <w:ind w:firstLine="480"/>
        <w:rPr>
          <w:color w:val="auto"/>
        </w:rPr>
      </w:pPr>
      <w:r>
        <w:rPr>
          <w:rFonts w:hint="eastAsia"/>
          <w:color w:val="auto"/>
        </w:rPr>
        <w:t>钢</w:t>
      </w:r>
      <w:r>
        <w:rPr>
          <w:rFonts w:hint="eastAsia"/>
          <w:color w:val="auto"/>
          <w:lang w:val="en-US" w:eastAsia="zh-CN"/>
        </w:rPr>
        <w:t>组</w:t>
      </w:r>
      <w:r>
        <w:rPr>
          <w:rFonts w:hint="eastAsia"/>
          <w:color w:val="auto"/>
        </w:rPr>
        <w:t>件翼缘的厚度不应小于12mm</w:t>
      </w:r>
      <w:r>
        <w:rPr>
          <w:rFonts w:hint="eastAsia"/>
          <w:color w:val="auto"/>
          <w:lang w:eastAsia="zh-CN"/>
        </w:rPr>
        <w:t>，</w:t>
      </w:r>
      <w:r>
        <w:rPr>
          <w:rFonts w:hint="eastAsia"/>
          <w:color w:val="auto"/>
        </w:rPr>
        <w:t>宽厚比</w:t>
      </w:r>
      <w:r>
        <w:rPr>
          <w:rFonts w:hint="eastAsia"/>
          <w:color w:val="auto"/>
          <w:lang w:val="en-US" w:eastAsia="zh-CN"/>
        </w:rPr>
        <w:t>宜</w:t>
      </w:r>
      <w:r>
        <w:rPr>
          <w:rFonts w:hint="eastAsia"/>
          <w:color w:val="auto"/>
        </w:rPr>
        <w:t>符合现行国家标准《建筑抗震设计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50011的有关规定；</w:t>
      </w:r>
    </w:p>
    <w:p w14:paraId="1AD37504">
      <w:pPr>
        <w:pStyle w:val="43"/>
        <w:tabs>
          <w:tab w:val="left" w:pos="420"/>
        </w:tabs>
        <w:ind w:firstLine="480"/>
        <w:rPr>
          <w:color w:val="auto"/>
        </w:rPr>
      </w:pPr>
      <w:r>
        <w:rPr>
          <w:rFonts w:hint="eastAsia"/>
          <w:color w:val="auto"/>
        </w:rPr>
        <w:t>腹板的厚度不应小于6mm；</w:t>
      </w:r>
    </w:p>
    <w:p w14:paraId="55DB330F">
      <w:pPr>
        <w:pStyle w:val="43"/>
        <w:tabs>
          <w:tab w:val="left" w:pos="420"/>
        </w:tabs>
        <w:ind w:firstLine="480"/>
        <w:rPr>
          <w:color w:val="auto"/>
        </w:rPr>
      </w:pPr>
      <w:r>
        <w:rPr>
          <w:rFonts w:hint="eastAsia"/>
          <w:color w:val="auto"/>
        </w:rPr>
        <w:t>钢</w:t>
      </w:r>
      <w:r>
        <w:rPr>
          <w:rFonts w:hint="eastAsia"/>
          <w:color w:val="auto"/>
          <w:lang w:val="en-US" w:eastAsia="zh-CN"/>
        </w:rPr>
        <w:t>组</w:t>
      </w:r>
      <w:r>
        <w:rPr>
          <w:rFonts w:hint="eastAsia"/>
          <w:color w:val="auto"/>
        </w:rPr>
        <w:t>件埋入混凝土梁身的范围内，抗剪栓钉间距不应大于200mm，且不宜小于7.5倍栓钉直径</w:t>
      </w:r>
      <w:r>
        <w:rPr>
          <w:rFonts w:hint="eastAsia"/>
          <w:color w:val="auto"/>
          <w:lang w:eastAsia="zh-CN"/>
        </w:rPr>
        <w:t>；</w:t>
      </w:r>
    </w:p>
    <w:p w14:paraId="3B0F96D8">
      <w:pPr>
        <w:pStyle w:val="43"/>
        <w:tabs>
          <w:tab w:val="left" w:pos="420"/>
        </w:tabs>
        <w:ind w:firstLine="480"/>
        <w:rPr>
          <w:color w:val="auto"/>
        </w:rPr>
      </w:pPr>
      <w:r>
        <w:rPr>
          <w:rFonts w:hint="eastAsia"/>
          <w:color w:val="auto"/>
        </w:rPr>
        <w:t>钢</w:t>
      </w:r>
      <w:r>
        <w:rPr>
          <w:rFonts w:hint="eastAsia"/>
          <w:color w:val="auto"/>
          <w:lang w:val="en-US" w:eastAsia="zh-CN"/>
        </w:rPr>
        <w:t>组</w:t>
      </w:r>
      <w:r>
        <w:rPr>
          <w:rFonts w:hint="eastAsia"/>
          <w:color w:val="auto"/>
        </w:rPr>
        <w:t>件</w:t>
      </w:r>
      <w:r>
        <w:rPr>
          <w:rFonts w:hint="eastAsia"/>
          <w:color w:val="auto"/>
          <w:lang w:val="en-US" w:eastAsia="zh-CN"/>
        </w:rPr>
        <w:t>螺栓孔</w:t>
      </w:r>
      <w:r>
        <w:rPr>
          <w:rFonts w:hint="eastAsia"/>
          <w:color w:val="auto"/>
        </w:rPr>
        <w:t>可采用标准孔和槽孔</w:t>
      </w:r>
      <w:r>
        <w:rPr>
          <w:rFonts w:hint="eastAsia"/>
          <w:color w:val="auto"/>
          <w:lang w:eastAsia="zh-CN"/>
        </w:rPr>
        <w:t>，</w:t>
      </w:r>
      <w:r>
        <w:rPr>
          <w:rFonts w:hint="eastAsia" w:ascii="Times New Roman" w:hAnsi="Times New Roman" w:eastAsia="宋体" w:cs="Times New Roman"/>
          <w:color w:val="auto"/>
          <w:lang w:val="en-US" w:eastAsia="zh-CN"/>
        </w:rPr>
        <w:t>孔型尺寸</w:t>
      </w:r>
      <w:r>
        <w:rPr>
          <w:rFonts w:hint="eastAsia"/>
          <w:color w:val="auto"/>
          <w:lang w:val="en-US" w:eastAsia="zh-CN"/>
        </w:rPr>
        <w:t>应满足</w:t>
      </w:r>
      <w:r>
        <w:rPr>
          <w:rFonts w:hint="eastAsia"/>
          <w:color w:val="auto"/>
        </w:rPr>
        <w:t>现行国家标准《</w:t>
      </w:r>
      <w:r>
        <w:rPr>
          <w:rFonts w:hint="eastAsia"/>
          <w:color w:val="auto"/>
          <w:lang w:val="en-US" w:eastAsia="zh-CN"/>
        </w:rPr>
        <w:t>钢结构</w:t>
      </w:r>
      <w:r>
        <w:rPr>
          <w:rFonts w:hint="eastAsia"/>
          <w:color w:val="auto"/>
        </w:rPr>
        <w:t>设计</w:t>
      </w:r>
      <w:r>
        <w:rPr>
          <w:rFonts w:hint="eastAsia"/>
          <w:color w:val="auto"/>
          <w:lang w:val="en-US" w:eastAsia="zh-CN"/>
        </w:rPr>
        <w:t>标准</w:t>
      </w:r>
      <w:r>
        <w:rPr>
          <w:rFonts w:hint="eastAsia"/>
          <w:color w:val="auto"/>
        </w:rPr>
        <w:t>》GB 5001</w:t>
      </w:r>
      <w:r>
        <w:rPr>
          <w:rFonts w:hint="eastAsia"/>
          <w:color w:val="auto"/>
          <w:lang w:val="en-US" w:eastAsia="zh-CN"/>
        </w:rPr>
        <w:t>7</w:t>
      </w:r>
      <w:r>
        <w:rPr>
          <w:rFonts w:hint="eastAsia"/>
          <w:color w:val="auto"/>
        </w:rPr>
        <w:t>的</w:t>
      </w:r>
      <w:r>
        <w:rPr>
          <w:rFonts w:hint="eastAsia"/>
          <w:color w:val="auto"/>
          <w:lang w:val="en-US" w:eastAsia="zh-CN"/>
        </w:rPr>
        <w:t>相</w:t>
      </w:r>
      <w:r>
        <w:rPr>
          <w:rFonts w:hint="eastAsia"/>
          <w:color w:val="auto"/>
        </w:rPr>
        <w:t>关规定</w:t>
      </w:r>
      <w:r>
        <w:rPr>
          <w:rFonts w:hint="eastAsia" w:ascii="Times New Roman" w:hAnsi="Times New Roman" w:eastAsia="宋体" w:cs="Times New Roman"/>
          <w:color w:val="auto"/>
          <w:lang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5DB6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6431590E">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lang w:val="en-US" w:eastAsia="zh-CN"/>
              </w:rPr>
              <w:t xml:space="preserve">                </w:t>
            </w:r>
            <w:r>
              <w:drawing>
                <wp:inline distT="0" distB="0" distL="114300" distR="114300">
                  <wp:extent cx="1440815" cy="1800225"/>
                  <wp:effectExtent l="0" t="0" r="6985" b="9525"/>
                  <wp:docPr id="56"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8"/>
                          <pic:cNvPicPr>
                            <a:picLocks noChangeAspect="1"/>
                          </pic:cNvPicPr>
                        </pic:nvPicPr>
                        <pic:blipFill>
                          <a:blip r:embed="rId100"/>
                          <a:stretch>
                            <a:fillRect/>
                          </a:stretch>
                        </pic:blipFill>
                        <pic:spPr>
                          <a:xfrm>
                            <a:off x="0" y="0"/>
                            <a:ext cx="1440815" cy="1800225"/>
                          </a:xfrm>
                          <a:prstGeom prst="rect">
                            <a:avLst/>
                          </a:prstGeom>
                          <a:noFill/>
                          <a:ln>
                            <a:noFill/>
                          </a:ln>
                        </pic:spPr>
                      </pic:pic>
                    </a:graphicData>
                  </a:graphic>
                </wp:inline>
              </w:drawing>
            </w:r>
            <w:r>
              <w:rPr>
                <w:rFonts w:hint="eastAsia"/>
                <w:lang w:val="en-US" w:eastAsia="zh-CN"/>
              </w:rPr>
              <w:t xml:space="preserve"> </w:t>
            </w:r>
          </w:p>
        </w:tc>
        <w:tc>
          <w:tcPr>
            <w:tcW w:w="4258" w:type="dxa"/>
            <w:shd w:val="clear" w:color="auto" w:fill="auto"/>
            <w:vAlign w:val="center"/>
          </w:tcPr>
          <w:p w14:paraId="544204F3">
            <w:pPr>
              <w:pStyle w:val="45"/>
              <w:ind w:firstLine="0" w:firstLineChars="0"/>
              <w:jc w:val="both"/>
            </w:pPr>
            <w:r>
              <w:drawing>
                <wp:inline distT="0" distB="0" distL="114300" distR="114300">
                  <wp:extent cx="1303020" cy="1800225"/>
                  <wp:effectExtent l="0" t="0" r="11430" b="9525"/>
                  <wp:docPr id="5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9"/>
                          <pic:cNvPicPr>
                            <a:picLocks noChangeAspect="1"/>
                          </pic:cNvPicPr>
                        </pic:nvPicPr>
                        <pic:blipFill>
                          <a:blip r:embed="rId101"/>
                          <a:stretch>
                            <a:fillRect/>
                          </a:stretch>
                        </pic:blipFill>
                        <pic:spPr>
                          <a:xfrm>
                            <a:off x="0" y="0"/>
                            <a:ext cx="1303020" cy="1800225"/>
                          </a:xfrm>
                          <a:prstGeom prst="rect">
                            <a:avLst/>
                          </a:prstGeom>
                          <a:noFill/>
                          <a:ln>
                            <a:noFill/>
                          </a:ln>
                        </pic:spPr>
                      </pic:pic>
                    </a:graphicData>
                  </a:graphic>
                </wp:inline>
              </w:drawing>
            </w:r>
          </w:p>
        </w:tc>
      </w:tr>
    </w:tbl>
    <w:p w14:paraId="6109C1FC">
      <w:pPr>
        <w:pStyle w:val="45"/>
        <w:rPr>
          <w:color w:val="auto"/>
        </w:rPr>
      </w:pPr>
    </w:p>
    <w:p w14:paraId="200E06C2">
      <w:pPr>
        <w:pStyle w:val="45"/>
        <w:rPr>
          <w:rFonts w:hint="default" w:eastAsia="黑体"/>
          <w:color w:val="auto"/>
          <w:lang w:val="en-US" w:eastAsia="zh-CN"/>
        </w:rPr>
      </w:pPr>
      <w:r>
        <w:rPr>
          <w:color w:val="auto"/>
        </w:rPr>
        <w:t>1—</w:t>
      </w:r>
      <w:r>
        <w:rPr>
          <w:rFonts w:hint="eastAsia"/>
          <w:color w:val="auto"/>
          <w:lang w:val="en-US" w:eastAsia="zh-CN"/>
        </w:rPr>
        <w:t>螺栓孔</w:t>
      </w:r>
      <w:r>
        <w:rPr>
          <w:color w:val="auto"/>
        </w:rPr>
        <w:t>；2—</w:t>
      </w:r>
      <w:r>
        <w:rPr>
          <w:rFonts w:hint="eastAsia"/>
          <w:color w:val="auto"/>
          <w:lang w:val="en-US" w:eastAsia="zh-CN"/>
        </w:rPr>
        <w:t>翼缘</w:t>
      </w:r>
      <w:r>
        <w:rPr>
          <w:rFonts w:hint="eastAsia"/>
          <w:color w:val="auto"/>
        </w:rPr>
        <w:t>；3</w:t>
      </w:r>
      <w:r>
        <w:rPr>
          <w:color w:val="auto"/>
        </w:rPr>
        <w:t>—</w:t>
      </w:r>
      <w:r>
        <w:rPr>
          <w:rFonts w:hint="eastAsia"/>
          <w:color w:val="auto"/>
          <w:lang w:val="en-US" w:eastAsia="zh-CN"/>
        </w:rPr>
        <w:t>腹板</w:t>
      </w:r>
      <w:r>
        <w:rPr>
          <w:rFonts w:hint="eastAsia"/>
          <w:color w:val="auto"/>
        </w:rPr>
        <w:t>；</w:t>
      </w:r>
      <w:r>
        <w:rPr>
          <w:rFonts w:hint="eastAsia"/>
          <w:color w:val="auto"/>
          <w:lang w:val="en-US" w:eastAsia="zh-CN"/>
        </w:rPr>
        <w:t>4</w:t>
      </w:r>
      <w:r>
        <w:rPr>
          <w:color w:val="auto"/>
        </w:rPr>
        <w:t>—</w:t>
      </w:r>
      <w:r>
        <w:rPr>
          <w:rFonts w:hint="eastAsia"/>
          <w:color w:val="auto"/>
          <w:lang w:val="en-US" w:eastAsia="zh-CN"/>
        </w:rPr>
        <w:t>梁身箍筋</w:t>
      </w:r>
      <w:r>
        <w:rPr>
          <w:rFonts w:hint="eastAsia"/>
          <w:color w:val="auto"/>
        </w:rPr>
        <w:t>；</w:t>
      </w:r>
      <w:r>
        <w:rPr>
          <w:rFonts w:hint="eastAsia"/>
          <w:color w:val="auto"/>
          <w:lang w:val="en-US" w:eastAsia="zh-CN"/>
        </w:rPr>
        <w:t>5</w:t>
      </w:r>
      <w:r>
        <w:rPr>
          <w:color w:val="auto"/>
        </w:rPr>
        <w:t>—</w:t>
      </w:r>
      <w:r>
        <w:rPr>
          <w:rFonts w:hint="eastAsia"/>
          <w:color w:val="auto"/>
          <w:lang w:val="en-US" w:eastAsia="zh-CN"/>
        </w:rPr>
        <w:t>抗剪栓钉</w:t>
      </w:r>
    </w:p>
    <w:p w14:paraId="534444CC">
      <w:pPr>
        <w:pStyle w:val="45"/>
        <w:rPr>
          <w:rFonts w:hint="eastAsia"/>
          <w:color w:val="auto"/>
          <w:lang w:val="en-US" w:eastAsia="zh-CN"/>
        </w:rPr>
      </w:pPr>
      <w:r>
        <w:rPr>
          <w:rFonts w:hint="eastAsia"/>
          <w:color w:val="auto"/>
        </w:rPr>
        <w:t>图</w:t>
      </w:r>
      <w:r>
        <w:rPr>
          <w:rFonts w:hint="eastAsia"/>
          <w:color w:val="auto"/>
          <w:lang w:val="en-US" w:eastAsia="zh-CN"/>
        </w:rPr>
        <w:t>5</w:t>
      </w:r>
      <w:r>
        <w:rPr>
          <w:rFonts w:hint="eastAsia"/>
          <w:color w:val="auto"/>
        </w:rPr>
        <w:t>.2.</w:t>
      </w:r>
      <w:r>
        <w:rPr>
          <w:rFonts w:hint="eastAsia"/>
          <w:color w:val="auto"/>
          <w:lang w:val="en-US" w:eastAsia="zh-CN"/>
        </w:rPr>
        <w:t>9</w:t>
      </w:r>
      <w:r>
        <w:rPr>
          <w:color w:val="auto"/>
        </w:rPr>
        <w:t xml:space="preserve"> </w:t>
      </w:r>
      <w:r>
        <w:rPr>
          <w:rFonts w:hint="eastAsia"/>
          <w:color w:val="auto"/>
        </w:rPr>
        <w:t xml:space="preserve"> </w:t>
      </w:r>
      <w:r>
        <w:rPr>
          <w:rFonts w:hint="eastAsia"/>
          <w:color w:val="auto"/>
          <w:lang w:val="en-US" w:eastAsia="zh-CN"/>
        </w:rPr>
        <w:t>梁端钢组件截面及构造要求</w:t>
      </w:r>
    </w:p>
    <w:p w14:paraId="66C87059">
      <w:pPr>
        <w:pStyle w:val="45"/>
        <w:rPr>
          <w:rFonts w:hint="default"/>
          <w:color w:val="auto"/>
          <w:lang w:val="en-US" w:eastAsia="zh-CN"/>
        </w:rPr>
      </w:pPr>
    </w:p>
    <w:p w14:paraId="17AF45C5">
      <w:pPr>
        <w:pStyle w:val="42"/>
      </w:pPr>
      <w:r>
        <w:rPr>
          <w:rFonts w:hint="eastAsia"/>
          <w:color w:val="auto"/>
        </w:rPr>
        <w:t>梁端钢</w:t>
      </w:r>
      <w:r>
        <w:rPr>
          <w:rFonts w:hint="eastAsia"/>
          <w:color w:val="auto"/>
          <w:lang w:val="en-US" w:eastAsia="zh-CN"/>
        </w:rPr>
        <w:t>组</w:t>
      </w:r>
      <w:r>
        <w:rPr>
          <w:rFonts w:hint="eastAsia"/>
          <w:color w:val="auto"/>
        </w:rPr>
        <w:t>件</w:t>
      </w:r>
      <w:r>
        <w:rPr>
          <w:rFonts w:hint="eastAsia"/>
          <w:color w:val="auto"/>
          <w:lang w:val="en-US" w:eastAsia="zh-CN"/>
        </w:rPr>
        <w:t>的外伸长度与埋入长度应符合下列规定：</w:t>
      </w:r>
    </w:p>
    <w:p w14:paraId="36B132FA">
      <w:pPr>
        <w:pStyle w:val="43"/>
      </w:pPr>
      <w:r>
        <w:rPr>
          <w:rFonts w:hint="eastAsia"/>
          <w:lang w:val="en-US" w:eastAsia="zh-CN"/>
        </w:rPr>
        <w:t>从混凝土梁身端部起算，</w:t>
      </w:r>
      <w:r>
        <w:rPr>
          <w:rFonts w:hint="eastAsia"/>
        </w:rPr>
        <w:t>埋入混凝土梁身的长度</w:t>
      </w:r>
      <w:r>
        <w:rPr>
          <w:rFonts w:hint="eastAsia"/>
          <w:i/>
          <w:iCs/>
        </w:rPr>
        <w:t>L</w:t>
      </w:r>
      <w:r>
        <w:rPr>
          <w:rFonts w:hint="eastAsia"/>
          <w:vertAlign w:val="subscript"/>
          <w:lang w:val="en-US" w:eastAsia="zh-CN"/>
        </w:rPr>
        <w:t>s</w:t>
      </w:r>
      <w:r>
        <w:rPr>
          <w:rFonts w:hint="eastAsia"/>
        </w:rPr>
        <w:t>应符合下式规定（图</w:t>
      </w:r>
      <w:r>
        <w:rPr>
          <w:rFonts w:hint="eastAsia"/>
          <w:lang w:val="en-US" w:eastAsia="zh-CN"/>
        </w:rPr>
        <w:t>5</w:t>
      </w:r>
      <w:r>
        <w:rPr>
          <w:rFonts w:hint="eastAsia"/>
        </w:rPr>
        <w:t>.2.</w:t>
      </w:r>
      <w:r>
        <w:rPr>
          <w:rFonts w:hint="eastAsia"/>
          <w:lang w:val="en-US" w:eastAsia="zh-CN"/>
        </w:rPr>
        <w:t>10</w:t>
      </w:r>
      <w:r>
        <w:rPr>
          <w:rFonts w:hint="eastAsia"/>
        </w:rPr>
        <w:t>）：</w:t>
      </w:r>
    </w:p>
    <w:p w14:paraId="778A4D1A">
      <w:pPr>
        <w:ind w:firstLine="480"/>
        <w:jc w:val="right"/>
        <w:rPr>
          <w:color w:val="auto"/>
        </w:rPr>
      </w:pPr>
      <w:r>
        <w:rPr>
          <w:color w:val="auto"/>
          <w:position w:val="-12"/>
        </w:rPr>
        <w:object>
          <v:shape id="_x0000_i1060" o:spt="75" type="#_x0000_t75" style="height:18pt;width:126pt;" o:ole="t" filled="f" o:preferrelative="t" stroked="f" coordsize="21600,21600">
            <v:path/>
            <v:fill on="f" focussize="0,0"/>
            <v:stroke on="f" joinstyle="miter"/>
            <v:imagedata r:id="rId103" o:title=""/>
            <o:lock v:ext="edit" aspectratio="t"/>
            <w10:wrap type="none"/>
            <w10:anchorlock/>
          </v:shape>
          <o:OLEObject Type="Embed" ProgID="Equation.DSMT4" ShapeID="_x0000_i1060" DrawAspect="Content" ObjectID="_1468075760" r:id="rId102">
            <o:LockedField>false</o:LockedField>
          </o:OLEObject>
        </w:object>
      </w:r>
      <w:r>
        <w:rPr>
          <w:rFonts w:hint="eastAsia"/>
          <w:color w:val="auto"/>
        </w:rPr>
        <w:t xml:space="preserve">                 （</w:t>
      </w:r>
      <w:r>
        <w:rPr>
          <w:rFonts w:hint="eastAsia"/>
          <w:color w:val="auto"/>
          <w:lang w:val="en-US" w:eastAsia="zh-CN"/>
        </w:rPr>
        <w:t>5</w:t>
      </w:r>
      <w:r>
        <w:rPr>
          <w:rFonts w:hint="eastAsia"/>
          <w:color w:val="auto"/>
        </w:rPr>
        <w:t>.2.</w:t>
      </w:r>
      <w:r>
        <w:rPr>
          <w:rFonts w:hint="eastAsia"/>
          <w:color w:val="auto"/>
          <w:lang w:val="en-US" w:eastAsia="zh-CN"/>
        </w:rPr>
        <w:t>10</w:t>
      </w:r>
      <w:r>
        <w:rPr>
          <w:rFonts w:hint="eastAsia"/>
          <w:color w:val="auto"/>
        </w:rPr>
        <w:t>）</w:t>
      </w:r>
    </w:p>
    <w:p w14:paraId="44003E7F">
      <w:pPr>
        <w:ind w:firstLine="0" w:firstLineChars="0"/>
        <w:rPr>
          <w:rFonts w:hint="eastAsia"/>
          <w:color w:val="auto"/>
          <w:lang w:eastAsia="zh-CN"/>
        </w:rPr>
      </w:pPr>
      <w:r>
        <w:rPr>
          <w:rFonts w:hint="eastAsia"/>
          <w:color w:val="auto"/>
        </w:rPr>
        <w:t>式中：</w:t>
      </w:r>
      <w:r>
        <w:rPr>
          <w:rFonts w:hint="eastAsia"/>
          <w:i/>
          <w:color w:val="auto"/>
        </w:rPr>
        <w:t>d</w:t>
      </w:r>
      <w:r>
        <w:rPr>
          <w:color w:val="auto"/>
        </w:rPr>
        <w:t>——梁</w:t>
      </w:r>
      <w:r>
        <w:rPr>
          <w:rFonts w:hint="eastAsia"/>
          <w:color w:val="auto"/>
        </w:rPr>
        <w:t>纵向受力钢筋直径（mm）</w:t>
      </w:r>
      <w:r>
        <w:rPr>
          <w:rFonts w:hint="eastAsia"/>
          <w:color w:val="auto"/>
          <w:lang w:eastAsia="zh-CN"/>
        </w:rPr>
        <w:t>；</w:t>
      </w:r>
    </w:p>
    <w:p w14:paraId="499311AF">
      <w:pPr>
        <w:ind w:firstLine="720" w:firstLineChars="300"/>
        <w:rPr>
          <w:rFonts w:hint="eastAsia"/>
          <w:color w:val="auto"/>
          <w:lang w:eastAsia="zh-CN"/>
        </w:rPr>
      </w:pPr>
      <w:r>
        <w:rPr>
          <w:rFonts w:hint="eastAsia"/>
          <w:i/>
          <w:iCs/>
          <w:color w:val="auto"/>
        </w:rPr>
        <w:t>h</w:t>
      </w:r>
      <w:r>
        <w:rPr>
          <w:rFonts w:hint="eastAsia"/>
          <w:color w:val="auto"/>
          <w:vertAlign w:val="subscript"/>
        </w:rPr>
        <w:t>b0</w:t>
      </w:r>
      <w:r>
        <w:rPr>
          <w:color w:val="auto"/>
        </w:rPr>
        <w:t>——</w:t>
      </w:r>
      <w:r>
        <w:rPr>
          <w:rFonts w:hint="eastAsia"/>
          <w:color w:val="auto"/>
        </w:rPr>
        <w:t>钢</w:t>
      </w:r>
      <w:r>
        <w:rPr>
          <w:rFonts w:hint="eastAsia"/>
          <w:color w:val="auto"/>
          <w:lang w:val="en-US" w:eastAsia="zh-CN"/>
        </w:rPr>
        <w:t>组</w:t>
      </w:r>
      <w:r>
        <w:rPr>
          <w:rFonts w:hint="eastAsia"/>
          <w:color w:val="auto"/>
        </w:rPr>
        <w:t>件的截面高度（mm）</w:t>
      </w:r>
      <w:r>
        <w:rPr>
          <w:rFonts w:hint="eastAsia"/>
          <w:color w:val="auto"/>
          <w:lang w:eastAsia="zh-CN"/>
        </w:rPr>
        <w:t>；</w:t>
      </w:r>
    </w:p>
    <w:p w14:paraId="56AE1261">
      <w:pPr>
        <w:pStyle w:val="43"/>
        <w:ind w:firstLineChars="300"/>
        <w:rPr>
          <w:rFonts w:hint="eastAsia"/>
          <w:lang w:eastAsia="zh-CN"/>
        </w:rPr>
      </w:pPr>
      <w:r>
        <w:rPr>
          <w:rFonts w:hint="eastAsia"/>
          <w:lang w:val="en-US" w:eastAsia="zh-CN"/>
        </w:rPr>
        <w:t>外伸长度应满足螺栓孔布置间距与施工安装空间要求，且不宜大于300mm。</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14:paraId="5AEAB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shd w:val="clear" w:color="auto" w:fill="auto"/>
            <w:vAlign w:val="center"/>
          </w:tcPr>
          <w:p w14:paraId="21805192">
            <w:pPr>
              <w:pStyle w:val="45"/>
              <w:ind w:firstLine="0" w:firstLineChars="0"/>
              <w:jc w:val="center"/>
            </w:pPr>
            <w:r>
              <w:drawing>
                <wp:inline distT="0" distB="0" distL="114300" distR="114300">
                  <wp:extent cx="2137410" cy="1619885"/>
                  <wp:effectExtent l="0" t="0" r="15240" b="18415"/>
                  <wp:docPr id="114"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65"/>
                          <pic:cNvPicPr>
                            <a:picLocks noChangeAspect="1"/>
                          </pic:cNvPicPr>
                        </pic:nvPicPr>
                        <pic:blipFill>
                          <a:blip r:embed="rId104"/>
                          <a:stretch>
                            <a:fillRect/>
                          </a:stretch>
                        </pic:blipFill>
                        <pic:spPr>
                          <a:xfrm>
                            <a:off x="0" y="0"/>
                            <a:ext cx="2137410" cy="1619885"/>
                          </a:xfrm>
                          <a:prstGeom prst="rect">
                            <a:avLst/>
                          </a:prstGeom>
                          <a:noFill/>
                          <a:ln>
                            <a:noFill/>
                          </a:ln>
                        </pic:spPr>
                      </pic:pic>
                    </a:graphicData>
                  </a:graphic>
                </wp:inline>
              </w:drawing>
            </w:r>
          </w:p>
        </w:tc>
      </w:tr>
    </w:tbl>
    <w:p w14:paraId="1ECD06CF">
      <w:pPr>
        <w:pStyle w:val="45"/>
        <w:rPr>
          <w:color w:val="auto"/>
        </w:rPr>
      </w:pPr>
    </w:p>
    <w:p w14:paraId="5BD8CC24">
      <w:pPr>
        <w:pStyle w:val="45"/>
        <w:rPr>
          <w:rFonts w:hint="default" w:eastAsia="黑体"/>
          <w:color w:val="auto"/>
          <w:lang w:val="en-US" w:eastAsia="zh-CN"/>
        </w:rPr>
      </w:pPr>
      <w:r>
        <w:rPr>
          <w:color w:val="auto"/>
        </w:rPr>
        <w:t>1—</w:t>
      </w:r>
      <w:r>
        <w:rPr>
          <w:rFonts w:hint="eastAsia"/>
          <w:color w:val="auto"/>
        </w:rPr>
        <w:t>梁端钢</w:t>
      </w:r>
      <w:r>
        <w:rPr>
          <w:rFonts w:hint="eastAsia"/>
          <w:color w:val="auto"/>
          <w:lang w:val="en-US" w:eastAsia="zh-CN"/>
        </w:rPr>
        <w:t>组</w:t>
      </w:r>
      <w:r>
        <w:rPr>
          <w:rFonts w:hint="eastAsia"/>
          <w:color w:val="auto"/>
        </w:rPr>
        <w:t>件</w:t>
      </w:r>
      <w:r>
        <w:rPr>
          <w:color w:val="auto"/>
        </w:rPr>
        <w:t>；2—混凝土梁</w:t>
      </w:r>
      <w:r>
        <w:rPr>
          <w:rFonts w:hint="eastAsia"/>
          <w:color w:val="auto"/>
        </w:rPr>
        <w:t>身</w:t>
      </w:r>
    </w:p>
    <w:p w14:paraId="5FAB5C2F">
      <w:pPr>
        <w:pStyle w:val="45"/>
        <w:rPr>
          <w:rFonts w:hint="eastAsia"/>
          <w:color w:val="auto"/>
        </w:rPr>
      </w:pPr>
      <w:r>
        <w:rPr>
          <w:rFonts w:hint="eastAsia"/>
          <w:color w:val="auto"/>
        </w:rPr>
        <w:t>图</w:t>
      </w:r>
      <w:r>
        <w:rPr>
          <w:rFonts w:hint="eastAsia"/>
          <w:color w:val="auto"/>
          <w:lang w:val="en-US" w:eastAsia="zh-CN"/>
        </w:rPr>
        <w:t>5</w:t>
      </w:r>
      <w:r>
        <w:rPr>
          <w:rFonts w:hint="eastAsia"/>
          <w:color w:val="auto"/>
        </w:rPr>
        <w:t>.2.</w:t>
      </w:r>
      <w:r>
        <w:rPr>
          <w:rFonts w:hint="eastAsia"/>
          <w:color w:val="auto"/>
          <w:lang w:val="en-US" w:eastAsia="zh-CN"/>
        </w:rPr>
        <w:t>10</w:t>
      </w:r>
      <w:r>
        <w:rPr>
          <w:color w:val="auto"/>
        </w:rPr>
        <w:t xml:space="preserve"> </w:t>
      </w:r>
      <w:r>
        <w:rPr>
          <w:rFonts w:hint="eastAsia"/>
          <w:color w:val="auto"/>
        </w:rPr>
        <w:t xml:space="preserve"> 梁端钢</w:t>
      </w:r>
      <w:r>
        <w:rPr>
          <w:rFonts w:hint="eastAsia"/>
          <w:color w:val="auto"/>
          <w:lang w:val="en-US" w:eastAsia="zh-CN"/>
        </w:rPr>
        <w:t>组</w:t>
      </w:r>
      <w:r>
        <w:rPr>
          <w:rFonts w:hint="eastAsia"/>
          <w:color w:val="auto"/>
        </w:rPr>
        <w:t>件</w:t>
      </w:r>
      <w:r>
        <w:rPr>
          <w:rFonts w:hint="eastAsia"/>
          <w:color w:val="auto"/>
          <w:lang w:val="en-US" w:eastAsia="zh-CN"/>
        </w:rPr>
        <w:t>埋入长度</w:t>
      </w:r>
      <w:r>
        <w:rPr>
          <w:rFonts w:hint="eastAsia"/>
          <w:color w:val="auto"/>
        </w:rPr>
        <w:t>示意</w:t>
      </w:r>
    </w:p>
    <w:p w14:paraId="60539A61">
      <w:pPr>
        <w:pStyle w:val="45"/>
        <w:rPr>
          <w:rFonts w:hint="eastAsia"/>
          <w:color w:val="auto"/>
          <w:lang w:eastAsia="zh-CN"/>
        </w:rPr>
      </w:pPr>
    </w:p>
    <w:p w14:paraId="061A6B64">
      <w:pPr>
        <w:pStyle w:val="42"/>
      </w:pPr>
      <w:r>
        <w:rPr>
          <w:rFonts w:hint="eastAsia"/>
          <w:color w:val="auto"/>
          <w:lang w:val="en-US" w:eastAsia="zh-CN"/>
        </w:rPr>
        <w:t>梁端</w:t>
      </w:r>
      <w:r>
        <w:rPr>
          <w:rFonts w:hint="eastAsia"/>
          <w:color w:val="auto"/>
        </w:rPr>
        <w:t>钢</w:t>
      </w:r>
      <w:r>
        <w:rPr>
          <w:rFonts w:hint="eastAsia"/>
          <w:color w:val="auto"/>
          <w:lang w:val="en-US" w:eastAsia="zh-CN"/>
        </w:rPr>
        <w:t>组件与</w:t>
      </w:r>
      <w:r>
        <w:rPr>
          <w:rFonts w:hint="eastAsia"/>
          <w:color w:val="auto"/>
        </w:rPr>
        <w:t>预制梁纵向受力钢筋</w:t>
      </w:r>
      <w:r>
        <w:rPr>
          <w:rFonts w:hint="eastAsia"/>
          <w:color w:val="auto"/>
          <w:lang w:val="en-US" w:eastAsia="zh-CN"/>
        </w:rPr>
        <w:t>的连接</w:t>
      </w:r>
      <w:r>
        <w:rPr>
          <w:rFonts w:hint="eastAsia"/>
          <w:color w:val="auto"/>
        </w:rPr>
        <w:t>应符合下列规定：</w:t>
      </w:r>
    </w:p>
    <w:p w14:paraId="076EF0EC">
      <w:pPr>
        <w:pStyle w:val="43"/>
        <w:tabs>
          <w:tab w:val="left" w:pos="420"/>
        </w:tabs>
        <w:ind w:firstLine="480"/>
        <w:rPr>
          <w:color w:val="auto"/>
        </w:rPr>
      </w:pP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Ⅰ</w:t>
      </w:r>
      <w:r>
        <w:rPr>
          <w:rFonts w:hint="eastAsia"/>
          <w:color w:val="auto"/>
          <w:lang w:val="en-US" w:eastAsia="zh-CN"/>
        </w:rPr>
        <w:t>型、A</w:t>
      </w:r>
      <w:r>
        <w:rPr>
          <w:rFonts w:hint="default" w:ascii="Times New Roman" w:hAnsi="Times New Roman" w:eastAsia="微软雅黑" w:cs="Times New Roman"/>
          <w:color w:val="auto"/>
          <w:vertAlign w:val="subscript"/>
          <w:lang w:val="en-US" w:eastAsia="zh-CN"/>
        </w:rPr>
        <w:t>Ⅱ</w:t>
      </w:r>
      <w:r>
        <w:rPr>
          <w:rFonts w:hint="eastAsia"/>
          <w:color w:val="auto"/>
          <w:lang w:val="en-US" w:eastAsia="zh-CN"/>
        </w:rPr>
        <w:t>型、</w:t>
      </w:r>
      <w:r>
        <w:rPr>
          <w:rFonts w:hint="default" w:ascii="Times New Roman" w:hAnsi="Times New Roman" w:eastAsia="微软雅黑" w:cs="Times New Roman"/>
          <w:color w:val="auto"/>
          <w:vertAlign w:val="baseline"/>
          <w:lang w:val="en-US" w:eastAsia="zh-CN"/>
        </w:rPr>
        <w:t>B</w:t>
      </w:r>
      <w:r>
        <w:rPr>
          <w:rFonts w:hint="eastAsia"/>
          <w:color w:val="auto"/>
          <w:lang w:val="en-US" w:eastAsia="zh-CN"/>
        </w:rPr>
        <w:t>型</w:t>
      </w:r>
      <w:r>
        <w:rPr>
          <w:rFonts w:hint="eastAsia"/>
          <w:color w:val="auto"/>
        </w:rPr>
        <w:t>钢</w:t>
      </w:r>
      <w:r>
        <w:rPr>
          <w:rFonts w:hint="eastAsia"/>
          <w:color w:val="auto"/>
          <w:lang w:val="en-US" w:eastAsia="zh-CN"/>
        </w:rPr>
        <w:t>组件均</w:t>
      </w:r>
      <w:r>
        <w:rPr>
          <w:rFonts w:hint="eastAsia"/>
          <w:color w:val="auto"/>
        </w:rPr>
        <w:t>宜采用双面焊连接</w:t>
      </w:r>
      <w:r>
        <w:rPr>
          <w:rFonts w:hint="eastAsia"/>
          <w:i/>
          <w:color w:val="auto"/>
          <w:lang w:eastAsia="zh-CN"/>
        </w:rPr>
        <w:t>，</w:t>
      </w:r>
      <w:r>
        <w:rPr>
          <w:rFonts w:hint="eastAsia"/>
          <w:color w:val="auto"/>
        </w:rPr>
        <w:t>焊接长度</w:t>
      </w:r>
      <w:r>
        <w:rPr>
          <w:rFonts w:hint="eastAsia"/>
          <w:i/>
          <w:iCs/>
          <w:color w:val="auto"/>
        </w:rPr>
        <w:t>L</w:t>
      </w:r>
      <w:r>
        <w:rPr>
          <w:rFonts w:hint="eastAsia"/>
          <w:i w:val="0"/>
          <w:iCs w:val="0"/>
          <w:color w:val="auto"/>
          <w:vertAlign w:val="subscript"/>
          <w:lang w:val="en-US" w:eastAsia="zh-CN"/>
        </w:rPr>
        <w:t>w</w:t>
      </w:r>
      <w:r>
        <w:rPr>
          <w:rFonts w:hint="eastAsia"/>
          <w:color w:val="auto"/>
        </w:rPr>
        <w:t>不应小于</w:t>
      </w:r>
      <w:r>
        <w:rPr>
          <w:rFonts w:hint="eastAsia"/>
          <w:color w:val="auto"/>
          <w:lang w:val="en-US" w:eastAsia="zh-CN"/>
        </w:rPr>
        <w:t>5</w:t>
      </w:r>
      <w:r>
        <w:rPr>
          <w:rFonts w:hint="eastAsia"/>
          <w:i/>
          <w:iCs/>
          <w:color w:val="auto"/>
        </w:rPr>
        <w:t>d</w:t>
      </w:r>
      <w:r>
        <w:rPr>
          <w:rFonts w:hint="eastAsia"/>
          <w:color w:val="auto"/>
        </w:rPr>
        <w:t>[图</w:t>
      </w:r>
      <w:r>
        <w:rPr>
          <w:rFonts w:hint="eastAsia"/>
          <w:color w:val="auto"/>
          <w:lang w:val="en-US" w:eastAsia="zh-CN"/>
        </w:rPr>
        <w:t>5.2.11(a)、</w:t>
      </w:r>
      <w:r>
        <w:rPr>
          <w:rFonts w:hint="eastAsia"/>
          <w:color w:val="auto"/>
        </w:rPr>
        <w:t>图</w:t>
      </w:r>
      <w:r>
        <w:rPr>
          <w:rFonts w:hint="eastAsia"/>
          <w:color w:val="auto"/>
          <w:lang w:val="en-US" w:eastAsia="zh-CN"/>
        </w:rPr>
        <w:t>5.2.11(b)</w:t>
      </w:r>
      <w:r>
        <w:rPr>
          <w:rFonts w:hint="eastAsia"/>
          <w:color w:val="auto"/>
          <w:lang w:eastAsia="zh-CN"/>
        </w:rPr>
        <w:t>、</w:t>
      </w:r>
      <w:r>
        <w:rPr>
          <w:rFonts w:hint="eastAsia"/>
          <w:color w:val="auto"/>
        </w:rPr>
        <w:t>图</w:t>
      </w:r>
      <w:r>
        <w:rPr>
          <w:rFonts w:hint="eastAsia"/>
          <w:color w:val="auto"/>
          <w:lang w:val="en-US" w:eastAsia="zh-CN"/>
        </w:rPr>
        <w:t>5.2.11(c)</w:t>
      </w:r>
      <w:r>
        <w:rPr>
          <w:rFonts w:hint="eastAsia"/>
          <w:color w:val="auto"/>
        </w:rPr>
        <w:t>]；</w:t>
      </w:r>
      <w:r>
        <w:rPr>
          <w:rFonts w:hint="eastAsia"/>
          <w:color w:val="auto"/>
          <w:lang w:val="en-US" w:eastAsia="zh-CN"/>
        </w:rPr>
        <w:t>C型</w:t>
      </w:r>
      <w:r>
        <w:rPr>
          <w:rFonts w:hint="eastAsia"/>
          <w:color w:val="auto"/>
        </w:rPr>
        <w:t>钢</w:t>
      </w:r>
      <w:r>
        <w:rPr>
          <w:rFonts w:hint="eastAsia"/>
          <w:color w:val="auto"/>
          <w:lang w:val="en-US" w:eastAsia="zh-CN"/>
        </w:rPr>
        <w:t>组件与钢筋净距不宜小于</w:t>
      </w:r>
      <w:r>
        <w:rPr>
          <w:rFonts w:hint="eastAsia"/>
          <w:i/>
          <w:iCs/>
          <w:color w:val="auto"/>
          <w:lang w:val="en-US" w:eastAsia="zh-CN"/>
        </w:rPr>
        <w:t>d</w:t>
      </w:r>
      <w:r>
        <w:rPr>
          <w:rFonts w:hint="eastAsia"/>
          <w:color w:val="auto"/>
        </w:rPr>
        <w:t>[图</w:t>
      </w:r>
      <w:r>
        <w:rPr>
          <w:rFonts w:hint="eastAsia"/>
          <w:color w:val="auto"/>
          <w:lang w:val="en-US" w:eastAsia="zh-CN"/>
        </w:rPr>
        <w:t>5.2.11(d)</w:t>
      </w:r>
      <w:r>
        <w:rPr>
          <w:rFonts w:hint="eastAsia"/>
          <w:color w:val="auto"/>
        </w:rPr>
        <w:t>]</w:t>
      </w:r>
      <w:r>
        <w:rPr>
          <w:rFonts w:hint="eastAsia"/>
          <w:color w:val="auto"/>
          <w:lang w:eastAsia="zh-CN"/>
        </w:rPr>
        <w:t>；</w:t>
      </w:r>
    </w:p>
    <w:p w14:paraId="0566ACC9">
      <w:pPr>
        <w:pStyle w:val="43"/>
        <w:tabs>
          <w:tab w:val="left" w:pos="420"/>
        </w:tabs>
        <w:ind w:firstLine="480"/>
        <w:rPr>
          <w:color w:val="auto"/>
        </w:rPr>
      </w:pPr>
      <w:r>
        <w:rPr>
          <w:rFonts w:hint="eastAsia"/>
          <w:color w:val="auto"/>
          <w:lang w:val="en-US" w:eastAsia="zh-CN"/>
        </w:rPr>
        <w:t>当</w:t>
      </w:r>
      <w:r>
        <w:rPr>
          <w:rFonts w:hint="eastAsia"/>
          <w:color w:val="auto"/>
        </w:rPr>
        <w:t>纵向受力钢筋配置</w:t>
      </w:r>
      <w:r>
        <w:rPr>
          <w:rFonts w:hint="eastAsia"/>
          <w:color w:val="auto"/>
          <w:lang w:eastAsia="zh-CN"/>
        </w:rPr>
        <w:t>2</w:t>
      </w:r>
      <w:r>
        <w:rPr>
          <w:rFonts w:hint="eastAsia"/>
          <w:color w:val="auto"/>
        </w:rPr>
        <w:t>层</w:t>
      </w:r>
      <w:r>
        <w:rPr>
          <w:rFonts w:hint="eastAsia"/>
          <w:color w:val="auto"/>
          <w:lang w:val="en-US" w:eastAsia="zh-CN"/>
        </w:rPr>
        <w:t>且部分</w:t>
      </w:r>
      <w:r>
        <w:rPr>
          <w:rFonts w:hint="eastAsia"/>
          <w:color w:val="auto"/>
        </w:rPr>
        <w:t>钢筋</w:t>
      </w:r>
      <w:r>
        <w:rPr>
          <w:rFonts w:hint="eastAsia"/>
          <w:color w:val="auto"/>
          <w:lang w:val="en-US" w:eastAsia="zh-CN"/>
        </w:rPr>
        <w:t>采用单</w:t>
      </w:r>
      <w:r>
        <w:rPr>
          <w:rFonts w:hint="eastAsia"/>
          <w:color w:val="auto"/>
        </w:rPr>
        <w:t>面焊连接</w:t>
      </w:r>
      <w:r>
        <w:rPr>
          <w:rFonts w:hint="eastAsia"/>
          <w:color w:val="auto"/>
          <w:lang w:val="en-US" w:eastAsia="zh-CN"/>
        </w:rPr>
        <w:t>时</w:t>
      </w:r>
      <w:r>
        <w:rPr>
          <w:rFonts w:hint="eastAsia"/>
          <w:color w:val="auto"/>
          <w:lang w:eastAsia="zh-CN"/>
        </w:rPr>
        <w:t>，</w:t>
      </w:r>
      <w:r>
        <w:rPr>
          <w:rFonts w:hint="eastAsia"/>
          <w:color w:val="auto"/>
        </w:rPr>
        <w:t>焊接长度</w:t>
      </w:r>
      <w:r>
        <w:rPr>
          <w:rFonts w:hint="eastAsia"/>
          <w:i/>
          <w:iCs/>
          <w:color w:val="auto"/>
        </w:rPr>
        <w:t>L</w:t>
      </w:r>
      <w:r>
        <w:rPr>
          <w:rFonts w:hint="eastAsia"/>
          <w:i w:val="0"/>
          <w:iCs w:val="0"/>
          <w:color w:val="auto"/>
          <w:vertAlign w:val="subscript"/>
          <w:lang w:val="en-US" w:eastAsia="zh-CN"/>
        </w:rPr>
        <w:t>w</w:t>
      </w:r>
      <w:r>
        <w:rPr>
          <w:rFonts w:hint="eastAsia"/>
          <w:color w:val="auto"/>
        </w:rPr>
        <w:t>不应小于</w:t>
      </w:r>
      <w:r>
        <w:rPr>
          <w:rFonts w:hint="eastAsia"/>
          <w:color w:val="auto"/>
          <w:lang w:val="en-US" w:eastAsia="zh-CN"/>
        </w:rPr>
        <w:t>10</w:t>
      </w:r>
      <w:r>
        <w:rPr>
          <w:rFonts w:hint="eastAsia"/>
          <w:i/>
          <w:iCs/>
          <w:color w:val="auto"/>
        </w:rPr>
        <w:t>d</w:t>
      </w:r>
      <w:r>
        <w:rPr>
          <w:rFonts w:hint="eastAsia"/>
          <w:i w:val="0"/>
          <w:iCs w:val="0"/>
          <w:color w:val="auto"/>
          <w:lang w:eastAsia="zh-CN"/>
        </w:rPr>
        <w:t>；</w:t>
      </w:r>
    </w:p>
    <w:p w14:paraId="71AAD904">
      <w:pPr>
        <w:pStyle w:val="43"/>
        <w:tabs>
          <w:tab w:val="left" w:pos="420"/>
        </w:tabs>
        <w:ind w:firstLine="480"/>
        <w:rPr>
          <w:color w:val="auto"/>
        </w:rPr>
      </w:pPr>
      <w:r>
        <w:rPr>
          <w:rFonts w:hint="eastAsia"/>
          <w:color w:val="auto"/>
          <w:lang w:val="en-US" w:eastAsia="zh-CN"/>
        </w:rPr>
        <w:t>采用搭接焊连接时，</w:t>
      </w:r>
      <w:r>
        <w:rPr>
          <w:rFonts w:hint="eastAsia"/>
          <w:color w:val="auto"/>
        </w:rPr>
        <w:t>焊缝</w:t>
      </w:r>
      <w:r>
        <w:rPr>
          <w:rFonts w:hint="eastAsia"/>
          <w:color w:val="auto"/>
          <w:lang w:val="en-US" w:eastAsia="zh-CN"/>
        </w:rPr>
        <w:t>有效厚度</w:t>
      </w:r>
      <w:r>
        <w:rPr>
          <w:rFonts w:hint="eastAsia"/>
          <w:color w:val="auto"/>
        </w:rPr>
        <w:t>不应小于0.35</w:t>
      </w:r>
      <w:r>
        <w:rPr>
          <w:rFonts w:hint="eastAsia"/>
          <w:i/>
          <w:color w:val="auto"/>
        </w:rPr>
        <w:t>d</w:t>
      </w:r>
      <w:r>
        <w:rPr>
          <w:rFonts w:hint="eastAsia"/>
          <w:color w:val="auto"/>
        </w:rPr>
        <w:t>，焊缝宽度不应小于0.6</w:t>
      </w:r>
      <w:r>
        <w:rPr>
          <w:rFonts w:hint="eastAsia"/>
          <w:i/>
          <w:color w:val="auto"/>
        </w:rPr>
        <w:t>d</w:t>
      </w:r>
      <w:r>
        <w:rPr>
          <w:rFonts w:hint="eastAsia"/>
          <w:color w:val="auto"/>
        </w:rPr>
        <w:t>[图</w:t>
      </w:r>
      <w:r>
        <w:rPr>
          <w:rFonts w:hint="eastAsia"/>
          <w:color w:val="auto"/>
          <w:lang w:val="en-US" w:eastAsia="zh-CN"/>
        </w:rPr>
        <w:t>5.2.11(e)</w:t>
      </w:r>
      <w:r>
        <w:rPr>
          <w:rFonts w:hint="eastAsia"/>
          <w:color w:val="auto"/>
        </w:rPr>
        <w:t>]</w:t>
      </w:r>
      <w:r>
        <w:rPr>
          <w:rFonts w:hint="eastAsia"/>
          <w:i w:val="0"/>
          <w:iCs w:val="0"/>
          <w:color w:val="auto"/>
          <w:lang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3C649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258" w:type="dxa"/>
            <w:vAlign w:val="center"/>
          </w:tcPr>
          <w:p w14:paraId="00B99590">
            <w:pPr>
              <w:pStyle w:val="45"/>
              <w:rPr>
                <w:rFonts w:hint="eastAsia"/>
                <w:color w:val="auto"/>
              </w:rPr>
            </w:pPr>
            <w:r>
              <w:drawing>
                <wp:inline distT="0" distB="0" distL="114300" distR="114300">
                  <wp:extent cx="1563370" cy="1440180"/>
                  <wp:effectExtent l="0" t="0" r="17780" b="7620"/>
                  <wp:docPr id="115"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66"/>
                          <pic:cNvPicPr>
                            <a:picLocks noChangeAspect="1"/>
                          </pic:cNvPicPr>
                        </pic:nvPicPr>
                        <pic:blipFill>
                          <a:blip r:embed="rId105"/>
                          <a:stretch>
                            <a:fillRect/>
                          </a:stretch>
                        </pic:blipFill>
                        <pic:spPr>
                          <a:xfrm>
                            <a:off x="0" y="0"/>
                            <a:ext cx="1563370" cy="1440180"/>
                          </a:xfrm>
                          <a:prstGeom prst="rect">
                            <a:avLst/>
                          </a:prstGeom>
                          <a:noFill/>
                          <a:ln>
                            <a:noFill/>
                          </a:ln>
                        </pic:spPr>
                      </pic:pic>
                    </a:graphicData>
                  </a:graphic>
                </wp:inline>
              </w:drawing>
            </w:r>
          </w:p>
        </w:tc>
        <w:tc>
          <w:tcPr>
            <w:tcW w:w="4258" w:type="dxa"/>
            <w:vAlign w:val="center"/>
          </w:tcPr>
          <w:p w14:paraId="26D14E7B">
            <w:pPr>
              <w:pStyle w:val="45"/>
              <w:rPr>
                <w:rFonts w:hint="eastAsia"/>
                <w:color w:val="auto"/>
              </w:rPr>
            </w:pPr>
            <w:r>
              <w:drawing>
                <wp:inline distT="0" distB="0" distL="114300" distR="114300">
                  <wp:extent cx="1531620" cy="1440180"/>
                  <wp:effectExtent l="0" t="0" r="11430" b="7620"/>
                  <wp:docPr id="116"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7"/>
                          <pic:cNvPicPr>
                            <a:picLocks noChangeAspect="1"/>
                          </pic:cNvPicPr>
                        </pic:nvPicPr>
                        <pic:blipFill>
                          <a:blip r:embed="rId106"/>
                          <a:stretch>
                            <a:fillRect/>
                          </a:stretch>
                        </pic:blipFill>
                        <pic:spPr>
                          <a:xfrm>
                            <a:off x="0" y="0"/>
                            <a:ext cx="1531620" cy="1440180"/>
                          </a:xfrm>
                          <a:prstGeom prst="rect">
                            <a:avLst/>
                          </a:prstGeom>
                          <a:noFill/>
                          <a:ln>
                            <a:noFill/>
                          </a:ln>
                        </pic:spPr>
                      </pic:pic>
                    </a:graphicData>
                  </a:graphic>
                </wp:inline>
              </w:drawing>
            </w:r>
          </w:p>
        </w:tc>
      </w:tr>
      <w:tr w14:paraId="541B0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258" w:type="dxa"/>
            <w:shd w:val="clear" w:color="auto" w:fill="auto"/>
            <w:vAlign w:val="center"/>
          </w:tcPr>
          <w:p w14:paraId="28A223D7">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a</w:t>
            </w:r>
            <w:r>
              <w:rPr>
                <w:rFonts w:hint="eastAsia"/>
                <w:color w:val="auto"/>
              </w:rPr>
              <w:t>）</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Ⅰ</w:t>
            </w:r>
            <w:r>
              <w:rPr>
                <w:rFonts w:hint="eastAsia"/>
                <w:color w:val="auto"/>
                <w:lang w:val="en-US" w:eastAsia="zh-CN"/>
              </w:rPr>
              <w:t>型梁端钢组件</w:t>
            </w:r>
          </w:p>
        </w:tc>
        <w:tc>
          <w:tcPr>
            <w:tcW w:w="4258" w:type="dxa"/>
            <w:shd w:val="clear" w:color="auto" w:fill="auto"/>
            <w:vAlign w:val="center"/>
          </w:tcPr>
          <w:p w14:paraId="0D39C14C">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Ⅱ</w:t>
            </w:r>
            <w:r>
              <w:rPr>
                <w:rFonts w:hint="eastAsia"/>
                <w:color w:val="auto"/>
                <w:lang w:val="en-US" w:eastAsia="zh-CN"/>
              </w:rPr>
              <w:t>型梁端钢组件</w:t>
            </w:r>
          </w:p>
        </w:tc>
      </w:tr>
      <w:tr w14:paraId="6CAB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31082BC6">
            <w:pPr>
              <w:pStyle w:val="45"/>
              <w:ind w:firstLine="0" w:firstLineChars="0"/>
              <w:rPr>
                <w:rFonts w:hint="eastAsia" w:ascii="Times New Roman" w:hAnsi="Times New Roman" w:eastAsia="黑体" w:cs="Times New Roman"/>
                <w:color w:val="auto"/>
                <w:kern w:val="2"/>
                <w:sz w:val="21"/>
                <w:szCs w:val="21"/>
                <w:lang w:val="en-US" w:eastAsia="zh-CN" w:bidi="ar-SA"/>
              </w:rPr>
            </w:pPr>
            <w:r>
              <w:drawing>
                <wp:inline distT="0" distB="0" distL="114300" distR="114300">
                  <wp:extent cx="1426210" cy="1440180"/>
                  <wp:effectExtent l="0" t="0" r="2540" b="7620"/>
                  <wp:docPr id="117"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8"/>
                          <pic:cNvPicPr>
                            <a:picLocks noChangeAspect="1"/>
                          </pic:cNvPicPr>
                        </pic:nvPicPr>
                        <pic:blipFill>
                          <a:blip r:embed="rId107"/>
                          <a:stretch>
                            <a:fillRect/>
                          </a:stretch>
                        </pic:blipFill>
                        <pic:spPr>
                          <a:xfrm>
                            <a:off x="0" y="0"/>
                            <a:ext cx="1426210" cy="1440180"/>
                          </a:xfrm>
                          <a:prstGeom prst="rect">
                            <a:avLst/>
                          </a:prstGeom>
                          <a:noFill/>
                          <a:ln>
                            <a:noFill/>
                          </a:ln>
                        </pic:spPr>
                      </pic:pic>
                    </a:graphicData>
                  </a:graphic>
                </wp:inline>
              </w:drawing>
            </w:r>
          </w:p>
        </w:tc>
        <w:tc>
          <w:tcPr>
            <w:tcW w:w="4258" w:type="dxa"/>
            <w:shd w:val="clear" w:color="auto" w:fill="auto"/>
            <w:vAlign w:val="center"/>
          </w:tcPr>
          <w:p w14:paraId="53B50BDF">
            <w:pPr>
              <w:pStyle w:val="45"/>
              <w:ind w:firstLine="0" w:firstLineChars="0"/>
              <w:rPr>
                <w:rFonts w:hint="eastAsia" w:ascii="Times New Roman" w:hAnsi="Times New Roman" w:eastAsia="黑体" w:cs="Times New Roman"/>
                <w:color w:val="auto"/>
                <w:kern w:val="2"/>
                <w:sz w:val="21"/>
                <w:szCs w:val="21"/>
                <w:lang w:val="en-US" w:eastAsia="zh-CN" w:bidi="ar-SA"/>
              </w:rPr>
            </w:pPr>
            <w:r>
              <w:drawing>
                <wp:inline distT="0" distB="0" distL="114300" distR="114300">
                  <wp:extent cx="1612265" cy="1440180"/>
                  <wp:effectExtent l="0" t="0" r="6985" b="7620"/>
                  <wp:docPr id="118"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69"/>
                          <pic:cNvPicPr>
                            <a:picLocks noChangeAspect="1"/>
                          </pic:cNvPicPr>
                        </pic:nvPicPr>
                        <pic:blipFill>
                          <a:blip r:embed="rId108"/>
                          <a:stretch>
                            <a:fillRect/>
                          </a:stretch>
                        </pic:blipFill>
                        <pic:spPr>
                          <a:xfrm>
                            <a:off x="0" y="0"/>
                            <a:ext cx="1612265" cy="1440180"/>
                          </a:xfrm>
                          <a:prstGeom prst="rect">
                            <a:avLst/>
                          </a:prstGeom>
                          <a:noFill/>
                          <a:ln>
                            <a:noFill/>
                          </a:ln>
                        </pic:spPr>
                      </pic:pic>
                    </a:graphicData>
                  </a:graphic>
                </wp:inline>
              </w:drawing>
            </w:r>
          </w:p>
        </w:tc>
      </w:tr>
      <w:tr w14:paraId="69B1C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7B84F4C3">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c</w:t>
            </w:r>
            <w:r>
              <w:rPr>
                <w:rFonts w:hint="eastAsia"/>
                <w:color w:val="auto"/>
              </w:rPr>
              <w:t>）</w:t>
            </w:r>
            <w:r>
              <w:rPr>
                <w:rFonts w:hint="eastAsia"/>
                <w:color w:val="auto"/>
                <w:lang w:val="en-US" w:eastAsia="zh-CN"/>
              </w:rPr>
              <w:t>B型梁端钢组件</w:t>
            </w:r>
          </w:p>
        </w:tc>
        <w:tc>
          <w:tcPr>
            <w:tcW w:w="4258" w:type="dxa"/>
            <w:shd w:val="clear" w:color="auto" w:fill="auto"/>
            <w:vAlign w:val="center"/>
          </w:tcPr>
          <w:p w14:paraId="7A500896">
            <w:pPr>
              <w:pStyle w:val="45"/>
              <w:ind w:firstLine="0" w:firstLineChars="0"/>
              <w:rPr>
                <w:rFonts w:hint="eastAsia"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d</w:t>
            </w:r>
            <w:r>
              <w:rPr>
                <w:rFonts w:hint="eastAsia"/>
                <w:color w:val="auto"/>
              </w:rPr>
              <w:t>）</w:t>
            </w:r>
            <w:r>
              <w:rPr>
                <w:rFonts w:hint="eastAsia"/>
                <w:color w:val="auto"/>
                <w:lang w:val="en-US" w:eastAsia="zh-CN"/>
              </w:rPr>
              <w:t>C型梁端钢组件</w:t>
            </w:r>
          </w:p>
        </w:tc>
      </w:tr>
      <w:tr w14:paraId="3B49E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gridSpan w:val="2"/>
            <w:shd w:val="clear" w:color="auto" w:fill="auto"/>
            <w:vAlign w:val="center"/>
          </w:tcPr>
          <w:p w14:paraId="5758DAE9">
            <w:pPr>
              <w:pStyle w:val="45"/>
              <w:ind w:firstLine="0" w:firstLineChars="0"/>
              <w:rPr>
                <w:rFonts w:hint="eastAsia"/>
                <w:i/>
                <w:iCs/>
                <w:color w:val="auto"/>
              </w:rPr>
            </w:pPr>
            <w:r>
              <w:drawing>
                <wp:inline distT="0" distB="0" distL="114300" distR="114300">
                  <wp:extent cx="1290955" cy="1080135"/>
                  <wp:effectExtent l="0" t="0" r="4445" b="5715"/>
                  <wp:docPr id="119"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0"/>
                          <pic:cNvPicPr>
                            <a:picLocks noChangeAspect="1"/>
                          </pic:cNvPicPr>
                        </pic:nvPicPr>
                        <pic:blipFill>
                          <a:blip r:embed="rId109"/>
                          <a:stretch>
                            <a:fillRect/>
                          </a:stretch>
                        </pic:blipFill>
                        <pic:spPr>
                          <a:xfrm>
                            <a:off x="0" y="0"/>
                            <a:ext cx="1290955" cy="1080135"/>
                          </a:xfrm>
                          <a:prstGeom prst="rect">
                            <a:avLst/>
                          </a:prstGeom>
                          <a:noFill/>
                          <a:ln>
                            <a:noFill/>
                          </a:ln>
                        </pic:spPr>
                      </pic:pic>
                    </a:graphicData>
                  </a:graphic>
                </wp:inline>
              </w:drawing>
            </w:r>
          </w:p>
          <w:p w14:paraId="5470C12A">
            <w:pPr>
              <w:pStyle w:val="45"/>
              <w:ind w:firstLine="0" w:firstLineChars="0"/>
              <w:rPr>
                <w:rFonts w:hint="default" w:eastAsia="黑体"/>
                <w:lang w:val="en-US" w:eastAsia="zh-CN"/>
              </w:rPr>
            </w:pPr>
            <w:r>
              <w:rPr>
                <w:rFonts w:hint="eastAsia"/>
                <w:i/>
                <w:iCs/>
                <w:color w:val="auto"/>
              </w:rPr>
              <w:t>b</w:t>
            </w:r>
            <w:r>
              <w:rPr>
                <w:color w:val="auto"/>
              </w:rPr>
              <w:t>—</w:t>
            </w:r>
            <w:r>
              <w:rPr>
                <w:rFonts w:hint="eastAsia"/>
                <w:color w:val="auto"/>
              </w:rPr>
              <w:t>焊缝宽度；</w:t>
            </w:r>
            <w:r>
              <w:rPr>
                <w:rFonts w:hint="eastAsia"/>
                <w:i/>
                <w:iCs/>
                <w:color w:val="auto"/>
              </w:rPr>
              <w:t>S</w:t>
            </w:r>
            <w:r>
              <w:rPr>
                <w:color w:val="auto"/>
              </w:rPr>
              <w:t>—</w:t>
            </w:r>
            <w:r>
              <w:rPr>
                <w:rFonts w:hint="eastAsia"/>
                <w:color w:val="auto"/>
              </w:rPr>
              <w:t>焊缝</w:t>
            </w:r>
            <w:r>
              <w:rPr>
                <w:rFonts w:hint="eastAsia"/>
                <w:color w:val="auto"/>
                <w:lang w:val="en-US" w:eastAsia="zh-CN"/>
              </w:rPr>
              <w:t>有效厚度</w:t>
            </w:r>
          </w:p>
        </w:tc>
      </w:tr>
      <w:tr w14:paraId="29FEE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gridSpan w:val="2"/>
            <w:shd w:val="clear" w:color="auto" w:fill="auto"/>
            <w:vAlign w:val="center"/>
          </w:tcPr>
          <w:p w14:paraId="546035D0">
            <w:pPr>
              <w:pStyle w:val="45"/>
              <w:ind w:firstLine="0" w:firstLineChars="0"/>
              <w:rPr>
                <w:rFonts w:hint="default" w:eastAsia="黑体"/>
                <w:i/>
                <w:iCs/>
                <w:color w:val="auto"/>
                <w:lang w:val="en-US" w:eastAsia="zh-CN"/>
              </w:rPr>
            </w:pPr>
            <w:r>
              <w:rPr>
                <w:rFonts w:hint="eastAsia"/>
                <w:color w:val="auto"/>
              </w:rPr>
              <w:t>（</w:t>
            </w:r>
            <w:r>
              <w:rPr>
                <w:rFonts w:hint="eastAsia"/>
                <w:color w:val="auto"/>
                <w:lang w:val="en-US" w:eastAsia="zh-CN"/>
              </w:rPr>
              <w:t>e</w:t>
            </w:r>
            <w:r>
              <w:rPr>
                <w:rFonts w:hint="eastAsia"/>
                <w:color w:val="auto"/>
              </w:rPr>
              <w:t>）</w:t>
            </w:r>
            <w:r>
              <w:rPr>
                <w:rFonts w:hint="eastAsia"/>
                <w:color w:val="auto"/>
                <w:lang w:val="en-US" w:eastAsia="zh-CN"/>
              </w:rPr>
              <w:t>搭接焊焊缝宽度和有效厚度示意</w:t>
            </w:r>
          </w:p>
        </w:tc>
      </w:tr>
    </w:tbl>
    <w:p w14:paraId="731FC8AF">
      <w:pPr>
        <w:pStyle w:val="45"/>
        <w:rPr>
          <w:color w:val="auto"/>
        </w:rPr>
      </w:pPr>
    </w:p>
    <w:p w14:paraId="4DDFFD53">
      <w:pPr>
        <w:pStyle w:val="45"/>
        <w:rPr>
          <w:color w:val="auto"/>
        </w:rPr>
      </w:pPr>
      <w:r>
        <w:rPr>
          <w:color w:val="auto"/>
        </w:rPr>
        <w:t>1—</w:t>
      </w:r>
      <w:r>
        <w:rPr>
          <w:rFonts w:hint="eastAsia"/>
          <w:color w:val="auto"/>
        </w:rPr>
        <w:t>梁端钢</w:t>
      </w:r>
      <w:r>
        <w:rPr>
          <w:rFonts w:hint="eastAsia"/>
          <w:color w:val="auto"/>
          <w:lang w:val="en-US" w:eastAsia="zh-CN"/>
        </w:rPr>
        <w:t>组</w:t>
      </w:r>
      <w:r>
        <w:rPr>
          <w:rFonts w:hint="eastAsia"/>
          <w:color w:val="auto"/>
        </w:rPr>
        <w:t>件</w:t>
      </w:r>
      <w:r>
        <w:rPr>
          <w:color w:val="auto"/>
        </w:rPr>
        <w:t>；2—混凝土梁</w:t>
      </w:r>
      <w:r>
        <w:rPr>
          <w:rFonts w:hint="eastAsia"/>
          <w:color w:val="auto"/>
        </w:rPr>
        <w:t>身；3</w:t>
      </w:r>
      <w:r>
        <w:rPr>
          <w:color w:val="auto"/>
        </w:rPr>
        <w:t>—</w:t>
      </w:r>
      <w:r>
        <w:rPr>
          <w:rFonts w:hint="eastAsia"/>
          <w:color w:val="auto"/>
        </w:rPr>
        <w:t>纵向受力钢筋</w:t>
      </w:r>
    </w:p>
    <w:p w14:paraId="49A90541">
      <w:pPr>
        <w:pStyle w:val="45"/>
        <w:rPr>
          <w:rFonts w:hint="eastAsia"/>
          <w:color w:val="auto"/>
        </w:rPr>
      </w:pPr>
      <w:r>
        <w:rPr>
          <w:rFonts w:hint="eastAsia"/>
          <w:color w:val="auto"/>
        </w:rPr>
        <w:t>图</w:t>
      </w:r>
      <w:r>
        <w:rPr>
          <w:rFonts w:hint="eastAsia"/>
          <w:color w:val="auto"/>
          <w:lang w:val="en-US" w:eastAsia="zh-CN"/>
        </w:rPr>
        <w:t>5</w:t>
      </w:r>
      <w:r>
        <w:rPr>
          <w:rFonts w:hint="eastAsia"/>
          <w:color w:val="auto"/>
        </w:rPr>
        <w:t>.2.</w:t>
      </w:r>
      <w:r>
        <w:rPr>
          <w:rFonts w:hint="eastAsia"/>
          <w:color w:val="auto"/>
          <w:lang w:val="en-US" w:eastAsia="zh-CN"/>
        </w:rPr>
        <w:t>1</w:t>
      </w:r>
      <w:r>
        <w:rPr>
          <w:rFonts w:hint="eastAsia"/>
          <w:color w:val="auto"/>
        </w:rPr>
        <w:t>1</w:t>
      </w:r>
      <w:r>
        <w:rPr>
          <w:color w:val="auto"/>
        </w:rPr>
        <w:t xml:space="preserve"> </w:t>
      </w:r>
      <w:r>
        <w:rPr>
          <w:rFonts w:hint="eastAsia"/>
          <w:color w:val="auto"/>
        </w:rPr>
        <w:t xml:space="preserve"> </w:t>
      </w:r>
      <w:r>
        <w:rPr>
          <w:rFonts w:hint="eastAsia"/>
          <w:color w:val="auto"/>
          <w:lang w:val="en-US" w:eastAsia="zh-CN"/>
        </w:rPr>
        <w:t>梁端</w:t>
      </w:r>
      <w:r>
        <w:rPr>
          <w:rFonts w:hint="eastAsia"/>
          <w:color w:val="auto"/>
        </w:rPr>
        <w:t>钢</w:t>
      </w:r>
      <w:r>
        <w:rPr>
          <w:rFonts w:hint="eastAsia"/>
          <w:color w:val="auto"/>
          <w:lang w:val="en-US" w:eastAsia="zh-CN"/>
        </w:rPr>
        <w:t>组件与</w:t>
      </w:r>
      <w:r>
        <w:rPr>
          <w:rFonts w:hint="eastAsia"/>
          <w:color w:val="auto"/>
        </w:rPr>
        <w:t>预制梁纵向受力钢筋</w:t>
      </w:r>
      <w:r>
        <w:rPr>
          <w:rFonts w:hint="eastAsia"/>
          <w:color w:val="auto"/>
          <w:lang w:val="en-US" w:eastAsia="zh-CN"/>
        </w:rPr>
        <w:t>连接</w:t>
      </w:r>
      <w:r>
        <w:rPr>
          <w:rFonts w:hint="eastAsia"/>
          <w:color w:val="auto"/>
        </w:rPr>
        <w:t>示意</w:t>
      </w:r>
    </w:p>
    <w:p w14:paraId="75A61310">
      <w:pPr>
        <w:pStyle w:val="45"/>
        <w:rPr>
          <w:rFonts w:hint="eastAsia"/>
          <w:color w:val="auto"/>
        </w:rPr>
      </w:pPr>
    </w:p>
    <w:p w14:paraId="2CDB8984">
      <w:pPr>
        <w:numPr>
          <w:ilvl w:val="2"/>
          <w:numId w:val="2"/>
        </w:numPr>
        <w:ind w:firstLineChars="0"/>
        <w:outlineLvl w:val="2"/>
        <w:rPr>
          <w:color w:val="auto"/>
        </w:rPr>
      </w:pPr>
      <w:r>
        <w:rPr>
          <w:rFonts w:hint="eastAsia"/>
          <w:color w:val="auto"/>
          <w:lang w:val="en-US" w:eastAsia="zh-CN"/>
        </w:rPr>
        <w:t>当采用A型、</w:t>
      </w:r>
      <w:r>
        <w:rPr>
          <w:rFonts w:hint="default" w:ascii="Times New Roman" w:hAnsi="Times New Roman" w:eastAsia="微软雅黑" w:cs="Times New Roman"/>
          <w:color w:val="auto"/>
          <w:vertAlign w:val="baseline"/>
          <w:lang w:val="en-US" w:eastAsia="zh-CN"/>
        </w:rPr>
        <w:t>B</w:t>
      </w:r>
      <w:r>
        <w:rPr>
          <w:rFonts w:hint="eastAsia"/>
          <w:color w:val="auto"/>
          <w:lang w:val="en-US" w:eastAsia="zh-CN"/>
        </w:rPr>
        <w:t>型梁端</w:t>
      </w:r>
      <w:r>
        <w:rPr>
          <w:rFonts w:hint="eastAsia"/>
          <w:color w:val="auto"/>
        </w:rPr>
        <w:t>钢</w:t>
      </w:r>
      <w:r>
        <w:rPr>
          <w:rFonts w:hint="eastAsia"/>
          <w:color w:val="auto"/>
          <w:lang w:val="en-US" w:eastAsia="zh-CN"/>
        </w:rPr>
        <w:t>组件且</w:t>
      </w:r>
      <w:r>
        <w:rPr>
          <w:rFonts w:hint="eastAsia"/>
          <w:color w:val="auto"/>
        </w:rPr>
        <w:t>混凝土梁身侧面设有纵向抗扭钢筋</w:t>
      </w:r>
      <w:r>
        <w:rPr>
          <w:rFonts w:hint="eastAsia"/>
          <w:color w:val="auto"/>
          <w:lang w:val="en-US" w:eastAsia="zh-CN"/>
        </w:rPr>
        <w:t>时</w:t>
      </w:r>
      <w:r>
        <w:rPr>
          <w:rFonts w:hint="eastAsia"/>
          <w:color w:val="auto"/>
        </w:rPr>
        <w:t>应符合下列规定</w:t>
      </w:r>
      <w:r>
        <w:rPr>
          <w:rFonts w:hint="eastAsia" w:ascii="Times New Roman" w:hAnsi="Times New Roman" w:eastAsia="宋体" w:cs="Times New Roman"/>
          <w:color w:val="auto"/>
        </w:rPr>
        <w:t>（图</w:t>
      </w:r>
      <w:r>
        <w:rPr>
          <w:rFonts w:hint="eastAsia" w:ascii="Times New Roman" w:hAnsi="Times New Roman" w:eastAsia="宋体" w:cs="Times New Roman"/>
          <w:color w:val="auto"/>
          <w:lang w:eastAsia="zh-CN"/>
        </w:rPr>
        <w:t>5</w:t>
      </w:r>
      <w:r>
        <w:rPr>
          <w:rFonts w:hint="eastAsia" w:ascii="Times New Roman" w:hAnsi="Times New Roman" w:eastAsia="宋体" w:cs="Times New Roman"/>
          <w:color w:val="auto"/>
        </w:rPr>
        <w:t>.2.</w:t>
      </w:r>
      <w:r>
        <w:rPr>
          <w:rFonts w:hint="eastAsia" w:ascii="Times New Roman" w:hAnsi="Times New Roman" w:eastAsia="宋体" w:cs="Times New Roman"/>
          <w:color w:val="auto"/>
          <w:lang w:val="en-US" w:eastAsia="zh-CN"/>
        </w:rPr>
        <w:t>12</w:t>
      </w:r>
      <w:r>
        <w:rPr>
          <w:rFonts w:hint="eastAsia" w:ascii="Times New Roman" w:hAnsi="Times New Roman" w:eastAsia="宋体" w:cs="Times New Roman"/>
          <w:color w:val="auto"/>
        </w:rPr>
        <w:t>）</w:t>
      </w:r>
      <w:r>
        <w:rPr>
          <w:rFonts w:hint="eastAsia"/>
          <w:color w:val="auto"/>
        </w:rPr>
        <w:t>：</w:t>
      </w:r>
    </w:p>
    <w:p w14:paraId="067DEA79">
      <w:pPr>
        <w:pStyle w:val="43"/>
        <w:tabs>
          <w:tab w:val="left" w:pos="420"/>
        </w:tabs>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钢</w:t>
      </w:r>
      <w:r>
        <w:rPr>
          <w:rFonts w:hint="eastAsia" w:ascii="Times New Roman" w:hAnsi="Times New Roman" w:eastAsia="宋体" w:cs="Times New Roman"/>
          <w:color w:val="auto"/>
          <w:lang w:val="en-US" w:eastAsia="zh-CN"/>
        </w:rPr>
        <w:t>组</w:t>
      </w:r>
      <w:r>
        <w:rPr>
          <w:rFonts w:hint="eastAsia" w:ascii="Times New Roman" w:hAnsi="Times New Roman" w:eastAsia="宋体" w:cs="Times New Roman"/>
          <w:color w:val="auto"/>
        </w:rPr>
        <w:t>件宜设置纵向加劲板，加劲板长度应与钢</w:t>
      </w:r>
      <w:r>
        <w:rPr>
          <w:rFonts w:hint="eastAsia" w:ascii="Times New Roman" w:hAnsi="Times New Roman" w:eastAsia="宋体" w:cs="Times New Roman"/>
          <w:color w:val="auto"/>
          <w:lang w:val="en-US" w:eastAsia="zh-CN"/>
        </w:rPr>
        <w:t>组</w:t>
      </w:r>
      <w:r>
        <w:rPr>
          <w:rFonts w:hint="eastAsia" w:ascii="Times New Roman" w:hAnsi="Times New Roman" w:eastAsia="宋体" w:cs="Times New Roman"/>
          <w:color w:val="auto"/>
        </w:rPr>
        <w:t>件的埋入长度相同，厚度应与钢</w:t>
      </w:r>
      <w:r>
        <w:rPr>
          <w:rFonts w:hint="eastAsia" w:ascii="Times New Roman" w:hAnsi="Times New Roman" w:eastAsia="宋体" w:cs="Times New Roman"/>
          <w:color w:val="auto"/>
          <w:lang w:val="en-US" w:eastAsia="zh-CN"/>
        </w:rPr>
        <w:t>组</w:t>
      </w:r>
      <w:r>
        <w:rPr>
          <w:rFonts w:hint="eastAsia" w:ascii="Times New Roman" w:hAnsi="Times New Roman" w:eastAsia="宋体" w:cs="Times New Roman"/>
          <w:color w:val="auto"/>
        </w:rPr>
        <w:t>件翼缘厚度相同。纵向抗扭钢筋应与加劲板焊接，</w:t>
      </w:r>
      <w:r>
        <w:rPr>
          <w:rFonts w:hint="eastAsia" w:ascii="Times New Roman" w:hAnsi="Times New Roman" w:eastAsia="宋体" w:cs="Times New Roman"/>
          <w:color w:val="auto"/>
          <w:lang w:val="en-US" w:eastAsia="zh-CN"/>
        </w:rPr>
        <w:t>焊接</w:t>
      </w:r>
      <w:r>
        <w:rPr>
          <w:rFonts w:hint="eastAsia" w:ascii="Times New Roman" w:hAnsi="Times New Roman" w:eastAsia="宋体" w:cs="Times New Roman"/>
          <w:color w:val="auto"/>
        </w:rPr>
        <w:t>长度和构造应符合本规程第</w:t>
      </w:r>
      <w:r>
        <w:rPr>
          <w:rFonts w:hint="eastAsia" w:ascii="Times New Roman" w:hAnsi="Times New Roman" w:eastAsia="宋体" w:cs="Times New Roman"/>
          <w:color w:val="auto"/>
          <w:lang w:eastAsia="zh-CN"/>
        </w:rPr>
        <w:t>5</w:t>
      </w:r>
      <w:r>
        <w:rPr>
          <w:rFonts w:hint="eastAsia" w:ascii="Times New Roman" w:hAnsi="Times New Roman" w:eastAsia="宋体" w:cs="Times New Roman"/>
          <w:color w:val="auto"/>
        </w:rPr>
        <w:t>.2.</w:t>
      </w:r>
      <w:r>
        <w:rPr>
          <w:rFonts w:hint="eastAsia" w:ascii="Times New Roman" w:hAnsi="Times New Roman" w:eastAsia="宋体" w:cs="Times New Roman"/>
          <w:color w:val="auto"/>
          <w:lang w:val="en-US" w:eastAsia="zh-CN"/>
        </w:rPr>
        <w:t>11</w:t>
      </w:r>
      <w:r>
        <w:rPr>
          <w:rFonts w:hint="eastAsia" w:ascii="Times New Roman" w:hAnsi="Times New Roman" w:eastAsia="宋体" w:cs="Times New Roman"/>
          <w:color w:val="auto"/>
        </w:rPr>
        <w:t>条的有关规定</w:t>
      </w:r>
      <w:r>
        <w:rPr>
          <w:rFonts w:hint="eastAsia" w:ascii="Times New Roman" w:hAnsi="Times New Roman" w:eastAsia="宋体" w:cs="Times New Roman"/>
          <w:color w:val="auto"/>
          <w:lang w:eastAsia="zh-CN"/>
        </w:rPr>
        <w:t>；</w:t>
      </w:r>
    </w:p>
    <w:p w14:paraId="79958E85">
      <w:pPr>
        <w:pStyle w:val="43"/>
        <w:tabs>
          <w:tab w:val="left" w:pos="420"/>
        </w:tabs>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钢</w:t>
      </w:r>
      <w:r>
        <w:rPr>
          <w:rFonts w:hint="eastAsia" w:ascii="Times New Roman" w:hAnsi="Times New Roman" w:eastAsia="宋体" w:cs="Times New Roman"/>
          <w:color w:val="auto"/>
          <w:lang w:val="en-US" w:eastAsia="zh-CN"/>
        </w:rPr>
        <w:t>组</w:t>
      </w:r>
      <w:r>
        <w:rPr>
          <w:rFonts w:hint="eastAsia" w:ascii="Times New Roman" w:hAnsi="Times New Roman" w:eastAsia="宋体" w:cs="Times New Roman"/>
          <w:color w:val="auto"/>
        </w:rPr>
        <w:t>件</w:t>
      </w:r>
      <w:r>
        <w:rPr>
          <w:rFonts w:hint="eastAsia" w:ascii="Times New Roman" w:hAnsi="Times New Roman" w:eastAsia="宋体" w:cs="Times New Roman"/>
          <w:color w:val="auto"/>
          <w:lang w:val="en-US" w:eastAsia="zh-CN"/>
        </w:rPr>
        <w:t>的螺栓孔</w:t>
      </w:r>
      <w:r>
        <w:rPr>
          <w:rFonts w:hint="eastAsia" w:ascii="Times New Roman" w:hAnsi="Times New Roman" w:eastAsia="宋体" w:cs="Times New Roman"/>
          <w:color w:val="auto"/>
        </w:rPr>
        <w:t>宜</w:t>
      </w:r>
      <w:r>
        <w:rPr>
          <w:rFonts w:hint="eastAsia" w:ascii="Times New Roman" w:hAnsi="Times New Roman" w:eastAsia="宋体" w:cs="Times New Roman"/>
          <w:color w:val="auto"/>
          <w:lang w:val="en-US" w:eastAsia="zh-CN"/>
        </w:rPr>
        <w:t>采用标准孔</w:t>
      </w:r>
      <w:r>
        <w:rPr>
          <w:rFonts w:hint="eastAsia"/>
          <w:color w:val="auto"/>
          <w:lang w:eastAsia="zh-CN"/>
        </w:rPr>
        <w:t>。</w:t>
      </w:r>
    </w:p>
    <w:p w14:paraId="73922FB9">
      <w:pPr>
        <w:pStyle w:val="43"/>
        <w:numPr>
          <w:ilvl w:val="-1"/>
          <w:numId w:val="0"/>
        </w:numPr>
        <w:tabs>
          <w:tab w:val="left" w:pos="420"/>
        </w:tabs>
        <w:ind w:leftChars="0" w:firstLine="0"/>
        <w:jc w:val="center"/>
      </w:pP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14:paraId="3987F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shd w:val="clear" w:color="auto" w:fill="auto"/>
            <w:vAlign w:val="center"/>
          </w:tcPr>
          <w:p w14:paraId="0F87D9B7">
            <w:pPr>
              <w:pStyle w:val="45"/>
              <w:ind w:firstLine="0" w:firstLineChars="0"/>
              <w:jc w:val="center"/>
              <w:rPr>
                <w:rFonts w:hint="default" w:eastAsia="黑体"/>
                <w:lang w:val="en-US" w:eastAsia="zh-CN"/>
              </w:rPr>
            </w:pPr>
            <w:r>
              <w:drawing>
                <wp:inline distT="0" distB="0" distL="114300" distR="114300">
                  <wp:extent cx="2509520" cy="1800225"/>
                  <wp:effectExtent l="0" t="0" r="5080" b="9525"/>
                  <wp:docPr id="12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72"/>
                          <pic:cNvPicPr>
                            <a:picLocks noChangeAspect="1"/>
                          </pic:cNvPicPr>
                        </pic:nvPicPr>
                        <pic:blipFill>
                          <a:blip r:embed="rId110"/>
                          <a:stretch>
                            <a:fillRect/>
                          </a:stretch>
                        </pic:blipFill>
                        <pic:spPr>
                          <a:xfrm>
                            <a:off x="0" y="0"/>
                            <a:ext cx="2509520" cy="1800225"/>
                          </a:xfrm>
                          <a:prstGeom prst="rect">
                            <a:avLst/>
                          </a:prstGeom>
                          <a:noFill/>
                          <a:ln>
                            <a:noFill/>
                          </a:ln>
                        </pic:spPr>
                      </pic:pic>
                    </a:graphicData>
                  </a:graphic>
                </wp:inline>
              </w:drawing>
            </w:r>
          </w:p>
        </w:tc>
      </w:tr>
    </w:tbl>
    <w:p w14:paraId="5E96F66D">
      <w:pPr>
        <w:pStyle w:val="45"/>
        <w:rPr>
          <w:color w:val="auto"/>
        </w:rPr>
      </w:pPr>
    </w:p>
    <w:p w14:paraId="7DCF62A3">
      <w:pPr>
        <w:pStyle w:val="45"/>
        <w:rPr>
          <w:color w:val="auto"/>
        </w:rPr>
      </w:pPr>
      <w:r>
        <w:rPr>
          <w:color w:val="auto"/>
        </w:rPr>
        <w:t>1—</w:t>
      </w:r>
      <w:r>
        <w:rPr>
          <w:rFonts w:hint="eastAsia"/>
          <w:color w:val="auto"/>
          <w:lang w:val="en-US" w:eastAsia="zh-CN"/>
        </w:rPr>
        <w:t>螺栓孔</w:t>
      </w:r>
      <w:r>
        <w:rPr>
          <w:color w:val="auto"/>
        </w:rPr>
        <w:t>；2—</w:t>
      </w:r>
      <w:r>
        <w:rPr>
          <w:rFonts w:hint="eastAsia"/>
          <w:color w:val="auto"/>
          <w:lang w:val="en-US" w:eastAsia="zh-CN"/>
        </w:rPr>
        <w:t>纵向加劲板</w:t>
      </w:r>
      <w:r>
        <w:rPr>
          <w:rFonts w:hint="eastAsia"/>
          <w:color w:val="auto"/>
        </w:rPr>
        <w:t>；3</w:t>
      </w:r>
      <w:r>
        <w:rPr>
          <w:color w:val="auto"/>
        </w:rPr>
        <w:t>—</w:t>
      </w:r>
      <w:r>
        <w:rPr>
          <w:rFonts w:hint="eastAsia"/>
          <w:color w:val="auto"/>
        </w:rPr>
        <w:t>纵向</w:t>
      </w:r>
      <w:r>
        <w:rPr>
          <w:rFonts w:hint="eastAsia"/>
          <w:color w:val="auto"/>
          <w:lang w:val="en-US" w:eastAsia="zh-CN"/>
        </w:rPr>
        <w:t>抗扭</w:t>
      </w:r>
      <w:r>
        <w:rPr>
          <w:rFonts w:hint="eastAsia"/>
          <w:color w:val="auto"/>
        </w:rPr>
        <w:t>钢筋</w:t>
      </w:r>
    </w:p>
    <w:p w14:paraId="13A0BA79">
      <w:pPr>
        <w:pStyle w:val="45"/>
        <w:rPr>
          <w:rFonts w:hint="eastAsia"/>
          <w:color w:val="auto"/>
          <w:lang w:val="en-US" w:eastAsia="zh-CN"/>
        </w:rPr>
      </w:pPr>
      <w:r>
        <w:rPr>
          <w:rFonts w:hint="eastAsia"/>
          <w:color w:val="auto"/>
        </w:rPr>
        <w:t>图</w:t>
      </w:r>
      <w:r>
        <w:rPr>
          <w:rFonts w:hint="eastAsia"/>
          <w:color w:val="auto"/>
          <w:lang w:val="en-US" w:eastAsia="zh-CN"/>
        </w:rPr>
        <w:t>5</w:t>
      </w:r>
      <w:r>
        <w:rPr>
          <w:rFonts w:hint="eastAsia"/>
          <w:color w:val="auto"/>
        </w:rPr>
        <w:t>.2.</w:t>
      </w:r>
      <w:r>
        <w:rPr>
          <w:rFonts w:hint="eastAsia"/>
          <w:color w:val="auto"/>
          <w:lang w:val="en-US" w:eastAsia="zh-CN"/>
        </w:rPr>
        <w:t>12</w:t>
      </w:r>
      <w:r>
        <w:rPr>
          <w:color w:val="auto"/>
        </w:rPr>
        <w:t xml:space="preserve"> </w:t>
      </w:r>
      <w:r>
        <w:rPr>
          <w:rFonts w:hint="eastAsia"/>
          <w:color w:val="auto"/>
        </w:rPr>
        <w:t xml:space="preserve"> </w:t>
      </w:r>
      <w:r>
        <w:rPr>
          <w:rFonts w:hint="eastAsia"/>
          <w:color w:val="auto"/>
          <w:lang w:val="en-US" w:eastAsia="zh-CN"/>
        </w:rPr>
        <w:t>预制梁纵向抗扭钢筋与梁端钢组件连接构造</w:t>
      </w:r>
    </w:p>
    <w:p w14:paraId="330C8762">
      <w:pPr>
        <w:pStyle w:val="45"/>
        <w:rPr>
          <w:rFonts w:hint="eastAsia"/>
          <w:color w:val="auto"/>
          <w:lang w:val="en-US" w:eastAsia="zh-CN"/>
        </w:rPr>
      </w:pPr>
    </w:p>
    <w:p w14:paraId="6F97D792">
      <w:pPr>
        <w:numPr>
          <w:ilvl w:val="2"/>
          <w:numId w:val="2"/>
        </w:numPr>
        <w:ind w:firstLineChars="0"/>
        <w:outlineLvl w:val="2"/>
        <w:rPr>
          <w:color w:val="auto"/>
        </w:rPr>
      </w:pPr>
      <w:r>
        <w:rPr>
          <w:rFonts w:hint="eastAsia"/>
          <w:color w:val="auto"/>
        </w:rPr>
        <w:t>当</w:t>
      </w:r>
      <w:r>
        <w:rPr>
          <w:rFonts w:hint="eastAsia"/>
          <w:color w:val="auto"/>
          <w:lang w:val="en-US" w:eastAsia="zh-CN"/>
        </w:rPr>
        <w:t>预制梁</w:t>
      </w:r>
      <w:r>
        <w:rPr>
          <w:rFonts w:hint="eastAsia"/>
          <w:color w:val="auto"/>
        </w:rPr>
        <w:t>下部纵向受力钢筋配置</w:t>
      </w:r>
      <w:r>
        <w:rPr>
          <w:rFonts w:hint="eastAsia"/>
          <w:color w:val="auto"/>
          <w:lang w:eastAsia="zh-CN"/>
        </w:rPr>
        <w:t>2</w:t>
      </w:r>
      <w:r>
        <w:rPr>
          <w:rFonts w:hint="eastAsia"/>
          <w:color w:val="auto"/>
        </w:rPr>
        <w:t>层及以上时应符合下列规定：</w:t>
      </w:r>
    </w:p>
    <w:p w14:paraId="548CD2DE">
      <w:pPr>
        <w:pStyle w:val="43"/>
        <w:tabs>
          <w:tab w:val="left" w:pos="420"/>
        </w:tabs>
        <w:ind w:firstLine="480" w:firstLineChars="0"/>
        <w:outlineLvl w:val="2"/>
        <w:rPr>
          <w:rFonts w:hint="eastAsia" w:ascii="Times New Roman" w:hAnsi="Times New Roman" w:eastAsia="宋体" w:cs="Times New Roman"/>
          <w:color w:val="auto"/>
        </w:rPr>
      </w:pPr>
      <w:r>
        <w:rPr>
          <w:rFonts w:hint="eastAsia" w:ascii="Times New Roman" w:hAnsi="Times New Roman" w:eastAsia="宋体" w:cs="Times New Roman"/>
          <w:color w:val="auto"/>
        </w:rPr>
        <w:t>当采用</w:t>
      </w:r>
      <w:r>
        <w:rPr>
          <w:rFonts w:hint="eastAsia"/>
          <w:color w:val="auto"/>
          <w:lang w:val="en-US" w:eastAsia="zh-CN"/>
        </w:rPr>
        <w:t>A</w:t>
      </w:r>
      <w:r>
        <w:rPr>
          <w:rFonts w:hint="eastAsia" w:ascii="宋体" w:hAnsi="宋体" w:eastAsia="宋体" w:cs="宋体"/>
          <w:color w:val="auto"/>
          <w:vertAlign w:val="baseline"/>
          <w:lang w:val="en-US" w:eastAsia="zh-CN"/>
        </w:rPr>
        <w:t>、</w:t>
      </w:r>
      <w:r>
        <w:rPr>
          <w:rFonts w:hint="default" w:ascii="Times New Roman" w:hAnsi="Times New Roman" w:eastAsia="微软雅黑" w:cs="Times New Roman"/>
          <w:color w:val="auto"/>
          <w:vertAlign w:val="baseline"/>
          <w:lang w:val="en-US" w:eastAsia="zh-CN"/>
        </w:rPr>
        <w:t>B</w:t>
      </w:r>
      <w:r>
        <w:rPr>
          <w:rFonts w:hint="eastAsia" w:ascii="Times New Roman" w:hAnsi="Times New Roman" w:eastAsia="宋体" w:cs="Times New Roman"/>
          <w:color w:val="auto"/>
        </w:rPr>
        <w:t>型</w:t>
      </w:r>
      <w:r>
        <w:rPr>
          <w:rFonts w:hint="eastAsia" w:ascii="Times New Roman" w:hAnsi="Times New Roman" w:eastAsia="宋体" w:cs="Times New Roman"/>
          <w:color w:val="auto"/>
          <w:lang w:val="en-US" w:eastAsia="zh-CN"/>
        </w:rPr>
        <w:t>梁端钢组件</w:t>
      </w:r>
      <w:r>
        <w:rPr>
          <w:rFonts w:hint="eastAsia" w:ascii="Times New Roman" w:hAnsi="Times New Roman" w:eastAsia="宋体" w:cs="Times New Roman"/>
          <w:color w:val="auto"/>
        </w:rPr>
        <w:t>时，除底层钢筋应与钢组件下翼缘焊接外，其余钢筋可根据弯矩包络图按现行国家标准《混凝土结构设计标准》GB/T 50010的有关规定进行截断</w:t>
      </w:r>
      <w:r>
        <w:rPr>
          <w:rFonts w:hint="eastAsia" w:cs="Times New Roman"/>
          <w:color w:val="auto"/>
          <w:lang w:eastAsia="zh-CN"/>
        </w:rPr>
        <w:t>；</w:t>
      </w:r>
    </w:p>
    <w:p w14:paraId="65B8E978">
      <w:pPr>
        <w:pStyle w:val="43"/>
        <w:tabs>
          <w:tab w:val="left" w:pos="420"/>
        </w:tabs>
        <w:ind w:firstLine="480" w:firstLineChars="0"/>
        <w:outlineLvl w:val="2"/>
        <w:rPr>
          <w:rFonts w:hint="eastAsia" w:ascii="Times New Roman" w:hAnsi="Times New Roman" w:eastAsia="宋体" w:cs="Times New Roman"/>
          <w:color w:val="auto"/>
        </w:rPr>
      </w:pPr>
      <w:r>
        <w:rPr>
          <w:rFonts w:hint="eastAsia" w:ascii="Times New Roman" w:hAnsi="Times New Roman" w:eastAsia="宋体" w:cs="Times New Roman"/>
          <w:color w:val="auto"/>
        </w:rPr>
        <w:t>当采用</w:t>
      </w:r>
      <w:r>
        <w:rPr>
          <w:rFonts w:hint="eastAsia"/>
          <w:color w:val="auto"/>
          <w:lang w:val="en-US" w:eastAsia="zh-CN"/>
        </w:rPr>
        <w:t>C</w:t>
      </w:r>
      <w:r>
        <w:rPr>
          <w:rFonts w:hint="eastAsia" w:ascii="Times New Roman" w:hAnsi="Times New Roman" w:eastAsia="宋体" w:cs="Times New Roman"/>
          <w:color w:val="auto"/>
        </w:rPr>
        <w:t>型</w:t>
      </w:r>
      <w:r>
        <w:rPr>
          <w:rFonts w:hint="eastAsia" w:ascii="Times New Roman" w:hAnsi="Times New Roman" w:eastAsia="宋体" w:cs="Times New Roman"/>
          <w:color w:val="auto"/>
          <w:lang w:val="en-US" w:eastAsia="zh-CN"/>
        </w:rPr>
        <w:t>梁端钢组件</w:t>
      </w:r>
      <w:r>
        <w:rPr>
          <w:rFonts w:hint="eastAsia" w:ascii="Times New Roman" w:hAnsi="Times New Roman" w:eastAsia="宋体" w:cs="Times New Roman"/>
          <w:color w:val="auto"/>
        </w:rPr>
        <w:t>时，可根据弯矩包络图按现行国家标准《混凝土结构设计标准》GB/T 50010的有关规定进行截断。</w:t>
      </w:r>
    </w:p>
    <w:p w14:paraId="53828A3D">
      <w:pPr>
        <w:numPr>
          <w:ilvl w:val="2"/>
          <w:numId w:val="2"/>
        </w:numPr>
        <w:ind w:firstLineChars="0"/>
        <w:outlineLvl w:val="2"/>
        <w:rPr>
          <w:color w:val="auto"/>
        </w:rPr>
      </w:pPr>
      <w:r>
        <w:rPr>
          <w:rFonts w:hint="eastAsia"/>
          <w:color w:val="auto"/>
        </w:rPr>
        <w:t>预制梁</w:t>
      </w:r>
      <w:r>
        <w:rPr>
          <w:rFonts w:hint="eastAsia"/>
          <w:color w:val="auto"/>
          <w:lang w:val="en-US" w:eastAsia="zh-CN"/>
        </w:rPr>
        <w:t>应按混凝土梁身截面进行</w:t>
      </w:r>
      <w:r>
        <w:rPr>
          <w:rFonts w:hint="eastAsia"/>
          <w:color w:val="auto"/>
        </w:rPr>
        <w:t>正截面受弯承载力</w:t>
      </w:r>
      <w:r>
        <w:rPr>
          <w:rFonts w:hint="eastAsia"/>
          <w:color w:val="auto"/>
          <w:lang w:val="en-US" w:eastAsia="zh-CN"/>
        </w:rPr>
        <w:t>和斜截面受剪承载力计算，</w:t>
      </w:r>
      <w:r>
        <w:rPr>
          <w:rFonts w:hint="eastAsia"/>
          <w:color w:val="auto"/>
        </w:rPr>
        <w:t>计算应符合现行国家标准《混凝土结构设计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50010的有关规定，混凝土梁身端部截面受弯承载力</w:t>
      </w:r>
      <w:r>
        <w:rPr>
          <w:rFonts w:hint="eastAsia"/>
          <w:color w:val="auto"/>
          <w:lang w:val="en-US" w:eastAsia="zh-CN"/>
        </w:rPr>
        <w:t>和受剪承载力</w:t>
      </w:r>
      <w:r>
        <w:rPr>
          <w:rFonts w:hint="eastAsia"/>
          <w:color w:val="auto"/>
        </w:rPr>
        <w:t>计算时不应考虑钢</w:t>
      </w:r>
      <w:r>
        <w:rPr>
          <w:rFonts w:hint="eastAsia"/>
          <w:color w:val="auto"/>
          <w:lang w:val="en-US" w:eastAsia="zh-CN"/>
        </w:rPr>
        <w:t>组</w:t>
      </w:r>
      <w:r>
        <w:rPr>
          <w:rFonts w:hint="eastAsia"/>
          <w:color w:val="auto"/>
        </w:rPr>
        <w:t>件的作用</w:t>
      </w:r>
      <w:r>
        <w:rPr>
          <w:rFonts w:hint="eastAsia"/>
          <w:color w:val="auto"/>
          <w:lang w:eastAsia="zh-CN"/>
        </w:rPr>
        <w:t>。</w:t>
      </w:r>
    </w:p>
    <w:p w14:paraId="2F65ACE1">
      <w:pPr>
        <w:pStyle w:val="42"/>
        <w:rPr>
          <w:color w:val="auto"/>
        </w:rPr>
      </w:pPr>
      <w:r>
        <w:rPr>
          <w:rFonts w:hint="eastAsia"/>
          <w:color w:val="auto"/>
          <w:lang w:val="en-US" w:eastAsia="zh-CN"/>
        </w:rPr>
        <w:t>预制梁可按现行国家标准《混凝土结构设计标准》GB/T 50010对框架梁的有关规定进行弯矩调幅设计。</w:t>
      </w:r>
    </w:p>
    <w:p w14:paraId="1D5924F4">
      <w:pPr>
        <w:pStyle w:val="42"/>
        <w:rPr>
          <w:color w:val="auto"/>
        </w:rPr>
      </w:pPr>
      <w:r>
        <w:rPr>
          <w:rFonts w:hint="eastAsia" w:ascii="Times New Roman" w:hAnsi="Times New Roman" w:eastAsia="宋体" w:cs="Times New Roman"/>
          <w:color w:val="auto"/>
        </w:rPr>
        <w:t>当采用</w:t>
      </w:r>
      <w:r>
        <w:rPr>
          <w:rFonts w:hint="eastAsia"/>
          <w:color w:val="auto"/>
          <w:lang w:val="en-US" w:eastAsia="zh-CN"/>
        </w:rPr>
        <w:t>A</w:t>
      </w:r>
      <w:r>
        <w:rPr>
          <w:rFonts w:hint="eastAsia" w:ascii="宋体" w:hAnsi="宋体" w:eastAsia="宋体" w:cs="宋体"/>
          <w:color w:val="auto"/>
          <w:vertAlign w:val="baseline"/>
          <w:lang w:val="en-US" w:eastAsia="zh-CN"/>
        </w:rPr>
        <w:t>、</w:t>
      </w:r>
      <w:r>
        <w:rPr>
          <w:rFonts w:hint="default" w:ascii="Times New Roman" w:hAnsi="Times New Roman" w:eastAsia="微软雅黑" w:cs="Times New Roman"/>
          <w:color w:val="auto"/>
          <w:vertAlign w:val="baseline"/>
          <w:lang w:val="en-US" w:eastAsia="zh-CN"/>
        </w:rPr>
        <w:t>B</w:t>
      </w:r>
      <w:r>
        <w:rPr>
          <w:rFonts w:hint="eastAsia" w:ascii="Times New Roman" w:hAnsi="Times New Roman" w:eastAsia="宋体" w:cs="Times New Roman"/>
          <w:color w:val="auto"/>
        </w:rPr>
        <w:t>型</w:t>
      </w:r>
      <w:r>
        <w:rPr>
          <w:rFonts w:hint="eastAsia" w:ascii="Times New Roman" w:hAnsi="Times New Roman" w:eastAsia="宋体" w:cs="Times New Roman"/>
          <w:color w:val="auto"/>
          <w:lang w:val="en-US" w:eastAsia="zh-CN"/>
        </w:rPr>
        <w:t>梁端钢组件时</w:t>
      </w:r>
      <w:r>
        <w:rPr>
          <w:rFonts w:hint="eastAsia" w:ascii="Times New Roman" w:hAnsi="Times New Roman" w:eastAsia="宋体" w:cs="Times New Roman"/>
          <w:color w:val="auto"/>
          <w:lang w:eastAsia="zh-CN"/>
        </w:rPr>
        <w:t>，</w:t>
      </w:r>
      <w:r>
        <w:rPr>
          <w:rFonts w:hint="eastAsia"/>
          <w:color w:val="auto"/>
        </w:rPr>
        <w:t>预制梁端部</w:t>
      </w:r>
      <w:r>
        <w:rPr>
          <w:rFonts w:hint="eastAsia"/>
          <w:color w:val="auto"/>
          <w:lang w:val="en-US" w:eastAsia="zh-CN"/>
        </w:rPr>
        <w:t>的正截面</w:t>
      </w:r>
      <w:r>
        <w:rPr>
          <w:rFonts w:hint="eastAsia"/>
          <w:color w:val="auto"/>
        </w:rPr>
        <w:t>受弯承载力应满足下式要求：</w:t>
      </w:r>
    </w:p>
    <w:p w14:paraId="45BEA8EE">
      <w:pPr>
        <w:ind w:firstLine="480"/>
        <w:jc w:val="right"/>
        <w:rPr>
          <w:color w:val="auto"/>
        </w:rPr>
      </w:pPr>
      <w:r>
        <w:rPr>
          <w:color w:val="auto"/>
          <w:position w:val="-30"/>
        </w:rPr>
        <w:object>
          <v:shape id="_x0000_i1061" o:spt="75" type="#_x0000_t75" style="height:34.15pt;width:85.15pt;" o:ole="t" filled="f" o:preferrelative="t" stroked="f" coordsize="21600,21600">
            <v:path/>
            <v:fill on="f" focussize="0,0"/>
            <v:stroke on="f"/>
            <v:imagedata r:id="rId112" o:title=""/>
            <o:lock v:ext="edit" aspectratio="t"/>
            <w10:wrap type="none"/>
            <w10:anchorlock/>
          </v:shape>
          <o:OLEObject Type="Embed" ProgID="Equation.DSMT4" ShapeID="_x0000_i1061" DrawAspect="Content" ObjectID="_1468075761" r:id="rId111">
            <o:LockedField>false</o:LockedField>
          </o:OLEObject>
        </w:object>
      </w:r>
      <w:r>
        <w:rPr>
          <w:rFonts w:hint="eastAsia"/>
          <w:color w:val="auto"/>
        </w:rPr>
        <w:t xml:space="preserve">                   （5.</w:t>
      </w:r>
      <w:r>
        <w:rPr>
          <w:rFonts w:hint="eastAsia"/>
          <w:color w:val="auto"/>
          <w:lang w:val="en-US" w:eastAsia="zh-CN"/>
        </w:rPr>
        <w:t>2</w:t>
      </w:r>
      <w:r>
        <w:rPr>
          <w:rFonts w:hint="eastAsia"/>
          <w:color w:val="auto"/>
        </w:rPr>
        <w:t>.</w:t>
      </w:r>
      <w:r>
        <w:rPr>
          <w:rFonts w:hint="eastAsia"/>
          <w:color w:val="auto"/>
          <w:lang w:val="en-US" w:eastAsia="zh-CN"/>
        </w:rPr>
        <w:t>16</w:t>
      </w:r>
      <w:r>
        <w:rPr>
          <w:rFonts w:hint="eastAsia"/>
          <w:color w:val="auto"/>
        </w:rPr>
        <w:t>）</w:t>
      </w:r>
    </w:p>
    <w:tbl>
      <w:tblPr>
        <w:tblStyle w:val="30"/>
        <w:tblW w:w="0" w:type="auto"/>
        <w:tblInd w:w="0" w:type="dxa"/>
        <w:tblLayout w:type="autofit"/>
        <w:tblCellMar>
          <w:top w:w="0" w:type="dxa"/>
          <w:left w:w="0" w:type="dxa"/>
          <w:bottom w:w="0" w:type="dxa"/>
          <w:right w:w="0" w:type="dxa"/>
        </w:tblCellMar>
      </w:tblPr>
      <w:tblGrid>
        <w:gridCol w:w="792"/>
        <w:gridCol w:w="692"/>
        <w:gridCol w:w="612"/>
        <w:gridCol w:w="6204"/>
      </w:tblGrid>
      <w:tr w14:paraId="47907560">
        <w:tblPrEx>
          <w:tblCellMar>
            <w:top w:w="0" w:type="dxa"/>
            <w:left w:w="0" w:type="dxa"/>
            <w:bottom w:w="0" w:type="dxa"/>
            <w:right w:w="0" w:type="dxa"/>
          </w:tblCellMar>
        </w:tblPrEx>
        <w:trPr>
          <w:trHeight w:val="245" w:hRule="atLeast"/>
        </w:trPr>
        <w:tc>
          <w:tcPr>
            <w:tcW w:w="792" w:type="dxa"/>
          </w:tcPr>
          <w:p w14:paraId="510D4026">
            <w:pPr>
              <w:ind w:firstLine="0" w:firstLineChars="0"/>
              <w:rPr>
                <w:color w:val="auto"/>
              </w:rPr>
            </w:pPr>
            <w:r>
              <w:rPr>
                <w:rFonts w:hint="eastAsia"/>
                <w:color w:val="auto"/>
              </w:rPr>
              <w:t>式中：</w:t>
            </w:r>
          </w:p>
        </w:tc>
        <w:tc>
          <w:tcPr>
            <w:tcW w:w="692" w:type="dxa"/>
          </w:tcPr>
          <w:p w14:paraId="1C379957">
            <w:pPr>
              <w:ind w:firstLine="0" w:firstLineChars="0"/>
              <w:jc w:val="right"/>
              <w:rPr>
                <w:color w:val="auto"/>
              </w:rPr>
            </w:pPr>
            <w:r>
              <w:rPr>
                <w:rFonts w:hint="eastAsia"/>
                <w:color w:val="auto"/>
                <w:position w:val="-12"/>
              </w:rPr>
              <w:object>
                <v:shape id="_x0000_i1062" o:spt="75" type="#_x0000_t75" style="height:18pt;width:28.9pt;" o:ole="t" filled="f" o:preferrelative="t" stroked="f" coordsize="21600,21600">
                  <v:path/>
                  <v:fill on="f" focussize="0,0"/>
                  <v:stroke on="f" joinstyle="miter"/>
                  <v:imagedata r:id="rId114" o:title=""/>
                  <o:lock v:ext="edit" aspectratio="t"/>
                  <w10:wrap type="none"/>
                  <w10:anchorlock/>
                </v:shape>
                <o:OLEObject Type="Embed" ProgID="Equation.DSMT4" ShapeID="_x0000_i1062" DrawAspect="Content" ObjectID="_1468075762" r:id="rId113">
                  <o:LockedField>false</o:LockedField>
                </o:OLEObject>
              </w:object>
            </w:r>
          </w:p>
        </w:tc>
        <w:tc>
          <w:tcPr>
            <w:tcW w:w="612" w:type="dxa"/>
          </w:tcPr>
          <w:p w14:paraId="620EB51C">
            <w:pPr>
              <w:ind w:firstLine="0" w:firstLineChars="0"/>
              <w:rPr>
                <w:color w:val="auto"/>
              </w:rPr>
            </w:pPr>
            <w:r>
              <w:rPr>
                <w:color w:val="auto"/>
              </w:rPr>
              <w:t>——</w:t>
            </w:r>
          </w:p>
        </w:tc>
        <w:tc>
          <w:tcPr>
            <w:tcW w:w="6204" w:type="dxa"/>
          </w:tcPr>
          <w:p w14:paraId="1FC6B855">
            <w:pPr>
              <w:ind w:firstLine="0" w:firstLineChars="0"/>
              <w:rPr>
                <w:color w:val="auto"/>
              </w:rPr>
            </w:pPr>
            <w:r>
              <w:rPr>
                <w:rFonts w:hint="eastAsia"/>
                <w:color w:val="auto"/>
              </w:rPr>
              <w:t>钢</w:t>
            </w:r>
            <w:r>
              <w:rPr>
                <w:rFonts w:hint="eastAsia"/>
                <w:color w:val="auto"/>
                <w:lang w:val="en-US" w:eastAsia="zh-CN"/>
              </w:rPr>
              <w:t>组</w:t>
            </w:r>
            <w:r>
              <w:rPr>
                <w:rFonts w:hint="eastAsia"/>
                <w:color w:val="auto"/>
              </w:rPr>
              <w:t>件端部截面（图5.</w:t>
            </w:r>
            <w:r>
              <w:rPr>
                <w:rFonts w:hint="eastAsia"/>
                <w:color w:val="auto"/>
                <w:lang w:val="en-US" w:eastAsia="zh-CN"/>
              </w:rPr>
              <w:t>2</w:t>
            </w:r>
            <w:r>
              <w:rPr>
                <w:rFonts w:hint="eastAsia"/>
                <w:color w:val="auto"/>
              </w:rPr>
              <w:t>.</w:t>
            </w:r>
            <w:r>
              <w:rPr>
                <w:rFonts w:hint="eastAsia"/>
                <w:color w:val="auto"/>
                <w:lang w:val="en-US" w:eastAsia="zh-CN"/>
              </w:rPr>
              <w:t>16</w:t>
            </w:r>
            <w:r>
              <w:rPr>
                <w:rFonts w:hint="eastAsia"/>
                <w:color w:val="auto"/>
              </w:rPr>
              <w:t>中</w:t>
            </w:r>
            <w:r>
              <w:rPr>
                <w:color w:val="auto"/>
              </w:rPr>
              <w:t>Ⅰ-Ⅰ截面</w:t>
            </w:r>
            <w:r>
              <w:rPr>
                <w:rFonts w:hint="eastAsia"/>
                <w:color w:val="auto"/>
              </w:rPr>
              <w:t>）的受弯承载力（N·mm），应</w:t>
            </w:r>
            <w:r>
              <w:rPr>
                <w:rFonts w:hint="eastAsia"/>
                <w:color w:val="auto"/>
                <w:lang w:val="en-US" w:eastAsia="zh-CN"/>
              </w:rPr>
              <w:t>按</w:t>
            </w:r>
            <w:r>
              <w:rPr>
                <w:rFonts w:hint="eastAsia"/>
                <w:color w:val="auto"/>
              </w:rPr>
              <w:t>现行国家标准《钢结构设计标准》GB 50017</w:t>
            </w:r>
            <w:r>
              <w:rPr>
                <w:rFonts w:hint="eastAsia"/>
                <w:color w:val="auto"/>
                <w:lang w:val="en-US" w:eastAsia="zh-CN"/>
              </w:rPr>
              <w:t>进行计算，计算时</w:t>
            </w:r>
            <w:r>
              <w:rPr>
                <w:rFonts w:hint="eastAsia"/>
                <w:color w:val="auto"/>
              </w:rPr>
              <w:t>不考虑</w:t>
            </w:r>
            <w:r>
              <w:rPr>
                <w:rFonts w:hint="eastAsia"/>
                <w:color w:val="auto"/>
                <w:lang w:val="en-US" w:eastAsia="zh-CN"/>
              </w:rPr>
              <w:t>钢组件腹板和楼板</w:t>
            </w:r>
            <w:r>
              <w:rPr>
                <w:rFonts w:hint="eastAsia"/>
                <w:color w:val="auto"/>
              </w:rPr>
              <w:t>的作用，</w:t>
            </w:r>
            <w:r>
              <w:rPr>
                <w:rFonts w:hint="eastAsia"/>
                <w:color w:val="auto"/>
                <w:lang w:val="en-US" w:eastAsia="zh-CN"/>
              </w:rPr>
              <w:t>且</w:t>
            </w:r>
            <w:r>
              <w:rPr>
                <w:rFonts w:hint="eastAsia"/>
                <w:color w:val="auto"/>
              </w:rPr>
              <w:t>不考虑承载力抗震调整系数，材料强度取标准值；</w:t>
            </w:r>
          </w:p>
        </w:tc>
      </w:tr>
      <w:tr w14:paraId="1B049434">
        <w:tblPrEx>
          <w:tblCellMar>
            <w:top w:w="0" w:type="dxa"/>
            <w:left w:w="0" w:type="dxa"/>
            <w:bottom w:w="0" w:type="dxa"/>
            <w:right w:w="0" w:type="dxa"/>
          </w:tblCellMar>
        </w:tblPrEx>
        <w:trPr>
          <w:trHeight w:val="245" w:hRule="atLeast"/>
        </w:trPr>
        <w:tc>
          <w:tcPr>
            <w:tcW w:w="792" w:type="dxa"/>
          </w:tcPr>
          <w:p w14:paraId="404CBFAD">
            <w:pPr>
              <w:ind w:firstLine="0" w:firstLineChars="0"/>
              <w:rPr>
                <w:color w:val="auto"/>
              </w:rPr>
            </w:pPr>
          </w:p>
        </w:tc>
        <w:tc>
          <w:tcPr>
            <w:tcW w:w="692" w:type="dxa"/>
            <w:shd w:val="clear" w:color="auto" w:fill="auto"/>
            <w:vAlign w:val="top"/>
          </w:tcPr>
          <w:p w14:paraId="081D1D5F">
            <w:pPr>
              <w:ind w:firstLine="0" w:firstLineChars="0"/>
              <w:jc w:val="right"/>
              <w:rPr>
                <w:rFonts w:hint="eastAsia" w:ascii="Times New Roman" w:hAnsi="Times New Roman" w:eastAsia="宋体" w:cs="Times New Roman"/>
                <w:color w:val="auto"/>
                <w:kern w:val="2"/>
                <w:sz w:val="24"/>
                <w:lang w:val="en-US" w:eastAsia="zh-CN" w:bidi="ar-SA"/>
              </w:rPr>
            </w:pPr>
            <w:r>
              <w:rPr>
                <w:rFonts w:hint="eastAsia"/>
                <w:color w:val="auto"/>
                <w:position w:val="-12"/>
              </w:rPr>
              <w:object>
                <v:shape id="_x0000_i1063" o:spt="75" type="#_x0000_t75" style="height:18pt;width:28.9pt;" o:ole="t" filled="f" o:preferrelative="t" stroked="f" coordsize="21600,21600">
                  <v:path/>
                  <v:fill on="f" focussize="0,0"/>
                  <v:stroke on="f" joinstyle="miter"/>
                  <v:imagedata r:id="rId116" o:title=""/>
                  <o:lock v:ext="edit" aspectratio="t"/>
                  <w10:wrap type="none"/>
                  <w10:anchorlock/>
                </v:shape>
                <o:OLEObject Type="Embed" ProgID="Equation.DSMT4" ShapeID="_x0000_i1063" DrawAspect="Content" ObjectID="_1468075763" r:id="rId115">
                  <o:LockedField>false</o:LockedField>
                </o:OLEObject>
              </w:object>
            </w:r>
          </w:p>
        </w:tc>
        <w:tc>
          <w:tcPr>
            <w:tcW w:w="612" w:type="dxa"/>
            <w:shd w:val="clear" w:color="auto" w:fill="auto"/>
            <w:vAlign w:val="top"/>
          </w:tcPr>
          <w:p w14:paraId="1E02A4E3">
            <w:pPr>
              <w:ind w:firstLine="0" w:firstLineChars="0"/>
              <w:rPr>
                <w:rFonts w:ascii="Times New Roman" w:hAnsi="Times New Roman" w:eastAsia="宋体" w:cs="Times New Roman"/>
                <w:color w:val="auto"/>
                <w:kern w:val="2"/>
                <w:sz w:val="24"/>
                <w:lang w:val="en-US" w:eastAsia="zh-CN" w:bidi="ar-SA"/>
              </w:rPr>
            </w:pPr>
            <w:r>
              <w:rPr>
                <w:color w:val="auto"/>
              </w:rPr>
              <w:t>——</w:t>
            </w:r>
          </w:p>
        </w:tc>
        <w:tc>
          <w:tcPr>
            <w:tcW w:w="6204" w:type="dxa"/>
            <w:shd w:val="clear" w:color="auto" w:fill="auto"/>
            <w:vAlign w:val="top"/>
          </w:tcPr>
          <w:p w14:paraId="4106EEDA">
            <w:pPr>
              <w:ind w:firstLine="0" w:firstLineChars="0"/>
              <w:rPr>
                <w:rFonts w:hint="eastAsia" w:ascii="Times New Roman" w:hAnsi="Times New Roman" w:eastAsia="宋体" w:cs="Times New Roman"/>
                <w:color w:val="auto"/>
                <w:kern w:val="2"/>
                <w:sz w:val="24"/>
                <w:lang w:val="en-US" w:eastAsia="zh-CN" w:bidi="ar-SA"/>
              </w:rPr>
            </w:pPr>
            <w:r>
              <w:rPr>
                <w:rFonts w:hint="eastAsia" w:eastAsiaTheme="minorEastAsia"/>
                <w:color w:val="auto"/>
              </w:rPr>
              <w:t>按实配钢筋计算的</w:t>
            </w:r>
            <w:r>
              <w:rPr>
                <w:rFonts w:hint="eastAsia"/>
                <w:color w:val="auto"/>
              </w:rPr>
              <w:t>混凝土梁身端部截面（图5.</w:t>
            </w:r>
            <w:r>
              <w:rPr>
                <w:rFonts w:hint="eastAsia"/>
                <w:color w:val="auto"/>
                <w:lang w:val="en-US" w:eastAsia="zh-CN"/>
              </w:rPr>
              <w:t>2</w:t>
            </w:r>
            <w:r>
              <w:rPr>
                <w:rFonts w:hint="eastAsia"/>
                <w:color w:val="auto"/>
              </w:rPr>
              <w:t>.</w:t>
            </w:r>
            <w:r>
              <w:rPr>
                <w:rFonts w:hint="eastAsia"/>
                <w:color w:val="auto"/>
                <w:lang w:val="en-US" w:eastAsia="zh-CN"/>
              </w:rPr>
              <w:t>16</w:t>
            </w:r>
            <w:r>
              <w:rPr>
                <w:rFonts w:hint="eastAsia"/>
                <w:color w:val="auto"/>
              </w:rPr>
              <w:t>中</w:t>
            </w:r>
            <w:r>
              <w:rPr>
                <w:color w:val="auto"/>
              </w:rPr>
              <w:t>Ⅱ-Ⅱ</w:t>
            </w:r>
            <w:r>
              <w:rPr>
                <w:rFonts w:hint="eastAsia"/>
                <w:color w:val="auto"/>
              </w:rPr>
              <w:t>截面）的受弯承载力（N·mm），计算时不考虑承载力抗震调整系数，材料强度取标准值；</w:t>
            </w:r>
          </w:p>
        </w:tc>
      </w:tr>
      <w:tr w14:paraId="154C8AA0">
        <w:tblPrEx>
          <w:tblCellMar>
            <w:top w:w="0" w:type="dxa"/>
            <w:left w:w="0" w:type="dxa"/>
            <w:bottom w:w="0" w:type="dxa"/>
            <w:right w:w="0" w:type="dxa"/>
          </w:tblCellMar>
        </w:tblPrEx>
        <w:trPr>
          <w:trHeight w:val="245" w:hRule="atLeast"/>
        </w:trPr>
        <w:tc>
          <w:tcPr>
            <w:tcW w:w="792" w:type="dxa"/>
            <w:shd w:val="clear" w:color="auto" w:fill="auto"/>
            <w:vAlign w:val="top"/>
          </w:tcPr>
          <w:p w14:paraId="59928B6A">
            <w:pPr>
              <w:ind w:firstLine="0" w:firstLineChars="0"/>
              <w:rPr>
                <w:rFonts w:ascii="Times New Roman" w:hAnsi="Times New Roman" w:eastAsia="宋体" w:cs="Times New Roman"/>
                <w:color w:val="auto"/>
                <w:kern w:val="2"/>
                <w:sz w:val="24"/>
                <w:lang w:val="en-US" w:eastAsia="zh-CN" w:bidi="ar-SA"/>
              </w:rPr>
            </w:pPr>
          </w:p>
        </w:tc>
        <w:tc>
          <w:tcPr>
            <w:tcW w:w="692" w:type="dxa"/>
            <w:shd w:val="clear" w:color="auto" w:fill="auto"/>
            <w:vAlign w:val="top"/>
          </w:tcPr>
          <w:p w14:paraId="011C085E">
            <w:pPr>
              <w:ind w:firstLine="0" w:firstLineChars="0"/>
              <w:jc w:val="right"/>
              <w:rPr>
                <w:rFonts w:hint="eastAsia" w:ascii="Times New Roman" w:hAnsi="Times New Roman" w:eastAsia="宋体" w:cs="Times New Roman"/>
                <w:color w:val="auto"/>
                <w:kern w:val="2"/>
                <w:sz w:val="24"/>
                <w:lang w:val="en-US" w:eastAsia="zh-CN" w:bidi="ar-SA"/>
              </w:rPr>
            </w:pPr>
            <w:r>
              <w:rPr>
                <w:rFonts w:hint="eastAsia"/>
                <w:color w:val="auto"/>
                <w:position w:val="-12"/>
              </w:rPr>
              <w:object>
                <v:shape id="_x0000_i1064" o:spt="75" type="#_x0000_t75" style="height:18pt;width:13.15pt;" o:ole="t" filled="f" o:preferrelative="t" stroked="f" coordsize="21600,21600">
                  <v:path/>
                  <v:fill on="f" focussize="0,0"/>
                  <v:stroke on="f" joinstyle="miter"/>
                  <v:imagedata r:id="rId118" o:title=""/>
                  <o:lock v:ext="edit" aspectratio="t"/>
                  <w10:wrap type="none"/>
                  <w10:anchorlock/>
                </v:shape>
                <o:OLEObject Type="Embed" ProgID="Equation.DSMT4" ShapeID="_x0000_i1064" DrawAspect="Content" ObjectID="_1468075764" r:id="rId117">
                  <o:LockedField>false</o:LockedField>
                </o:OLEObject>
              </w:object>
            </w:r>
          </w:p>
        </w:tc>
        <w:tc>
          <w:tcPr>
            <w:tcW w:w="612" w:type="dxa"/>
            <w:shd w:val="clear" w:color="auto" w:fill="auto"/>
            <w:vAlign w:val="top"/>
          </w:tcPr>
          <w:p w14:paraId="3C7136DA">
            <w:pPr>
              <w:ind w:firstLine="0" w:firstLineChars="0"/>
              <w:rPr>
                <w:rFonts w:ascii="Times New Roman" w:hAnsi="Times New Roman" w:eastAsia="宋体" w:cs="Times New Roman"/>
                <w:color w:val="auto"/>
                <w:kern w:val="2"/>
                <w:sz w:val="24"/>
                <w:lang w:val="en-US" w:eastAsia="zh-CN" w:bidi="ar-SA"/>
              </w:rPr>
            </w:pPr>
            <w:r>
              <w:rPr>
                <w:color w:val="auto"/>
              </w:rPr>
              <w:t>——</w:t>
            </w:r>
          </w:p>
        </w:tc>
        <w:tc>
          <w:tcPr>
            <w:tcW w:w="6204" w:type="dxa"/>
            <w:shd w:val="clear" w:color="auto" w:fill="auto"/>
            <w:vAlign w:val="top"/>
          </w:tcPr>
          <w:p w14:paraId="2797B2BB">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预制梁反弯点至钢</w:t>
            </w:r>
            <w:r>
              <w:rPr>
                <w:rFonts w:hint="eastAsia"/>
                <w:color w:val="auto"/>
                <w:lang w:val="en-US" w:eastAsia="zh-CN"/>
              </w:rPr>
              <w:t>组</w:t>
            </w:r>
            <w:r>
              <w:rPr>
                <w:rFonts w:hint="eastAsia"/>
                <w:color w:val="auto"/>
              </w:rPr>
              <w:t>件端部截面（图5.</w:t>
            </w:r>
            <w:r>
              <w:rPr>
                <w:rFonts w:hint="eastAsia"/>
                <w:color w:val="auto"/>
                <w:lang w:val="en-US" w:eastAsia="zh-CN"/>
              </w:rPr>
              <w:t>2</w:t>
            </w:r>
            <w:r>
              <w:rPr>
                <w:rFonts w:hint="eastAsia"/>
                <w:color w:val="auto"/>
              </w:rPr>
              <w:t>.</w:t>
            </w:r>
            <w:r>
              <w:rPr>
                <w:rFonts w:hint="eastAsia"/>
                <w:color w:val="auto"/>
                <w:lang w:val="en-US" w:eastAsia="zh-CN"/>
              </w:rPr>
              <w:t>16</w:t>
            </w:r>
            <w:r>
              <w:rPr>
                <w:rFonts w:hint="eastAsia"/>
                <w:color w:val="auto"/>
              </w:rPr>
              <w:t>中</w:t>
            </w:r>
            <w:r>
              <w:rPr>
                <w:color w:val="auto"/>
              </w:rPr>
              <w:t>Ⅰ-Ⅰ截面</w:t>
            </w:r>
            <w:r>
              <w:rPr>
                <w:rFonts w:hint="eastAsia"/>
                <w:color w:val="auto"/>
              </w:rPr>
              <w:t>）的距离（mm）；</w:t>
            </w:r>
          </w:p>
        </w:tc>
      </w:tr>
      <w:tr w14:paraId="7F753FA8">
        <w:tblPrEx>
          <w:tblCellMar>
            <w:top w:w="0" w:type="dxa"/>
            <w:left w:w="0" w:type="dxa"/>
            <w:bottom w:w="0" w:type="dxa"/>
            <w:right w:w="0" w:type="dxa"/>
          </w:tblCellMar>
        </w:tblPrEx>
        <w:trPr>
          <w:trHeight w:val="245" w:hRule="atLeast"/>
        </w:trPr>
        <w:tc>
          <w:tcPr>
            <w:tcW w:w="792" w:type="dxa"/>
          </w:tcPr>
          <w:p w14:paraId="7FBA6989">
            <w:pPr>
              <w:ind w:firstLine="0" w:firstLineChars="0"/>
              <w:rPr>
                <w:color w:val="auto"/>
              </w:rPr>
            </w:pPr>
          </w:p>
        </w:tc>
        <w:tc>
          <w:tcPr>
            <w:tcW w:w="692" w:type="dxa"/>
          </w:tcPr>
          <w:p w14:paraId="5110B9E3">
            <w:pPr>
              <w:ind w:firstLine="0" w:firstLineChars="0"/>
              <w:jc w:val="right"/>
              <w:rPr>
                <w:color w:val="auto"/>
              </w:rPr>
            </w:pPr>
            <w:r>
              <w:rPr>
                <w:rFonts w:hint="eastAsia"/>
                <w:color w:val="auto"/>
                <w:position w:val="-12"/>
              </w:rPr>
              <w:object>
                <v:shape id="_x0000_i1065" o:spt="75" type="#_x0000_t75" style="height:18pt;width:13.9pt;" o:ole="t" filled="f" o:preferrelative="t" stroked="f" coordsize="21600,21600">
                  <v:path/>
                  <v:fill on="f" focussize="0,0"/>
                  <v:stroke on="f" joinstyle="miter"/>
                  <v:imagedata r:id="rId120" o:title=""/>
                  <o:lock v:ext="edit" aspectratio="t"/>
                  <w10:wrap type="none"/>
                  <w10:anchorlock/>
                </v:shape>
                <o:OLEObject Type="Embed" ProgID="Equation.DSMT4" ShapeID="_x0000_i1065" DrawAspect="Content" ObjectID="_1468075765" r:id="rId119">
                  <o:LockedField>false</o:LockedField>
                </o:OLEObject>
              </w:object>
            </w:r>
          </w:p>
        </w:tc>
        <w:tc>
          <w:tcPr>
            <w:tcW w:w="612" w:type="dxa"/>
          </w:tcPr>
          <w:p w14:paraId="62A188A4">
            <w:pPr>
              <w:ind w:firstLine="0" w:firstLineChars="0"/>
              <w:rPr>
                <w:color w:val="auto"/>
              </w:rPr>
            </w:pPr>
            <w:r>
              <w:rPr>
                <w:color w:val="auto"/>
              </w:rPr>
              <w:t>——</w:t>
            </w:r>
          </w:p>
        </w:tc>
        <w:tc>
          <w:tcPr>
            <w:tcW w:w="6204" w:type="dxa"/>
          </w:tcPr>
          <w:p w14:paraId="5DB38BCA">
            <w:pPr>
              <w:ind w:firstLine="0" w:firstLineChars="0"/>
              <w:rPr>
                <w:color w:val="auto"/>
              </w:rPr>
            </w:pPr>
            <w:r>
              <w:rPr>
                <w:rFonts w:hint="eastAsia"/>
                <w:color w:val="auto"/>
              </w:rPr>
              <w:t>预制梁反弯点至混凝土梁身端部截面（图5.</w:t>
            </w:r>
            <w:r>
              <w:rPr>
                <w:rFonts w:hint="eastAsia"/>
                <w:color w:val="auto"/>
                <w:lang w:val="en-US" w:eastAsia="zh-CN"/>
              </w:rPr>
              <w:t>2</w:t>
            </w:r>
            <w:r>
              <w:rPr>
                <w:rFonts w:hint="eastAsia"/>
                <w:color w:val="auto"/>
              </w:rPr>
              <w:t>.</w:t>
            </w:r>
            <w:r>
              <w:rPr>
                <w:rFonts w:hint="eastAsia"/>
                <w:color w:val="auto"/>
                <w:lang w:val="en-US" w:eastAsia="zh-CN"/>
              </w:rPr>
              <w:t>16</w:t>
            </w:r>
            <w:r>
              <w:rPr>
                <w:rFonts w:hint="eastAsia"/>
                <w:color w:val="auto"/>
              </w:rPr>
              <w:t>中</w:t>
            </w:r>
            <w:r>
              <w:rPr>
                <w:color w:val="auto"/>
              </w:rPr>
              <w:t>Ⅱ-Ⅱ</w:t>
            </w:r>
            <w:r>
              <w:rPr>
                <w:rFonts w:hint="eastAsia"/>
                <w:color w:val="auto"/>
              </w:rPr>
              <w:t>截面）的距离（mm）；</w:t>
            </w:r>
          </w:p>
        </w:tc>
      </w:tr>
      <w:tr w14:paraId="1F334A14">
        <w:tblPrEx>
          <w:tblCellMar>
            <w:top w:w="0" w:type="dxa"/>
            <w:left w:w="0" w:type="dxa"/>
            <w:bottom w:w="0" w:type="dxa"/>
            <w:right w:w="0" w:type="dxa"/>
          </w:tblCellMar>
        </w:tblPrEx>
        <w:trPr>
          <w:trHeight w:val="245" w:hRule="atLeast"/>
        </w:trPr>
        <w:tc>
          <w:tcPr>
            <w:tcW w:w="792" w:type="dxa"/>
          </w:tcPr>
          <w:p w14:paraId="60D85DF3">
            <w:pPr>
              <w:ind w:firstLine="0" w:firstLineChars="0"/>
              <w:rPr>
                <w:color w:val="auto"/>
              </w:rPr>
            </w:pPr>
          </w:p>
        </w:tc>
        <w:tc>
          <w:tcPr>
            <w:tcW w:w="692" w:type="dxa"/>
          </w:tcPr>
          <w:p w14:paraId="7F817BE2">
            <w:pPr>
              <w:ind w:firstLine="0" w:firstLineChars="0"/>
              <w:jc w:val="right"/>
              <w:rPr>
                <w:color w:val="auto"/>
              </w:rPr>
            </w:pPr>
            <w:r>
              <w:rPr>
                <w:rFonts w:hint="eastAsia"/>
                <w:color w:val="auto"/>
                <w:position w:val="-12"/>
              </w:rPr>
              <w:object>
                <v:shape id="_x0000_i1066" o:spt="75" type="#_x0000_t75" style="height:18pt;width:13.9pt;" o:ole="t" filled="f" o:preferrelative="t" stroked="f" coordsize="21600,21600">
                  <v:path/>
                  <v:fill on="f" focussize="0,0"/>
                  <v:stroke on="f" joinstyle="miter"/>
                  <v:imagedata r:id="rId122" o:title=""/>
                  <o:lock v:ext="edit" aspectratio="t"/>
                  <w10:wrap type="none"/>
                  <w10:anchorlock/>
                </v:shape>
                <o:OLEObject Type="Embed" ProgID="Equation.3" ShapeID="_x0000_i1066" DrawAspect="Content" ObjectID="_1468075766" r:id="rId121">
                  <o:LockedField>false</o:LockedField>
                </o:OLEObject>
              </w:object>
            </w:r>
          </w:p>
        </w:tc>
        <w:tc>
          <w:tcPr>
            <w:tcW w:w="612" w:type="dxa"/>
          </w:tcPr>
          <w:p w14:paraId="5E222065">
            <w:pPr>
              <w:ind w:firstLine="0" w:firstLineChars="0"/>
              <w:rPr>
                <w:color w:val="auto"/>
              </w:rPr>
            </w:pPr>
            <w:r>
              <w:rPr>
                <w:color w:val="auto"/>
              </w:rPr>
              <w:t>——</w:t>
            </w:r>
          </w:p>
        </w:tc>
        <w:tc>
          <w:tcPr>
            <w:tcW w:w="6204" w:type="dxa"/>
          </w:tcPr>
          <w:p w14:paraId="50204CEE">
            <w:pPr>
              <w:ind w:firstLine="0" w:firstLineChars="0"/>
              <w:rPr>
                <w:color w:val="auto"/>
              </w:rPr>
            </w:pPr>
            <w:r>
              <w:rPr>
                <w:rFonts w:hint="eastAsia"/>
                <w:color w:val="auto"/>
              </w:rPr>
              <w:t>梁端钢</w:t>
            </w:r>
            <w:r>
              <w:rPr>
                <w:rFonts w:hint="eastAsia"/>
                <w:color w:val="auto"/>
                <w:lang w:val="en-US" w:eastAsia="zh-CN"/>
              </w:rPr>
              <w:t>组</w:t>
            </w:r>
            <w:r>
              <w:rPr>
                <w:rFonts w:hint="eastAsia"/>
                <w:color w:val="auto"/>
              </w:rPr>
              <w:t>件连接系数，—级、二级、三级、四级可分别取1.3、1.2、1.1和1.1。</w:t>
            </w:r>
          </w:p>
        </w:tc>
      </w:tr>
    </w:tbl>
    <w:p w14:paraId="113D7B83">
      <w:pPr>
        <w:pStyle w:val="48"/>
        <w:rPr>
          <w:color w:val="auto"/>
        </w:rPr>
      </w:pP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14:paraId="02747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shd w:val="clear" w:color="auto" w:fill="auto"/>
            <w:vAlign w:val="center"/>
          </w:tcPr>
          <w:p w14:paraId="769738F4">
            <w:pPr>
              <w:pStyle w:val="45"/>
              <w:ind w:firstLine="0" w:firstLineChars="0"/>
              <w:jc w:val="center"/>
              <w:rPr>
                <w:rFonts w:hint="default" w:eastAsia="黑体"/>
                <w:lang w:val="en-US" w:eastAsia="zh-CN"/>
              </w:rPr>
            </w:pPr>
            <w:r>
              <w:drawing>
                <wp:inline distT="0" distB="0" distL="114300" distR="114300">
                  <wp:extent cx="1471295" cy="1619885"/>
                  <wp:effectExtent l="0" t="0" r="14605" b="18415"/>
                  <wp:docPr id="125"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73"/>
                          <pic:cNvPicPr>
                            <a:picLocks noChangeAspect="1"/>
                          </pic:cNvPicPr>
                        </pic:nvPicPr>
                        <pic:blipFill>
                          <a:blip r:embed="rId123"/>
                          <a:stretch>
                            <a:fillRect/>
                          </a:stretch>
                        </pic:blipFill>
                        <pic:spPr>
                          <a:xfrm>
                            <a:off x="0" y="0"/>
                            <a:ext cx="1471295" cy="1619885"/>
                          </a:xfrm>
                          <a:prstGeom prst="rect">
                            <a:avLst/>
                          </a:prstGeom>
                          <a:noFill/>
                          <a:ln>
                            <a:noFill/>
                          </a:ln>
                        </pic:spPr>
                      </pic:pic>
                    </a:graphicData>
                  </a:graphic>
                </wp:inline>
              </w:drawing>
            </w:r>
          </w:p>
        </w:tc>
      </w:tr>
    </w:tbl>
    <w:p w14:paraId="74A39AD1">
      <w:pPr>
        <w:pStyle w:val="45"/>
        <w:rPr>
          <w:color w:val="auto"/>
        </w:rPr>
      </w:pPr>
    </w:p>
    <w:p w14:paraId="1C08EAC7">
      <w:pPr>
        <w:pStyle w:val="45"/>
        <w:rPr>
          <w:color w:val="auto"/>
        </w:rPr>
      </w:pPr>
      <w:r>
        <w:rPr>
          <w:color w:val="auto"/>
        </w:rPr>
        <w:t>1—</w:t>
      </w:r>
      <w:r>
        <w:rPr>
          <w:rFonts w:hint="eastAsia"/>
          <w:color w:val="auto"/>
        </w:rPr>
        <w:t>梁端钢</w:t>
      </w:r>
      <w:r>
        <w:rPr>
          <w:rFonts w:hint="eastAsia"/>
          <w:color w:val="auto"/>
          <w:lang w:val="en-US" w:eastAsia="zh-CN"/>
        </w:rPr>
        <w:t>组</w:t>
      </w:r>
      <w:r>
        <w:rPr>
          <w:rFonts w:hint="eastAsia"/>
          <w:color w:val="auto"/>
        </w:rPr>
        <w:t>件</w:t>
      </w:r>
      <w:r>
        <w:rPr>
          <w:color w:val="auto"/>
        </w:rPr>
        <w:t>；2—</w:t>
      </w:r>
      <w:r>
        <w:rPr>
          <w:rFonts w:hint="eastAsia"/>
          <w:color w:val="auto"/>
        </w:rPr>
        <w:t>混凝土梁身</w:t>
      </w:r>
    </w:p>
    <w:p w14:paraId="48BCCF4D">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16</w:t>
      </w:r>
      <w:r>
        <w:rPr>
          <w:color w:val="auto"/>
        </w:rPr>
        <w:t xml:space="preserve"> </w:t>
      </w:r>
      <w:r>
        <w:rPr>
          <w:rFonts w:hint="eastAsia"/>
          <w:color w:val="auto"/>
        </w:rPr>
        <w:t xml:space="preserve"> 预制梁端部正截面受弯承载力验算截面示意</w:t>
      </w:r>
    </w:p>
    <w:p w14:paraId="7E52B634">
      <w:pPr>
        <w:pStyle w:val="45"/>
        <w:rPr>
          <w:rFonts w:hint="eastAsia"/>
          <w:color w:val="auto"/>
        </w:rPr>
      </w:pPr>
    </w:p>
    <w:p w14:paraId="7CA2CE0E">
      <w:pPr>
        <w:pStyle w:val="42"/>
        <w:rPr>
          <w:rFonts w:hint="eastAsia" w:ascii="Times New Roman" w:hAnsi="Times New Roman" w:eastAsia="宋体" w:cs="Times New Roman"/>
          <w:color w:val="auto"/>
        </w:rPr>
      </w:pPr>
      <w:r>
        <w:rPr>
          <w:rFonts w:hint="eastAsia" w:ascii="Times New Roman" w:hAnsi="Times New Roman" w:eastAsia="宋体" w:cs="Times New Roman"/>
          <w:color w:val="auto"/>
        </w:rPr>
        <w:t>预制梁端部</w:t>
      </w:r>
      <w:r>
        <w:rPr>
          <w:rFonts w:hint="eastAsia" w:ascii="Times New Roman" w:hAnsi="Times New Roman" w:eastAsia="宋体" w:cs="Times New Roman"/>
          <w:color w:val="auto"/>
          <w:lang w:eastAsia="zh-CN"/>
        </w:rPr>
        <w:t>截面组合的剪力设计值</w:t>
      </w:r>
      <w:r>
        <w:rPr>
          <w:rFonts w:hint="eastAsia" w:ascii="Times New Roman" w:hAnsi="Times New Roman" w:eastAsia="宋体" w:cs="Times New Roman"/>
          <w:color w:val="auto"/>
        </w:rPr>
        <w:t>应</w:t>
      </w:r>
      <w:r>
        <w:rPr>
          <w:rFonts w:hint="eastAsia" w:cs="Times New Roman"/>
          <w:color w:val="auto"/>
          <w:lang w:val="en-US" w:eastAsia="zh-CN"/>
        </w:rPr>
        <w:t>按</w:t>
      </w:r>
      <w:r>
        <w:rPr>
          <w:rFonts w:hint="eastAsia" w:ascii="Times New Roman" w:hAnsi="Times New Roman" w:eastAsia="宋体" w:cs="Times New Roman"/>
          <w:color w:val="auto"/>
        </w:rPr>
        <w:t>下</w:t>
      </w:r>
      <w:r>
        <w:rPr>
          <w:rFonts w:hint="eastAsia" w:ascii="Times New Roman" w:hAnsi="Times New Roman" w:eastAsia="宋体" w:cs="Times New Roman"/>
          <w:color w:val="auto"/>
          <w:lang w:eastAsia="zh-CN"/>
        </w:rPr>
        <w:t>列公</w:t>
      </w:r>
      <w:r>
        <w:rPr>
          <w:rFonts w:hint="eastAsia" w:ascii="Times New Roman" w:hAnsi="Times New Roman" w:eastAsia="宋体" w:cs="Times New Roman"/>
          <w:color w:val="auto"/>
        </w:rPr>
        <w:t>式</w:t>
      </w:r>
      <w:r>
        <w:rPr>
          <w:rFonts w:hint="eastAsia" w:cs="Times New Roman"/>
          <w:color w:val="auto"/>
          <w:lang w:val="en-US" w:eastAsia="zh-CN"/>
        </w:rPr>
        <w:t>计算</w:t>
      </w:r>
      <w:r>
        <w:rPr>
          <w:rFonts w:hint="eastAsia" w:ascii="Times New Roman" w:hAnsi="Times New Roman" w:eastAsia="宋体" w:cs="Times New Roman"/>
          <w:color w:val="auto"/>
        </w:rPr>
        <w:t>：</w:t>
      </w:r>
    </w:p>
    <w:p w14:paraId="141DC66E">
      <w:pPr>
        <w:pStyle w:val="43"/>
        <w:tabs>
          <w:tab w:val="left" w:pos="420"/>
        </w:tabs>
        <w:ind w:firstLine="48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一级抗震等级</w:t>
      </w:r>
    </w:p>
    <w:p w14:paraId="7A3B25AE">
      <w:pPr>
        <w:ind w:firstLine="480"/>
        <w:jc w:val="right"/>
        <w:rPr>
          <w:rFonts w:hint="eastAsia"/>
          <w:color w:val="auto"/>
        </w:rPr>
      </w:pPr>
      <w:r>
        <w:rPr>
          <w:color w:val="auto"/>
          <w:position w:val="-12"/>
        </w:rPr>
        <w:object>
          <v:shape id="_x0000_i1067" o:spt="75" type="#_x0000_t75" style="height:18.15pt;width:109.15pt;" o:ole="t" filled="f" o:preferrelative="t" stroked="f" coordsize="21600,21600">
            <v:path/>
            <v:fill on="f" focussize="0,0"/>
            <v:stroke on="f"/>
            <v:imagedata r:id="rId125" o:title=""/>
            <o:lock v:ext="edit" aspectratio="t"/>
            <w10:wrap type="none"/>
            <w10:anchorlock/>
          </v:shape>
          <o:OLEObject Type="Embed" ProgID="Equation.DSMT4" ShapeID="_x0000_i1067" DrawAspect="Content" ObjectID="_1468075767" r:id="rId124">
            <o:LockedField>false</o:LockedField>
          </o:OLEObject>
        </w:object>
      </w:r>
      <w:r>
        <w:rPr>
          <w:rFonts w:hint="eastAsia"/>
          <w:color w:val="auto"/>
        </w:rPr>
        <w:t xml:space="preserve">              （</w:t>
      </w:r>
      <w:r>
        <w:rPr>
          <w:rFonts w:hint="eastAsia"/>
          <w:color w:val="auto"/>
          <w:lang w:val="en-US" w:eastAsia="zh-CN"/>
        </w:rPr>
        <w:t>5.2</w:t>
      </w:r>
      <w:r>
        <w:rPr>
          <w:rFonts w:hint="eastAsia"/>
          <w:color w:val="auto"/>
        </w:rPr>
        <w:t>.</w:t>
      </w:r>
      <w:r>
        <w:rPr>
          <w:rFonts w:hint="eastAsia"/>
          <w:color w:val="auto"/>
          <w:lang w:val="en-US" w:eastAsia="zh-CN"/>
        </w:rPr>
        <w:t>17</w:t>
      </w:r>
      <w:r>
        <w:rPr>
          <w:rFonts w:hint="eastAsia"/>
          <w:color w:val="auto"/>
        </w:rPr>
        <w:t>-</w:t>
      </w:r>
      <w:r>
        <w:rPr>
          <w:rFonts w:hint="eastAsia"/>
          <w:color w:val="auto"/>
          <w:lang w:val="en-US" w:eastAsia="zh-CN"/>
        </w:rPr>
        <w:t>1</w:t>
      </w:r>
      <w:r>
        <w:rPr>
          <w:rFonts w:hint="eastAsia"/>
          <w:color w:val="auto"/>
        </w:rPr>
        <w:t>）</w:t>
      </w:r>
    </w:p>
    <w:p w14:paraId="25327E15">
      <w:pPr>
        <w:pStyle w:val="43"/>
        <w:tabs>
          <w:tab w:val="left" w:pos="420"/>
        </w:tabs>
        <w:ind w:firstLine="48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二级抗震等级</w:t>
      </w:r>
    </w:p>
    <w:p w14:paraId="1BEF011F">
      <w:pPr>
        <w:ind w:firstLine="480"/>
        <w:jc w:val="right"/>
        <w:rPr>
          <w:rFonts w:hint="eastAsia"/>
          <w:color w:val="auto"/>
        </w:rPr>
      </w:pPr>
      <w:r>
        <w:rPr>
          <w:color w:val="auto"/>
          <w:position w:val="-12"/>
        </w:rPr>
        <w:object>
          <v:shape id="_x0000_i1068" o:spt="75" type="#_x0000_t75" style="height:18.15pt;width:106pt;" o:ole="t" filled="f" o:preferrelative="t" stroked="f" coordsize="21600,21600">
            <v:path/>
            <v:fill on="f" focussize="0,0"/>
            <v:stroke on="f"/>
            <v:imagedata r:id="rId127" o:title=""/>
            <o:lock v:ext="edit" aspectratio="t"/>
            <w10:wrap type="none"/>
            <w10:anchorlock/>
          </v:shape>
          <o:OLEObject Type="Embed" ProgID="Equation.DSMT4" ShapeID="_x0000_i1068" DrawAspect="Content" ObjectID="_1468075768" r:id="rId126">
            <o:LockedField>false</o:LockedField>
          </o:OLEObject>
        </w:object>
      </w:r>
      <w:r>
        <w:rPr>
          <w:rFonts w:hint="eastAsia"/>
          <w:color w:val="auto"/>
        </w:rPr>
        <w:t xml:space="preserve">              （</w:t>
      </w:r>
      <w:r>
        <w:rPr>
          <w:rFonts w:hint="eastAsia"/>
          <w:color w:val="auto"/>
          <w:lang w:val="en-US" w:eastAsia="zh-CN"/>
        </w:rPr>
        <w:t>5.2</w:t>
      </w:r>
      <w:r>
        <w:rPr>
          <w:rFonts w:hint="eastAsia"/>
          <w:color w:val="auto"/>
        </w:rPr>
        <w:t>.</w:t>
      </w:r>
      <w:r>
        <w:rPr>
          <w:rFonts w:hint="eastAsia"/>
          <w:color w:val="auto"/>
          <w:lang w:val="en-US" w:eastAsia="zh-CN"/>
        </w:rPr>
        <w:t>17</w:t>
      </w:r>
      <w:r>
        <w:rPr>
          <w:rFonts w:hint="eastAsia"/>
          <w:color w:val="auto"/>
        </w:rPr>
        <w:t>-</w:t>
      </w:r>
      <w:r>
        <w:rPr>
          <w:rFonts w:hint="eastAsia"/>
          <w:color w:val="auto"/>
          <w:lang w:val="en-US" w:eastAsia="zh-CN"/>
        </w:rPr>
        <w:t>2</w:t>
      </w:r>
      <w:r>
        <w:rPr>
          <w:rFonts w:hint="eastAsia"/>
          <w:color w:val="auto"/>
        </w:rPr>
        <w:t>）</w:t>
      </w:r>
    </w:p>
    <w:p w14:paraId="2083FDA9">
      <w:pPr>
        <w:pStyle w:val="43"/>
        <w:tabs>
          <w:tab w:val="left" w:pos="420"/>
        </w:tabs>
        <w:ind w:firstLine="48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三级抗震等级</w:t>
      </w:r>
    </w:p>
    <w:p w14:paraId="38BDCC48">
      <w:pPr>
        <w:ind w:firstLine="480"/>
        <w:jc w:val="right"/>
        <w:rPr>
          <w:rFonts w:hint="eastAsia" w:ascii="Times New Roman" w:hAnsi="Times New Roman" w:eastAsia="宋体" w:cs="Times New Roman"/>
          <w:color w:val="auto"/>
        </w:rPr>
      </w:pPr>
      <w:r>
        <w:rPr>
          <w:color w:val="auto"/>
          <w:position w:val="-12"/>
        </w:rPr>
        <w:object>
          <v:shape id="_x0000_i1069" o:spt="75" type="#_x0000_t75" style="height:18.15pt;width:105pt;" o:ole="t" filled="f" o:preferrelative="t" stroked="f" coordsize="21600,21600">
            <v:path/>
            <v:fill on="f" focussize="0,0"/>
            <v:stroke on="f"/>
            <v:imagedata r:id="rId129" o:title=""/>
            <o:lock v:ext="edit" aspectratio="t"/>
            <w10:wrap type="none"/>
            <w10:anchorlock/>
          </v:shape>
          <o:OLEObject Type="Embed" ProgID="Equation.DSMT4" ShapeID="_x0000_i1069" DrawAspect="Content" ObjectID="_1468075769" r:id="rId128">
            <o:LockedField>false</o:LockedField>
          </o:OLEObject>
        </w:object>
      </w:r>
      <w:r>
        <w:rPr>
          <w:rFonts w:hint="eastAsia"/>
          <w:color w:val="auto"/>
        </w:rPr>
        <w:t xml:space="preserve">              （</w:t>
      </w:r>
      <w:r>
        <w:rPr>
          <w:rFonts w:hint="eastAsia"/>
          <w:color w:val="auto"/>
          <w:lang w:val="en-US" w:eastAsia="zh-CN"/>
        </w:rPr>
        <w:t>5.2</w:t>
      </w:r>
      <w:r>
        <w:rPr>
          <w:rFonts w:hint="eastAsia"/>
          <w:color w:val="auto"/>
        </w:rPr>
        <w:t>.</w:t>
      </w:r>
      <w:r>
        <w:rPr>
          <w:rFonts w:hint="eastAsia"/>
          <w:color w:val="auto"/>
          <w:lang w:val="en-US" w:eastAsia="zh-CN"/>
        </w:rPr>
        <w:t>17</w:t>
      </w:r>
      <w:r>
        <w:rPr>
          <w:rFonts w:hint="eastAsia"/>
          <w:color w:val="auto"/>
        </w:rPr>
        <w:t>-</w:t>
      </w:r>
      <w:r>
        <w:rPr>
          <w:rFonts w:hint="eastAsia"/>
          <w:color w:val="auto"/>
          <w:lang w:val="en-US" w:eastAsia="zh-CN"/>
        </w:rPr>
        <w:t>3</w:t>
      </w:r>
      <w:r>
        <w:rPr>
          <w:rFonts w:hint="eastAsia"/>
          <w:color w:val="auto"/>
        </w:rPr>
        <w:t>）</w:t>
      </w:r>
    </w:p>
    <w:tbl>
      <w:tblPr>
        <w:tblStyle w:val="30"/>
        <w:tblW w:w="8468" w:type="dxa"/>
        <w:tblInd w:w="0" w:type="dxa"/>
        <w:tblLayout w:type="autofit"/>
        <w:tblCellMar>
          <w:top w:w="0" w:type="dxa"/>
          <w:left w:w="0" w:type="dxa"/>
          <w:bottom w:w="0" w:type="dxa"/>
          <w:right w:w="0" w:type="dxa"/>
        </w:tblCellMar>
      </w:tblPr>
      <w:tblGrid>
        <w:gridCol w:w="707"/>
        <w:gridCol w:w="820"/>
        <w:gridCol w:w="480"/>
        <w:gridCol w:w="6461"/>
      </w:tblGrid>
      <w:tr w14:paraId="5A5E0D45">
        <w:tblPrEx>
          <w:tblCellMar>
            <w:top w:w="0" w:type="dxa"/>
            <w:left w:w="0" w:type="dxa"/>
            <w:bottom w:w="0" w:type="dxa"/>
            <w:right w:w="0" w:type="dxa"/>
          </w:tblCellMar>
        </w:tblPrEx>
        <w:trPr>
          <w:trHeight w:val="245" w:hRule="atLeast"/>
        </w:trPr>
        <w:tc>
          <w:tcPr>
            <w:tcW w:w="707" w:type="dxa"/>
          </w:tcPr>
          <w:p w14:paraId="1FDCE8BB">
            <w:pPr>
              <w:ind w:firstLine="0" w:firstLineChars="0"/>
              <w:rPr>
                <w:i/>
                <w:color w:val="auto"/>
              </w:rPr>
            </w:pPr>
            <w:r>
              <w:rPr>
                <w:rFonts w:hint="eastAsia"/>
                <w:color w:val="auto"/>
              </w:rPr>
              <w:t>式中：</w:t>
            </w:r>
          </w:p>
        </w:tc>
        <w:tc>
          <w:tcPr>
            <w:tcW w:w="0" w:type="auto"/>
          </w:tcPr>
          <w:p w14:paraId="1A696343">
            <w:pPr>
              <w:ind w:firstLine="0" w:firstLineChars="0"/>
              <w:jc w:val="right"/>
              <w:rPr>
                <w:color w:val="auto"/>
              </w:rPr>
            </w:pPr>
            <w:r>
              <w:rPr>
                <w:rFonts w:hint="eastAsia"/>
                <w:color w:val="auto"/>
                <w:position w:val="-12"/>
              </w:rPr>
              <w:object>
                <v:shape id="_x0000_i1070" o:spt="75" type="#_x0000_t75" style="height:18pt;width:13pt;" o:ole="t" filled="f" o:preferrelative="t" stroked="f" coordsize="21600,21600">
                  <v:path/>
                  <v:fill on="f" focussize="0,0"/>
                  <v:stroke on="f"/>
                  <v:imagedata r:id="rId131" o:title=""/>
                  <o:lock v:ext="edit" aspectratio="t"/>
                  <w10:wrap type="none"/>
                  <w10:anchorlock/>
                </v:shape>
                <o:OLEObject Type="Embed" ProgID="Equation.DSMT4" ShapeID="_x0000_i1070" DrawAspect="Content" ObjectID="_1468075770" r:id="rId130">
                  <o:LockedField>false</o:LockedField>
                </o:OLEObject>
              </w:object>
            </w:r>
          </w:p>
        </w:tc>
        <w:tc>
          <w:tcPr>
            <w:tcW w:w="480" w:type="dxa"/>
          </w:tcPr>
          <w:p w14:paraId="394F09B7">
            <w:pPr>
              <w:ind w:firstLine="0" w:firstLineChars="0"/>
              <w:rPr>
                <w:color w:val="auto"/>
              </w:rPr>
            </w:pPr>
            <w:r>
              <w:rPr>
                <w:color w:val="auto"/>
              </w:rPr>
              <w:t>——</w:t>
            </w:r>
          </w:p>
        </w:tc>
        <w:tc>
          <w:tcPr>
            <w:tcW w:w="6461" w:type="dxa"/>
          </w:tcPr>
          <w:p w14:paraId="591670DB">
            <w:pPr>
              <w:ind w:firstLine="0" w:firstLineChars="0"/>
              <w:rPr>
                <w:color w:val="auto"/>
              </w:rPr>
            </w:pPr>
            <w:r>
              <w:rPr>
                <w:rFonts w:hint="eastAsia" w:cs="Times New Roman"/>
                <w:color w:val="auto"/>
                <w:lang w:val="en-US" w:eastAsia="zh-CN"/>
              </w:rPr>
              <w:t>预</w:t>
            </w:r>
            <w:r>
              <w:rPr>
                <w:rFonts w:hint="eastAsia" w:ascii="Times New Roman" w:hAnsi="Times New Roman" w:eastAsia="宋体" w:cs="Times New Roman"/>
                <w:color w:val="auto"/>
              </w:rPr>
              <w:t>制梁端部</w:t>
            </w:r>
            <w:r>
              <w:rPr>
                <w:rFonts w:hint="eastAsia" w:ascii="Times New Roman" w:hAnsi="Times New Roman" w:eastAsia="宋体" w:cs="Times New Roman"/>
                <w:color w:val="auto"/>
                <w:lang w:eastAsia="zh-CN"/>
              </w:rPr>
              <w:t>截面组合的剪力设计值</w:t>
            </w:r>
            <w:r>
              <w:rPr>
                <w:rFonts w:hint="eastAsia"/>
                <w:color w:val="auto"/>
              </w:rPr>
              <w:t>（N）；</w:t>
            </w:r>
          </w:p>
        </w:tc>
      </w:tr>
      <w:tr w14:paraId="07BADF93">
        <w:tblPrEx>
          <w:tblCellMar>
            <w:top w:w="0" w:type="dxa"/>
            <w:left w:w="0" w:type="dxa"/>
            <w:bottom w:w="0" w:type="dxa"/>
            <w:right w:w="0" w:type="dxa"/>
          </w:tblCellMar>
        </w:tblPrEx>
        <w:trPr>
          <w:trHeight w:val="245" w:hRule="atLeast"/>
        </w:trPr>
        <w:tc>
          <w:tcPr>
            <w:tcW w:w="707" w:type="dxa"/>
          </w:tcPr>
          <w:p w14:paraId="15B87EBE">
            <w:pPr>
              <w:ind w:firstLine="0" w:firstLineChars="0"/>
              <w:rPr>
                <w:color w:val="auto"/>
              </w:rPr>
            </w:pPr>
          </w:p>
        </w:tc>
        <w:tc>
          <w:tcPr>
            <w:tcW w:w="0" w:type="auto"/>
          </w:tcPr>
          <w:p w14:paraId="102D7C1E">
            <w:pPr>
              <w:ind w:firstLine="0" w:firstLineChars="0"/>
              <w:jc w:val="right"/>
              <w:rPr>
                <w:color w:val="auto"/>
              </w:rPr>
            </w:pPr>
            <w:r>
              <w:rPr>
                <w:rFonts w:hint="eastAsia"/>
                <w:color w:val="auto"/>
                <w:position w:val="-14"/>
              </w:rPr>
              <w:object>
                <v:shape id="_x0000_i1071" o:spt="75" type="#_x0000_t75" style="height:19.9pt;width:37.3pt;" o:ole="t" filled="f" o:preferrelative="t" stroked="f" coordsize="21600,21600">
                  <v:path/>
                  <v:fill on="f" focussize="0,0"/>
                  <v:stroke on="f"/>
                  <v:imagedata r:id="rId133" o:title=""/>
                  <o:lock v:ext="edit" aspectratio="t"/>
                  <w10:wrap type="none"/>
                  <w10:anchorlock/>
                </v:shape>
                <o:OLEObject Type="Embed" ProgID="Equation.DSMT4" ShapeID="_x0000_i1071" DrawAspect="Content" ObjectID="_1468075771" r:id="rId132">
                  <o:LockedField>false</o:LockedField>
                </o:OLEObject>
              </w:object>
            </w:r>
          </w:p>
        </w:tc>
        <w:tc>
          <w:tcPr>
            <w:tcW w:w="480" w:type="dxa"/>
          </w:tcPr>
          <w:p w14:paraId="6E08783F">
            <w:pPr>
              <w:ind w:firstLine="0" w:firstLineChars="0"/>
              <w:rPr>
                <w:color w:val="auto"/>
              </w:rPr>
            </w:pPr>
            <w:r>
              <w:rPr>
                <w:color w:val="auto"/>
              </w:rPr>
              <w:t>——</w:t>
            </w:r>
          </w:p>
        </w:tc>
        <w:tc>
          <w:tcPr>
            <w:tcW w:w="6461" w:type="dxa"/>
          </w:tcPr>
          <w:p w14:paraId="454E2F43">
            <w:pPr>
              <w:ind w:firstLine="0" w:firstLineChars="0"/>
              <w:rPr>
                <w:color w:val="auto"/>
              </w:rPr>
            </w:pPr>
            <w:r>
              <w:rPr>
                <w:rFonts w:hint="eastAsia"/>
                <w:color w:val="auto"/>
              </w:rPr>
              <w:t>左、右混凝土梁身端部截面的</w:t>
            </w:r>
            <w:r>
              <w:rPr>
                <w:rFonts w:hint="eastAsia"/>
                <w:color w:val="auto"/>
                <w:lang w:eastAsia="zh-CN"/>
              </w:rPr>
              <w:t>反时针或顺时针方向采用实配钢筋计算的正截面抗震受弯承载力所对应的弯矩值之和</w:t>
            </w:r>
            <w:r>
              <w:rPr>
                <w:rFonts w:hint="eastAsia"/>
                <w:color w:val="auto"/>
              </w:rPr>
              <w:t>（N·mm），计算时考虑承载力抗震调整系数，材料强度取标准值；</w:t>
            </w:r>
          </w:p>
        </w:tc>
      </w:tr>
      <w:tr w14:paraId="1497032F">
        <w:tblPrEx>
          <w:tblCellMar>
            <w:top w:w="0" w:type="dxa"/>
            <w:left w:w="0" w:type="dxa"/>
            <w:bottom w:w="0" w:type="dxa"/>
            <w:right w:w="0" w:type="dxa"/>
          </w:tblCellMar>
        </w:tblPrEx>
        <w:trPr>
          <w:trHeight w:val="245" w:hRule="atLeast"/>
        </w:trPr>
        <w:tc>
          <w:tcPr>
            <w:tcW w:w="707" w:type="dxa"/>
          </w:tcPr>
          <w:p w14:paraId="2C4FC705">
            <w:pPr>
              <w:ind w:firstLine="0" w:firstLineChars="0"/>
              <w:rPr>
                <w:color w:val="auto"/>
              </w:rPr>
            </w:pPr>
          </w:p>
        </w:tc>
        <w:tc>
          <w:tcPr>
            <w:tcW w:w="0" w:type="auto"/>
            <w:vAlign w:val="top"/>
          </w:tcPr>
          <w:p w14:paraId="59A8CBE5">
            <w:pPr>
              <w:ind w:firstLine="0" w:firstLineChars="0"/>
              <w:jc w:val="right"/>
              <w:rPr>
                <w:rFonts w:hint="eastAsia" w:ascii="Times New Roman" w:hAnsi="Times New Roman" w:eastAsia="宋体" w:cs="Times New Roman"/>
                <w:color w:val="auto"/>
                <w:kern w:val="2"/>
                <w:sz w:val="24"/>
                <w:lang w:val="en-US" w:eastAsia="zh-CN" w:bidi="ar-SA"/>
              </w:rPr>
            </w:pPr>
            <w:r>
              <w:rPr>
                <w:rFonts w:hint="eastAsia"/>
                <w:color w:val="auto"/>
                <w:position w:val="-14"/>
              </w:rPr>
              <w:object>
                <v:shape id="_x0000_i1072" o:spt="75" type="#_x0000_t75" style="height:19.9pt;width:33.95pt;" o:ole="t" filled="f" o:preferrelative="t" stroked="f" coordsize="21600,21600">
                  <v:path/>
                  <v:fill on="f" focussize="0,0"/>
                  <v:stroke on="f"/>
                  <v:imagedata r:id="rId135" o:title=""/>
                  <o:lock v:ext="edit" aspectratio="t"/>
                  <w10:wrap type="none"/>
                  <w10:anchorlock/>
                </v:shape>
                <o:OLEObject Type="Embed" ProgID="Equation.DSMT4" ShapeID="_x0000_i1072" DrawAspect="Content" ObjectID="_1468075772" r:id="rId134">
                  <o:LockedField>false</o:LockedField>
                </o:OLEObject>
              </w:object>
            </w:r>
          </w:p>
        </w:tc>
        <w:tc>
          <w:tcPr>
            <w:tcW w:w="480" w:type="dxa"/>
            <w:vAlign w:val="top"/>
          </w:tcPr>
          <w:p w14:paraId="34E4CCBF">
            <w:pPr>
              <w:ind w:firstLine="0" w:firstLineChars="0"/>
              <w:rPr>
                <w:rFonts w:ascii="Times New Roman" w:hAnsi="Times New Roman" w:eastAsia="宋体" w:cs="Times New Roman"/>
                <w:color w:val="auto"/>
                <w:kern w:val="2"/>
                <w:sz w:val="24"/>
                <w:lang w:val="en-US" w:eastAsia="zh-CN" w:bidi="ar-SA"/>
              </w:rPr>
            </w:pPr>
            <w:r>
              <w:rPr>
                <w:color w:val="auto"/>
              </w:rPr>
              <w:t>——</w:t>
            </w:r>
          </w:p>
        </w:tc>
        <w:tc>
          <w:tcPr>
            <w:tcW w:w="6461" w:type="dxa"/>
            <w:vAlign w:val="top"/>
          </w:tcPr>
          <w:p w14:paraId="4D89897D">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左、右梁</w:t>
            </w:r>
            <w:r>
              <w:rPr>
                <w:rFonts w:hint="eastAsia"/>
                <w:color w:val="auto"/>
                <w:lang w:eastAsia="zh-CN"/>
              </w:rPr>
              <w:t>端</w:t>
            </w:r>
            <w:r>
              <w:rPr>
                <w:rFonts w:hint="eastAsia"/>
                <w:color w:val="auto"/>
              </w:rPr>
              <w:t>截面的</w:t>
            </w:r>
            <w:r>
              <w:rPr>
                <w:rFonts w:hint="eastAsia"/>
                <w:color w:val="auto"/>
                <w:lang w:eastAsia="zh-CN"/>
              </w:rPr>
              <w:t>反时针或顺时针方向组合的弯矩设计值之和</w:t>
            </w:r>
            <w:r>
              <w:rPr>
                <w:rFonts w:hint="eastAsia"/>
                <w:color w:val="auto"/>
              </w:rPr>
              <w:t>（N·mm）；</w:t>
            </w:r>
          </w:p>
        </w:tc>
      </w:tr>
      <w:tr w14:paraId="2853B08E">
        <w:tblPrEx>
          <w:tblCellMar>
            <w:top w:w="0" w:type="dxa"/>
            <w:left w:w="0" w:type="dxa"/>
            <w:bottom w:w="0" w:type="dxa"/>
            <w:right w:w="0" w:type="dxa"/>
          </w:tblCellMar>
        </w:tblPrEx>
        <w:trPr>
          <w:trHeight w:val="245" w:hRule="atLeast"/>
        </w:trPr>
        <w:tc>
          <w:tcPr>
            <w:tcW w:w="707" w:type="dxa"/>
          </w:tcPr>
          <w:p w14:paraId="2F38A285">
            <w:pPr>
              <w:ind w:firstLine="0" w:firstLineChars="0"/>
              <w:rPr>
                <w:color w:val="auto"/>
              </w:rPr>
            </w:pPr>
          </w:p>
        </w:tc>
        <w:tc>
          <w:tcPr>
            <w:tcW w:w="820" w:type="dxa"/>
          </w:tcPr>
          <w:p w14:paraId="41E368E2">
            <w:pPr>
              <w:ind w:firstLine="0" w:firstLineChars="0"/>
              <w:jc w:val="right"/>
              <w:rPr>
                <w:color w:val="auto"/>
              </w:rPr>
            </w:pPr>
            <w:r>
              <w:rPr>
                <w:rFonts w:hint="eastAsia"/>
                <w:color w:val="auto"/>
                <w:position w:val="-12"/>
              </w:rPr>
              <w:object>
                <v:shape id="_x0000_i1073" o:spt="75" type="#_x0000_t75" style="height:18pt;width:10.9pt;" o:ole="t" filled="f" o:preferrelative="t" stroked="f" coordsize="21600,21600">
                  <v:path/>
                  <v:fill on="f" focussize="0,0"/>
                  <v:stroke on="f" joinstyle="miter"/>
                  <v:imagedata r:id="rId137" o:title=""/>
                  <o:lock v:ext="edit" aspectratio="t"/>
                  <w10:wrap type="none"/>
                  <w10:anchorlock/>
                </v:shape>
                <o:OLEObject Type="Embed" ProgID="Equation.DSMT4" ShapeID="_x0000_i1073" DrawAspect="Content" ObjectID="_1468075773" r:id="rId136">
                  <o:LockedField>false</o:LockedField>
                </o:OLEObject>
              </w:object>
            </w:r>
          </w:p>
        </w:tc>
        <w:tc>
          <w:tcPr>
            <w:tcW w:w="480" w:type="dxa"/>
          </w:tcPr>
          <w:p w14:paraId="14B55540">
            <w:pPr>
              <w:ind w:firstLine="0" w:firstLineChars="0"/>
              <w:rPr>
                <w:color w:val="auto"/>
              </w:rPr>
            </w:pPr>
            <w:r>
              <w:rPr>
                <w:color w:val="auto"/>
              </w:rPr>
              <w:t>——</w:t>
            </w:r>
          </w:p>
        </w:tc>
        <w:tc>
          <w:tcPr>
            <w:tcW w:w="6461" w:type="dxa"/>
          </w:tcPr>
          <w:p w14:paraId="36FA9AB1">
            <w:pPr>
              <w:ind w:firstLine="0" w:firstLineChars="0"/>
              <w:rPr>
                <w:color w:val="auto"/>
              </w:rPr>
            </w:pPr>
            <w:r>
              <w:rPr>
                <w:rFonts w:hint="eastAsia"/>
                <w:color w:val="auto"/>
              </w:rPr>
              <w:t>预制梁的净跨（mm）；</w:t>
            </w:r>
          </w:p>
        </w:tc>
      </w:tr>
      <w:tr w14:paraId="3CACF892">
        <w:tblPrEx>
          <w:tblCellMar>
            <w:top w:w="0" w:type="dxa"/>
            <w:left w:w="0" w:type="dxa"/>
            <w:bottom w:w="0" w:type="dxa"/>
            <w:right w:w="0" w:type="dxa"/>
          </w:tblCellMar>
        </w:tblPrEx>
        <w:trPr>
          <w:trHeight w:val="245" w:hRule="atLeast"/>
        </w:trPr>
        <w:tc>
          <w:tcPr>
            <w:tcW w:w="707" w:type="dxa"/>
          </w:tcPr>
          <w:p w14:paraId="4B763068">
            <w:pPr>
              <w:ind w:firstLine="0" w:firstLineChars="0"/>
              <w:rPr>
                <w:color w:val="auto"/>
              </w:rPr>
            </w:pPr>
          </w:p>
        </w:tc>
        <w:tc>
          <w:tcPr>
            <w:tcW w:w="820" w:type="dxa"/>
          </w:tcPr>
          <w:p w14:paraId="5D628337">
            <w:pPr>
              <w:ind w:firstLine="0" w:firstLineChars="0"/>
              <w:jc w:val="right"/>
              <w:rPr>
                <w:color w:val="auto"/>
              </w:rPr>
            </w:pPr>
            <w:r>
              <w:rPr>
                <w:rFonts w:hint="eastAsia"/>
                <w:color w:val="auto"/>
                <w:position w:val="-12"/>
              </w:rPr>
              <w:object>
                <v:shape id="_x0000_i1074" o:spt="75" type="#_x0000_t75" style="height:18pt;width:18pt;" o:ole="t" filled="f" o:preferrelative="t" stroked="f" coordsize="21600,21600">
                  <v:path/>
                  <v:fill on="f" focussize="0,0"/>
                  <v:stroke on="f" joinstyle="miter"/>
                  <v:imagedata r:id="rId139" o:title=""/>
                  <o:lock v:ext="edit" aspectratio="t"/>
                  <w10:wrap type="none"/>
                  <w10:anchorlock/>
                </v:shape>
                <o:OLEObject Type="Embed" ProgID="Equation.DSMT4" ShapeID="_x0000_i1074" DrawAspect="Content" ObjectID="_1468075774" r:id="rId138">
                  <o:LockedField>false</o:LockedField>
                </o:OLEObject>
              </w:object>
            </w:r>
          </w:p>
        </w:tc>
        <w:tc>
          <w:tcPr>
            <w:tcW w:w="480" w:type="dxa"/>
          </w:tcPr>
          <w:p w14:paraId="6B647C28">
            <w:pPr>
              <w:ind w:firstLine="0" w:firstLineChars="0"/>
              <w:rPr>
                <w:color w:val="auto"/>
              </w:rPr>
            </w:pPr>
            <w:r>
              <w:rPr>
                <w:color w:val="auto"/>
              </w:rPr>
              <w:t>——</w:t>
            </w:r>
          </w:p>
        </w:tc>
        <w:tc>
          <w:tcPr>
            <w:tcW w:w="6461" w:type="dxa"/>
          </w:tcPr>
          <w:p w14:paraId="0D41EF14">
            <w:pPr>
              <w:ind w:firstLine="0" w:firstLineChars="0"/>
              <w:rPr>
                <w:rFonts w:hint="eastAsia" w:eastAsia="宋体"/>
                <w:color w:val="auto"/>
                <w:lang w:eastAsia="zh-CN"/>
              </w:rPr>
            </w:pPr>
            <w:r>
              <w:rPr>
                <w:rFonts w:hint="eastAsia"/>
                <w:color w:val="auto"/>
              </w:rPr>
              <w:t>预制梁在重力荷载代表值作用下，按简支梁计算的梁端截面剪力设计值（N）</w:t>
            </w:r>
            <w:r>
              <w:rPr>
                <w:rFonts w:hint="eastAsia"/>
                <w:color w:val="auto"/>
                <w:lang w:eastAsia="zh-CN"/>
              </w:rPr>
              <w:t>。</w:t>
            </w:r>
          </w:p>
        </w:tc>
      </w:tr>
    </w:tbl>
    <w:p w14:paraId="65AE8A36">
      <w:pPr>
        <w:pStyle w:val="42"/>
        <w:rPr>
          <w:color w:val="auto"/>
        </w:rPr>
      </w:pPr>
      <w:r>
        <w:rPr>
          <w:rFonts w:hint="eastAsia"/>
          <w:color w:val="auto"/>
        </w:rPr>
        <w:t>预制梁的挠度计算可采用结构力学方法，并应符合下列规定：</w:t>
      </w:r>
    </w:p>
    <w:p w14:paraId="222D3799">
      <w:pPr>
        <w:pStyle w:val="43"/>
        <w:tabs>
          <w:tab w:val="left" w:pos="420"/>
        </w:tabs>
        <w:ind w:firstLine="480"/>
        <w:rPr>
          <w:color w:val="auto"/>
        </w:rPr>
      </w:pPr>
      <w:r>
        <w:rPr>
          <w:rFonts w:hint="eastAsia"/>
          <w:color w:val="auto"/>
        </w:rPr>
        <w:t>应按荷载准永久组合并考虑长期作用的影响进行计算；</w:t>
      </w:r>
    </w:p>
    <w:p w14:paraId="705F51E8">
      <w:pPr>
        <w:pStyle w:val="43"/>
        <w:tabs>
          <w:tab w:val="left" w:pos="420"/>
        </w:tabs>
        <w:ind w:firstLine="480"/>
        <w:rPr>
          <w:color w:val="auto"/>
        </w:rPr>
      </w:pPr>
      <w:r>
        <w:rPr>
          <w:rFonts w:hint="eastAsia"/>
          <w:color w:val="auto"/>
        </w:rPr>
        <w:t>计算时可假定各同号弯矩区段内的刚度相等，混凝土梁身应取用该区段内最大弯矩处的刚度；</w:t>
      </w:r>
    </w:p>
    <w:p w14:paraId="2CB9DC59">
      <w:pPr>
        <w:pStyle w:val="43"/>
        <w:tabs>
          <w:tab w:val="left" w:pos="420"/>
        </w:tabs>
        <w:ind w:firstLine="480"/>
        <w:rPr>
          <w:color w:val="auto"/>
        </w:rPr>
      </w:pPr>
      <w:r>
        <w:rPr>
          <w:rFonts w:hint="eastAsia"/>
          <w:color w:val="auto"/>
        </w:rPr>
        <w:t>混凝土梁身的短期刚度和考虑长期作用影响的长期刚度应根据现行国家标准《混凝土结构设计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50010的有关规定进行计算；</w:t>
      </w:r>
    </w:p>
    <w:p w14:paraId="39B32511">
      <w:pPr>
        <w:pStyle w:val="43"/>
        <w:tabs>
          <w:tab w:val="left" w:pos="420"/>
        </w:tabs>
        <w:ind w:firstLine="480"/>
        <w:rPr>
          <w:color w:val="auto"/>
        </w:rPr>
      </w:pPr>
      <w:r>
        <w:rPr>
          <w:rFonts w:hint="eastAsia"/>
          <w:color w:val="auto"/>
        </w:rPr>
        <w:t>挠度计算值不应超过表</w:t>
      </w:r>
      <w:r>
        <w:rPr>
          <w:color w:val="auto"/>
        </w:rPr>
        <w:t>5.</w:t>
      </w:r>
      <w:r>
        <w:rPr>
          <w:rFonts w:hint="eastAsia"/>
          <w:color w:val="auto"/>
          <w:lang w:val="en-US" w:eastAsia="zh-CN"/>
        </w:rPr>
        <w:t>2.18</w:t>
      </w:r>
      <w:r>
        <w:rPr>
          <w:rFonts w:hint="eastAsia"/>
          <w:color w:val="auto"/>
        </w:rPr>
        <w:t>规定的限值。</w:t>
      </w:r>
    </w:p>
    <w:p w14:paraId="502E9A4B">
      <w:pPr>
        <w:pStyle w:val="45"/>
        <w:rPr>
          <w:color w:val="auto"/>
        </w:rPr>
      </w:pPr>
      <w:r>
        <w:rPr>
          <w:rFonts w:hint="eastAsia"/>
          <w:color w:val="auto"/>
        </w:rPr>
        <w:t>表5.</w:t>
      </w:r>
      <w:r>
        <w:rPr>
          <w:rFonts w:hint="eastAsia"/>
          <w:color w:val="auto"/>
          <w:lang w:val="en-US" w:eastAsia="zh-CN"/>
        </w:rPr>
        <w:t>2</w:t>
      </w:r>
      <w:r>
        <w:rPr>
          <w:rFonts w:hint="eastAsia"/>
          <w:color w:val="auto"/>
        </w:rPr>
        <w:t>.</w:t>
      </w:r>
      <w:r>
        <w:rPr>
          <w:rFonts w:hint="eastAsia"/>
          <w:color w:val="auto"/>
          <w:lang w:val="en-US" w:eastAsia="zh-CN"/>
        </w:rPr>
        <w:t>18</w:t>
      </w:r>
      <w:r>
        <w:rPr>
          <w:rFonts w:hint="eastAsia"/>
          <w:color w:val="auto"/>
        </w:rPr>
        <w:t xml:space="preserve">  受弯构件的挠度限值</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4"/>
        <w:gridCol w:w="4462"/>
      </w:tblGrid>
      <w:tr w14:paraId="0C97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054" w:type="dxa"/>
          </w:tcPr>
          <w:p w14:paraId="1EA2ACD7">
            <w:pPr>
              <w:pStyle w:val="47"/>
              <w:rPr>
                <w:color w:val="auto"/>
              </w:rPr>
            </w:pPr>
            <w:r>
              <w:rPr>
                <w:rFonts w:hint="eastAsia"/>
                <w:color w:val="auto"/>
              </w:rPr>
              <w:t>构件跨度</w:t>
            </w:r>
          </w:p>
        </w:tc>
        <w:tc>
          <w:tcPr>
            <w:tcW w:w="4462" w:type="dxa"/>
          </w:tcPr>
          <w:p w14:paraId="55046303">
            <w:pPr>
              <w:pStyle w:val="47"/>
              <w:rPr>
                <w:color w:val="auto"/>
              </w:rPr>
            </w:pPr>
            <w:r>
              <w:rPr>
                <w:rFonts w:hint="eastAsia"/>
                <w:color w:val="auto"/>
              </w:rPr>
              <w:t>挠度限值</w:t>
            </w:r>
          </w:p>
        </w:tc>
      </w:tr>
      <w:tr w14:paraId="014B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4" w:type="dxa"/>
          </w:tcPr>
          <w:p w14:paraId="2CE99075">
            <w:pPr>
              <w:pStyle w:val="47"/>
              <w:rPr>
                <w:color w:val="auto"/>
              </w:rPr>
            </w:pPr>
            <w:r>
              <w:rPr>
                <w:rFonts w:hint="eastAsia"/>
                <w:i/>
                <w:iCs/>
                <w:color w:val="auto"/>
                <w:lang w:val="en-US" w:eastAsia="zh-CN"/>
              </w:rPr>
              <w:t>l</w:t>
            </w:r>
            <w:r>
              <w:rPr>
                <w:rFonts w:hint="eastAsia"/>
                <w:color w:val="auto"/>
                <w:vertAlign w:val="subscript"/>
                <w:lang w:val="en-US" w:eastAsia="zh-CN"/>
              </w:rPr>
              <w:t>0</w:t>
            </w:r>
            <w:r>
              <w:rPr>
                <w:rFonts w:hint="eastAsia"/>
                <w:color w:val="auto"/>
              </w:rPr>
              <w:t>&lt;</w:t>
            </w:r>
            <w:r>
              <w:rPr>
                <w:color w:val="auto"/>
              </w:rPr>
              <w:t>7m</w:t>
            </w:r>
          </w:p>
        </w:tc>
        <w:tc>
          <w:tcPr>
            <w:tcW w:w="4462" w:type="dxa"/>
          </w:tcPr>
          <w:p w14:paraId="334B9847">
            <w:pPr>
              <w:pStyle w:val="47"/>
              <w:rPr>
                <w:rFonts w:hint="default"/>
                <w:color w:val="auto"/>
                <w:lang w:val="en-US"/>
              </w:rPr>
            </w:pPr>
            <w:r>
              <w:rPr>
                <w:rFonts w:hint="eastAsia"/>
                <w:i/>
                <w:iCs/>
                <w:color w:val="auto"/>
                <w:lang w:val="en-US" w:eastAsia="zh-CN"/>
              </w:rPr>
              <w:t>l</w:t>
            </w:r>
            <w:r>
              <w:rPr>
                <w:rFonts w:hint="eastAsia"/>
                <w:color w:val="auto"/>
                <w:vertAlign w:val="subscript"/>
                <w:lang w:val="en-US" w:eastAsia="zh-CN"/>
              </w:rPr>
              <w:t>0</w:t>
            </w:r>
            <w:r>
              <w:rPr>
                <w:rFonts w:hint="eastAsia"/>
                <w:color w:val="auto"/>
                <w:vertAlign w:val="baseline"/>
                <w:lang w:val="en-US" w:eastAsia="zh-CN"/>
              </w:rPr>
              <w:t>/200（</w:t>
            </w:r>
            <w:r>
              <w:rPr>
                <w:rFonts w:hint="eastAsia"/>
                <w:i/>
                <w:iCs/>
                <w:color w:val="auto"/>
                <w:lang w:val="en-US" w:eastAsia="zh-CN"/>
              </w:rPr>
              <w:t>l</w:t>
            </w:r>
            <w:r>
              <w:rPr>
                <w:rFonts w:hint="eastAsia"/>
                <w:color w:val="auto"/>
                <w:vertAlign w:val="subscript"/>
                <w:lang w:val="en-US" w:eastAsia="zh-CN"/>
              </w:rPr>
              <w:t>0</w:t>
            </w:r>
            <w:r>
              <w:rPr>
                <w:rFonts w:hint="eastAsia"/>
                <w:color w:val="auto"/>
                <w:vertAlign w:val="baseline"/>
                <w:lang w:val="en-US" w:eastAsia="zh-CN"/>
              </w:rPr>
              <w:t>/250）</w:t>
            </w:r>
          </w:p>
        </w:tc>
      </w:tr>
      <w:tr w14:paraId="17FC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4" w:type="dxa"/>
          </w:tcPr>
          <w:p w14:paraId="03B3F6EC">
            <w:pPr>
              <w:pStyle w:val="47"/>
              <w:rPr>
                <w:color w:val="auto"/>
              </w:rPr>
            </w:pPr>
            <w:r>
              <w:rPr>
                <w:color w:val="auto"/>
              </w:rPr>
              <w:t>7m≤</w:t>
            </w:r>
            <w:r>
              <w:rPr>
                <w:rFonts w:hint="eastAsia"/>
                <w:i/>
                <w:iCs/>
                <w:color w:val="auto"/>
                <w:lang w:val="en-US" w:eastAsia="zh-CN"/>
              </w:rPr>
              <w:t>l</w:t>
            </w:r>
            <w:r>
              <w:rPr>
                <w:rFonts w:hint="eastAsia"/>
                <w:color w:val="auto"/>
                <w:vertAlign w:val="subscript"/>
                <w:lang w:val="en-US" w:eastAsia="zh-CN"/>
              </w:rPr>
              <w:t>0</w:t>
            </w:r>
            <w:r>
              <w:rPr>
                <w:color w:val="auto"/>
              </w:rPr>
              <w:t>≤9m</w:t>
            </w:r>
          </w:p>
        </w:tc>
        <w:tc>
          <w:tcPr>
            <w:tcW w:w="4462" w:type="dxa"/>
          </w:tcPr>
          <w:p w14:paraId="78CD747F">
            <w:pPr>
              <w:pStyle w:val="47"/>
              <w:rPr>
                <w:color w:val="auto"/>
              </w:rPr>
            </w:pPr>
            <w:r>
              <w:rPr>
                <w:rFonts w:hint="eastAsia"/>
                <w:i/>
                <w:iCs/>
                <w:color w:val="auto"/>
                <w:lang w:val="en-US" w:eastAsia="zh-CN"/>
              </w:rPr>
              <w:t>l</w:t>
            </w:r>
            <w:r>
              <w:rPr>
                <w:rFonts w:hint="eastAsia"/>
                <w:color w:val="auto"/>
                <w:vertAlign w:val="subscript"/>
                <w:lang w:val="en-US" w:eastAsia="zh-CN"/>
              </w:rPr>
              <w:t>0</w:t>
            </w:r>
            <w:r>
              <w:rPr>
                <w:rFonts w:hint="eastAsia"/>
                <w:color w:val="auto"/>
                <w:vertAlign w:val="baseline"/>
                <w:lang w:val="en-US" w:eastAsia="zh-CN"/>
              </w:rPr>
              <w:t>/250（</w:t>
            </w:r>
            <w:r>
              <w:rPr>
                <w:rFonts w:hint="eastAsia"/>
                <w:i/>
                <w:iCs/>
                <w:color w:val="auto"/>
                <w:lang w:val="en-US" w:eastAsia="zh-CN"/>
              </w:rPr>
              <w:t>l</w:t>
            </w:r>
            <w:r>
              <w:rPr>
                <w:rFonts w:hint="eastAsia"/>
                <w:color w:val="auto"/>
                <w:vertAlign w:val="subscript"/>
                <w:lang w:val="en-US" w:eastAsia="zh-CN"/>
              </w:rPr>
              <w:t>0</w:t>
            </w:r>
            <w:r>
              <w:rPr>
                <w:rFonts w:hint="eastAsia"/>
                <w:color w:val="auto"/>
                <w:vertAlign w:val="baseline"/>
                <w:lang w:val="en-US" w:eastAsia="zh-CN"/>
              </w:rPr>
              <w:t>/300）</w:t>
            </w:r>
          </w:p>
        </w:tc>
      </w:tr>
      <w:tr w14:paraId="79E2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4" w:type="dxa"/>
          </w:tcPr>
          <w:p w14:paraId="79CAA6A9">
            <w:pPr>
              <w:pStyle w:val="47"/>
              <w:rPr>
                <w:color w:val="auto"/>
              </w:rPr>
            </w:pPr>
            <w:r>
              <w:rPr>
                <w:rFonts w:hint="eastAsia"/>
                <w:i/>
                <w:iCs/>
                <w:color w:val="auto"/>
                <w:lang w:val="en-US" w:eastAsia="zh-CN"/>
              </w:rPr>
              <w:t>l</w:t>
            </w:r>
            <w:r>
              <w:rPr>
                <w:rFonts w:hint="eastAsia"/>
                <w:color w:val="auto"/>
                <w:vertAlign w:val="subscript"/>
                <w:lang w:val="en-US" w:eastAsia="zh-CN"/>
              </w:rPr>
              <w:t>0</w:t>
            </w:r>
            <w:r>
              <w:rPr>
                <w:rFonts w:hint="eastAsia"/>
                <w:color w:val="auto"/>
              </w:rPr>
              <w:t>&gt;</w:t>
            </w:r>
            <w:r>
              <w:rPr>
                <w:color w:val="auto"/>
              </w:rPr>
              <w:t>9m</w:t>
            </w:r>
          </w:p>
        </w:tc>
        <w:tc>
          <w:tcPr>
            <w:tcW w:w="4462" w:type="dxa"/>
          </w:tcPr>
          <w:p w14:paraId="7D723541">
            <w:pPr>
              <w:pStyle w:val="47"/>
              <w:rPr>
                <w:color w:val="auto"/>
              </w:rPr>
            </w:pPr>
            <w:r>
              <w:rPr>
                <w:rFonts w:hint="eastAsia"/>
                <w:i/>
                <w:iCs/>
                <w:color w:val="auto"/>
                <w:lang w:val="en-US" w:eastAsia="zh-CN"/>
              </w:rPr>
              <w:t>l</w:t>
            </w:r>
            <w:r>
              <w:rPr>
                <w:rFonts w:hint="eastAsia"/>
                <w:color w:val="auto"/>
                <w:vertAlign w:val="subscript"/>
                <w:lang w:val="en-US" w:eastAsia="zh-CN"/>
              </w:rPr>
              <w:t>0</w:t>
            </w:r>
            <w:r>
              <w:rPr>
                <w:rFonts w:hint="eastAsia"/>
                <w:color w:val="auto"/>
                <w:vertAlign w:val="baseline"/>
                <w:lang w:val="en-US" w:eastAsia="zh-CN"/>
              </w:rPr>
              <w:t>/300（</w:t>
            </w:r>
            <w:r>
              <w:rPr>
                <w:rFonts w:hint="eastAsia"/>
                <w:i/>
                <w:iCs/>
                <w:color w:val="auto"/>
                <w:lang w:val="en-US" w:eastAsia="zh-CN"/>
              </w:rPr>
              <w:t>l</w:t>
            </w:r>
            <w:r>
              <w:rPr>
                <w:rFonts w:hint="eastAsia"/>
                <w:color w:val="auto"/>
                <w:vertAlign w:val="subscript"/>
                <w:lang w:val="en-US" w:eastAsia="zh-CN"/>
              </w:rPr>
              <w:t>0</w:t>
            </w:r>
            <w:r>
              <w:rPr>
                <w:rFonts w:hint="eastAsia"/>
                <w:color w:val="auto"/>
                <w:vertAlign w:val="baseline"/>
                <w:lang w:val="en-US" w:eastAsia="zh-CN"/>
              </w:rPr>
              <w:t>/400）</w:t>
            </w:r>
          </w:p>
        </w:tc>
      </w:tr>
    </w:tbl>
    <w:p w14:paraId="211DA75A">
      <w:pPr>
        <w:pStyle w:val="43"/>
        <w:keepNext w:val="0"/>
        <w:keepLines w:val="0"/>
        <w:pageBreakBefore w:val="0"/>
        <w:widowControl w:val="0"/>
        <w:numPr>
          <w:ilvl w:val="3"/>
          <w:numId w:val="0"/>
        </w:numPr>
        <w:tabs>
          <w:tab w:val="left" w:pos="420"/>
        </w:tabs>
        <w:kinsoku/>
        <w:wordWrap/>
        <w:overflowPunct/>
        <w:topLinePunct w:val="0"/>
        <w:autoSpaceDE/>
        <w:autoSpaceDN/>
        <w:bidi w:val="0"/>
        <w:adjustRightInd w:val="0"/>
        <w:snapToGrid w:val="0"/>
        <w:spacing w:before="165" w:beforeLines="50" w:line="240" w:lineRule="auto"/>
        <w:ind w:left="630" w:hanging="630" w:hangingChars="300"/>
        <w:jc w:val="left"/>
        <w:textAlignment w:val="auto"/>
        <w:rPr>
          <w:color w:val="auto"/>
          <w:sz w:val="21"/>
        </w:rPr>
      </w:pPr>
      <w:r>
        <w:rPr>
          <w:rFonts w:hint="eastAsia"/>
          <w:color w:val="auto"/>
          <w:sz w:val="21"/>
        </w:rPr>
        <w:t>注：</w:t>
      </w:r>
      <w:r>
        <w:rPr>
          <w:rFonts w:hint="eastAsia"/>
          <w:color w:val="auto"/>
          <w:sz w:val="21"/>
          <w:lang w:val="en-US" w:eastAsia="zh-CN"/>
        </w:rPr>
        <w:t>1</w:t>
      </w:r>
      <w:r>
        <w:rPr>
          <w:rFonts w:hint="eastAsia"/>
          <w:color w:val="auto"/>
          <w:sz w:val="21"/>
        </w:rPr>
        <w:t xml:space="preserve"> </w:t>
      </w:r>
      <w:r>
        <w:rPr>
          <w:color w:val="auto"/>
          <w:position w:val="-10"/>
        </w:rPr>
        <w:object>
          <v:shape id="_x0000_i1075" o:spt="75" type="#_x0000_t75" style="height:16.15pt;width:10.15pt;" o:ole="t" filled="f" o:preferrelative="t" stroked="f" coordsize="21600,21600">
            <v:path/>
            <v:fill on="f" focussize="0,0"/>
            <v:stroke on="f" joinstyle="miter"/>
            <v:imagedata r:id="rId141" o:title=""/>
            <o:lock v:ext="edit" aspectratio="t"/>
            <w10:wrap type="none"/>
            <w10:anchorlock/>
          </v:shape>
          <o:OLEObject Type="Embed" ProgID="Equation.DSMT4" ShapeID="_x0000_i1075" DrawAspect="Content" ObjectID="_1468075775" r:id="rId140">
            <o:LockedField>false</o:LockedField>
          </o:OLEObject>
        </w:object>
      </w:r>
      <w:r>
        <w:rPr>
          <w:rFonts w:hint="eastAsia"/>
          <w:color w:val="auto"/>
          <w:sz w:val="21"/>
        </w:rPr>
        <w:t>为构件的计算跨度；计算悬臂构件的挠度限值时，其计算跨度</w:t>
      </w:r>
      <w:r>
        <w:rPr>
          <w:color w:val="auto"/>
          <w:position w:val="-10"/>
        </w:rPr>
        <w:object>
          <v:shape id="_x0000_i1076" o:spt="75" type="#_x0000_t75" style="height:16.15pt;width:10.15pt;" o:ole="t" filled="f" o:preferrelative="t" stroked="f" coordsize="21600,21600">
            <v:path/>
            <v:fill on="f" focussize="0,0"/>
            <v:stroke on="f" joinstyle="miter"/>
            <v:imagedata r:id="rId143" o:title=""/>
            <o:lock v:ext="edit" aspectratio="t"/>
            <w10:wrap type="none"/>
            <w10:anchorlock/>
          </v:shape>
          <o:OLEObject Type="Embed" ProgID="Equation.DSMT4" ShapeID="_x0000_i1076" DrawAspect="Content" ObjectID="_1468075776" r:id="rId142">
            <o:LockedField>false</o:LockedField>
          </o:OLEObject>
        </w:object>
      </w:r>
      <w:r>
        <w:rPr>
          <w:rFonts w:hint="eastAsia"/>
          <w:color w:val="auto"/>
          <w:sz w:val="21"/>
        </w:rPr>
        <w:t>按实际悬臂长度的2倍取用；</w:t>
      </w:r>
    </w:p>
    <w:p w14:paraId="22DFBA33">
      <w:pPr>
        <w:keepNext w:val="0"/>
        <w:keepLines w:val="0"/>
        <w:pageBreakBefore w:val="0"/>
        <w:widowControl w:val="0"/>
        <w:kinsoku/>
        <w:wordWrap/>
        <w:overflowPunct/>
        <w:topLinePunct w:val="0"/>
        <w:autoSpaceDE/>
        <w:autoSpaceDN/>
        <w:bidi w:val="0"/>
        <w:adjustRightInd w:val="0"/>
        <w:snapToGrid w:val="0"/>
        <w:spacing w:before="165" w:beforeLines="50" w:line="240" w:lineRule="auto"/>
        <w:textAlignment w:val="auto"/>
        <w:rPr>
          <w:rFonts w:hint="eastAsia"/>
          <w:color w:val="auto"/>
          <w:sz w:val="21"/>
        </w:rPr>
      </w:pPr>
      <w:r>
        <w:rPr>
          <w:rFonts w:hint="eastAsia"/>
          <w:color w:val="auto"/>
          <w:sz w:val="21"/>
          <w:lang w:val="en-US" w:eastAsia="zh-CN"/>
        </w:rPr>
        <w:t xml:space="preserve">2 </w:t>
      </w:r>
      <w:r>
        <w:rPr>
          <w:rFonts w:hint="eastAsia"/>
          <w:color w:val="auto"/>
          <w:sz w:val="21"/>
        </w:rPr>
        <w:t>表中括号内的数值适用于在使用上对挠度有较高要求的构件。</w:t>
      </w:r>
    </w:p>
    <w:p w14:paraId="7D955DAB">
      <w:pPr>
        <w:bidi w:val="0"/>
        <w:rPr>
          <w:rFonts w:hint="eastAsia"/>
          <w:color w:val="auto"/>
          <w:sz w:val="21"/>
        </w:rPr>
      </w:pPr>
    </w:p>
    <w:p w14:paraId="2B55A960">
      <w:pPr>
        <w:pStyle w:val="42"/>
        <w:rPr>
          <w:color w:val="auto"/>
        </w:rPr>
      </w:pPr>
      <w:r>
        <w:rPr>
          <w:rFonts w:hint="eastAsia"/>
          <w:color w:val="auto"/>
        </w:rPr>
        <w:t>预制梁的混凝土梁身应根据现行国家标准《混凝土结构设计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50010的有关规定，按荷载准永久组合并考虑长期作用影响计算最大裂缝宽度，负弯矩区裂缝宽度计算时可不考虑梁端钢</w:t>
      </w:r>
      <w:r>
        <w:rPr>
          <w:rFonts w:hint="eastAsia"/>
          <w:color w:val="auto"/>
          <w:lang w:val="en-US" w:eastAsia="zh-CN"/>
        </w:rPr>
        <w:t>组</w:t>
      </w:r>
      <w:r>
        <w:rPr>
          <w:rFonts w:hint="eastAsia"/>
          <w:color w:val="auto"/>
        </w:rPr>
        <w:t>件的影响。裂缝控制等级应为三级，最大裂缝宽度不应超过表5.</w:t>
      </w:r>
      <w:r>
        <w:rPr>
          <w:rFonts w:hint="eastAsia"/>
          <w:color w:val="auto"/>
          <w:lang w:val="en-US" w:eastAsia="zh-CN"/>
        </w:rPr>
        <w:t>2</w:t>
      </w:r>
      <w:r>
        <w:rPr>
          <w:rFonts w:hint="eastAsia"/>
          <w:color w:val="auto"/>
        </w:rPr>
        <w:t>.</w:t>
      </w:r>
      <w:r>
        <w:rPr>
          <w:rFonts w:hint="eastAsia"/>
          <w:color w:val="auto"/>
          <w:lang w:val="en-US" w:eastAsia="zh-CN"/>
        </w:rPr>
        <w:t>19</w:t>
      </w:r>
      <w:r>
        <w:rPr>
          <w:rFonts w:hint="eastAsia"/>
          <w:color w:val="auto"/>
        </w:rPr>
        <w:t>规定的限值</w:t>
      </w:r>
      <w:r>
        <w:rPr>
          <w:rFonts w:hint="eastAsia"/>
          <w:color w:val="auto"/>
          <w:position w:val="-10"/>
        </w:rPr>
        <w:object>
          <v:shape id="_x0000_i1077" o:spt="75" type="#_x0000_t75" style="height:16.9pt;width:21pt;" o:ole="t" filled="f" o:preferrelative="t" stroked="f" coordsize="21600,21600">
            <v:path/>
            <v:fill on="f" focussize="0,0"/>
            <v:stroke on="f" joinstyle="miter"/>
            <v:imagedata r:id="rId145" o:title=""/>
            <o:lock v:ext="edit" aspectratio="t"/>
            <w10:wrap type="none"/>
            <w10:anchorlock/>
          </v:shape>
          <o:OLEObject Type="Embed" ProgID="Equation.3" ShapeID="_x0000_i1077" DrawAspect="Content" ObjectID="_1468075777" r:id="rId144">
            <o:LockedField>false</o:LockedField>
          </o:OLEObject>
        </w:object>
      </w:r>
      <w:r>
        <w:rPr>
          <w:rFonts w:hint="eastAsia"/>
          <w:color w:val="auto"/>
        </w:rPr>
        <w:t>。</w:t>
      </w:r>
    </w:p>
    <w:p w14:paraId="12577BE8">
      <w:pPr>
        <w:pStyle w:val="45"/>
        <w:rPr>
          <w:color w:val="auto"/>
        </w:rPr>
      </w:pPr>
      <w:r>
        <w:rPr>
          <w:rFonts w:hint="eastAsia"/>
          <w:color w:val="auto"/>
        </w:rPr>
        <w:t>表5.</w:t>
      </w:r>
      <w:r>
        <w:rPr>
          <w:rFonts w:hint="eastAsia"/>
          <w:color w:val="auto"/>
          <w:lang w:val="en-US" w:eastAsia="zh-CN"/>
        </w:rPr>
        <w:t>2</w:t>
      </w:r>
      <w:r>
        <w:rPr>
          <w:rFonts w:hint="eastAsia"/>
          <w:color w:val="auto"/>
        </w:rPr>
        <w:t>.</w:t>
      </w:r>
      <w:r>
        <w:rPr>
          <w:rFonts w:hint="eastAsia"/>
          <w:color w:val="auto"/>
          <w:lang w:val="en-US" w:eastAsia="zh-CN"/>
        </w:rPr>
        <w:t>19</w:t>
      </w:r>
      <w:r>
        <w:rPr>
          <w:rFonts w:hint="eastAsia"/>
          <w:color w:val="auto"/>
        </w:rPr>
        <w:t xml:space="preserve">  预制梁最大裂缝宽度的限值（mm）</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040"/>
      </w:tblGrid>
      <w:tr w14:paraId="1FC7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627" w:type="pct"/>
            <w:vAlign w:val="center"/>
          </w:tcPr>
          <w:p w14:paraId="1136D3F6">
            <w:pPr>
              <w:pStyle w:val="47"/>
              <w:rPr>
                <w:color w:val="auto"/>
              </w:rPr>
            </w:pPr>
            <w:r>
              <w:rPr>
                <w:rFonts w:hint="eastAsia"/>
                <w:color w:val="auto"/>
              </w:rPr>
              <w:t>环境类别</w:t>
            </w:r>
          </w:p>
        </w:tc>
        <w:tc>
          <w:tcPr>
            <w:tcW w:w="2372" w:type="pct"/>
            <w:vAlign w:val="center"/>
          </w:tcPr>
          <w:p w14:paraId="37DDDDE4">
            <w:pPr>
              <w:pStyle w:val="47"/>
              <w:rPr>
                <w:rFonts w:hint="eastAsia" w:eastAsia="宋体"/>
                <w:color w:val="auto"/>
                <w:position w:val="-10"/>
                <w:lang w:val="en-US" w:eastAsia="zh-CN"/>
              </w:rPr>
            </w:pPr>
            <w:r>
              <w:rPr>
                <w:rFonts w:hint="eastAsia"/>
                <w:color w:val="auto"/>
                <w:position w:val="-10"/>
              </w:rPr>
              <w:t>最大裂缝宽度限值</w:t>
            </w:r>
            <w:r>
              <w:rPr>
                <w:rFonts w:hint="default" w:ascii="Times New Roman" w:hAnsi="Times New Roman" w:cs="Times New Roman"/>
                <w:i/>
                <w:iCs/>
                <w:color w:val="auto"/>
                <w:position w:val="-10"/>
              </w:rPr>
              <w:t>ω</w:t>
            </w:r>
            <w:r>
              <w:rPr>
                <w:rFonts w:hint="eastAsia" w:ascii="Times New Roman" w:hAnsi="Times New Roman" w:cs="Times New Roman"/>
                <w:i w:val="0"/>
                <w:iCs w:val="0"/>
                <w:color w:val="auto"/>
                <w:position w:val="-10"/>
                <w:vertAlign w:val="subscript"/>
                <w:lang w:val="en-US" w:eastAsia="zh-CN"/>
              </w:rPr>
              <w:t>min</w:t>
            </w:r>
          </w:p>
        </w:tc>
      </w:tr>
      <w:tr w14:paraId="0963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627" w:type="pct"/>
            <w:vAlign w:val="center"/>
          </w:tcPr>
          <w:p w14:paraId="17A10554">
            <w:pPr>
              <w:pStyle w:val="47"/>
              <w:rPr>
                <w:color w:val="auto"/>
              </w:rPr>
            </w:pPr>
            <w:r>
              <w:rPr>
                <w:rFonts w:hint="eastAsia"/>
                <w:color w:val="auto"/>
              </w:rPr>
              <w:t>一</w:t>
            </w:r>
          </w:p>
        </w:tc>
        <w:tc>
          <w:tcPr>
            <w:tcW w:w="2372" w:type="pct"/>
            <w:vAlign w:val="center"/>
          </w:tcPr>
          <w:p w14:paraId="289887E2">
            <w:pPr>
              <w:pStyle w:val="47"/>
              <w:rPr>
                <w:color w:val="auto"/>
              </w:rPr>
            </w:pPr>
            <w:r>
              <w:rPr>
                <w:rFonts w:hint="eastAsia"/>
                <w:color w:val="auto"/>
              </w:rPr>
              <w:t>0.30（0.40）</w:t>
            </w:r>
          </w:p>
        </w:tc>
      </w:tr>
      <w:tr w14:paraId="7ADC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7" w:type="pct"/>
            <w:vAlign w:val="center"/>
          </w:tcPr>
          <w:p w14:paraId="66ED7A4A">
            <w:pPr>
              <w:pStyle w:val="47"/>
              <w:rPr>
                <w:color w:val="auto"/>
              </w:rPr>
            </w:pPr>
            <w:r>
              <w:rPr>
                <w:rFonts w:hint="eastAsia"/>
                <w:color w:val="auto"/>
              </w:rPr>
              <w:t>二a</w:t>
            </w:r>
          </w:p>
        </w:tc>
        <w:tc>
          <w:tcPr>
            <w:tcW w:w="2372" w:type="pct"/>
            <w:vMerge w:val="restart"/>
            <w:vAlign w:val="center"/>
          </w:tcPr>
          <w:p w14:paraId="41AD7051">
            <w:pPr>
              <w:pStyle w:val="47"/>
              <w:rPr>
                <w:color w:val="auto"/>
              </w:rPr>
            </w:pPr>
            <w:r>
              <w:rPr>
                <w:rFonts w:hint="eastAsia"/>
                <w:color w:val="auto"/>
              </w:rPr>
              <w:t>0.2</w:t>
            </w:r>
          </w:p>
        </w:tc>
      </w:tr>
      <w:tr w14:paraId="4C66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27" w:type="pct"/>
            <w:vAlign w:val="center"/>
          </w:tcPr>
          <w:p w14:paraId="0C628E4C">
            <w:pPr>
              <w:pStyle w:val="47"/>
              <w:rPr>
                <w:color w:val="auto"/>
              </w:rPr>
            </w:pPr>
            <w:r>
              <w:rPr>
                <w:rFonts w:hint="eastAsia"/>
                <w:color w:val="auto"/>
              </w:rPr>
              <w:t>二b</w:t>
            </w:r>
          </w:p>
        </w:tc>
        <w:tc>
          <w:tcPr>
            <w:tcW w:w="2372" w:type="pct"/>
            <w:vMerge w:val="continue"/>
            <w:vAlign w:val="center"/>
          </w:tcPr>
          <w:p w14:paraId="72E9EA27">
            <w:pPr>
              <w:pStyle w:val="47"/>
              <w:rPr>
                <w:color w:val="auto"/>
              </w:rPr>
            </w:pPr>
          </w:p>
        </w:tc>
      </w:tr>
      <w:tr w14:paraId="66B7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7" w:type="pct"/>
            <w:vAlign w:val="center"/>
          </w:tcPr>
          <w:p w14:paraId="0DC1F19C">
            <w:pPr>
              <w:pStyle w:val="47"/>
              <w:rPr>
                <w:color w:val="auto"/>
              </w:rPr>
            </w:pPr>
            <w:r>
              <w:rPr>
                <w:rFonts w:hint="eastAsia"/>
                <w:color w:val="auto"/>
              </w:rPr>
              <w:t>三a、三b</w:t>
            </w:r>
          </w:p>
        </w:tc>
        <w:tc>
          <w:tcPr>
            <w:tcW w:w="2372" w:type="pct"/>
            <w:vMerge w:val="continue"/>
            <w:vAlign w:val="center"/>
          </w:tcPr>
          <w:p w14:paraId="1017262B">
            <w:pPr>
              <w:pStyle w:val="47"/>
              <w:rPr>
                <w:color w:val="auto"/>
              </w:rPr>
            </w:pPr>
          </w:p>
        </w:tc>
      </w:tr>
    </w:tbl>
    <w:p w14:paraId="05408880">
      <w:pPr>
        <w:pStyle w:val="45"/>
        <w:keepNext w:val="0"/>
        <w:keepLines w:val="0"/>
        <w:pageBreakBefore w:val="0"/>
        <w:widowControl w:val="0"/>
        <w:kinsoku/>
        <w:wordWrap/>
        <w:overflowPunct/>
        <w:topLinePunct w:val="0"/>
        <w:autoSpaceDE/>
        <w:autoSpaceDN/>
        <w:bidi w:val="0"/>
        <w:adjustRightInd w:val="0"/>
        <w:snapToGrid w:val="0"/>
        <w:spacing w:before="165" w:beforeLines="50" w:line="240" w:lineRule="auto"/>
        <w:ind w:left="0" w:hanging="630" w:hangingChars="300"/>
        <w:jc w:val="both"/>
        <w:textAlignment w:val="auto"/>
        <w:rPr>
          <w:rFonts w:eastAsia="宋体"/>
          <w:color w:val="auto"/>
          <w:szCs w:val="20"/>
        </w:rPr>
      </w:pPr>
      <w:r>
        <w:rPr>
          <w:rFonts w:hint="eastAsia" w:eastAsia="宋体"/>
          <w:color w:val="auto"/>
          <w:szCs w:val="20"/>
        </w:rPr>
        <w:t>注：1 对处于年平均相对湿度小于60%地区一类环境下的受弯构件，其最大裂缝宽度限值可采用括号内的数值；</w:t>
      </w:r>
    </w:p>
    <w:p w14:paraId="5591F357">
      <w:pPr>
        <w:pStyle w:val="45"/>
        <w:keepNext w:val="0"/>
        <w:keepLines w:val="0"/>
        <w:pageBreakBefore w:val="0"/>
        <w:widowControl w:val="0"/>
        <w:kinsoku/>
        <w:wordWrap/>
        <w:overflowPunct/>
        <w:topLinePunct w:val="0"/>
        <w:autoSpaceDE/>
        <w:autoSpaceDN/>
        <w:bidi w:val="0"/>
        <w:adjustRightInd w:val="0"/>
        <w:snapToGrid w:val="0"/>
        <w:spacing w:before="165" w:beforeLines="50" w:line="240" w:lineRule="auto"/>
        <w:ind w:left="0" w:hanging="630" w:hangingChars="300"/>
        <w:jc w:val="both"/>
        <w:textAlignment w:val="auto"/>
        <w:rPr>
          <w:rFonts w:hint="eastAsia" w:eastAsia="宋体"/>
          <w:color w:val="auto"/>
          <w:szCs w:val="20"/>
        </w:rPr>
      </w:pPr>
      <w:r>
        <w:rPr>
          <w:rFonts w:hint="eastAsia" w:eastAsia="宋体"/>
          <w:color w:val="auto"/>
          <w:szCs w:val="20"/>
        </w:rPr>
        <w:t xml:space="preserve">    2 表中的最大裂缝宽度限值为用于验算荷载作用引起的最大裂缝宽度。</w:t>
      </w:r>
    </w:p>
    <w:p w14:paraId="2BB225FF">
      <w:pPr>
        <w:pStyle w:val="45"/>
        <w:ind w:left="630" w:hanging="630" w:hangingChars="300"/>
        <w:jc w:val="both"/>
        <w:rPr>
          <w:rFonts w:hint="eastAsia" w:eastAsia="宋体"/>
          <w:color w:val="auto"/>
          <w:szCs w:val="20"/>
        </w:rPr>
      </w:pPr>
    </w:p>
    <w:p w14:paraId="29BB959A">
      <w:pPr>
        <w:pStyle w:val="42"/>
        <w:rPr>
          <w:color w:val="auto"/>
        </w:rPr>
      </w:pPr>
      <w:r>
        <w:rPr>
          <w:rFonts w:hint="eastAsia"/>
          <w:color w:val="auto"/>
        </w:rPr>
        <w:t>预制梁安装阶段的施工验算，应符合下列规定：</w:t>
      </w:r>
    </w:p>
    <w:p w14:paraId="75430F69">
      <w:pPr>
        <w:pStyle w:val="43"/>
        <w:ind w:firstLine="480"/>
        <w:rPr>
          <w:color w:val="auto"/>
        </w:rPr>
      </w:pPr>
      <w:r>
        <w:rPr>
          <w:rFonts w:hint="eastAsia"/>
          <w:color w:val="auto"/>
        </w:rPr>
        <w:t>在永久荷载标准值作用下的短期最大挠度不应超过挠度限值，挠度限值宜取为计算跨度的1/400；</w:t>
      </w:r>
    </w:p>
    <w:p w14:paraId="6BE729DA">
      <w:pPr>
        <w:pStyle w:val="43"/>
        <w:tabs>
          <w:tab w:val="left" w:pos="420"/>
        </w:tabs>
        <w:ind w:firstLine="480"/>
        <w:rPr>
          <w:color w:val="auto"/>
        </w:rPr>
      </w:pPr>
      <w:r>
        <w:rPr>
          <w:rFonts w:hint="eastAsia"/>
          <w:color w:val="auto"/>
        </w:rPr>
        <w:t>混凝土梁身正截面边缘的混凝土法向拉应力，应满足下式要求：</w:t>
      </w:r>
    </w:p>
    <w:p w14:paraId="0A6C87BB">
      <w:pPr>
        <w:pStyle w:val="43"/>
        <w:numPr>
          <w:ilvl w:val="255"/>
          <w:numId w:val="0"/>
        </w:numPr>
        <w:tabs>
          <w:tab w:val="left" w:pos="420"/>
        </w:tabs>
        <w:ind w:left="480" w:leftChars="200"/>
        <w:jc w:val="right"/>
        <w:rPr>
          <w:color w:val="auto"/>
        </w:rPr>
      </w:pPr>
      <w:r>
        <w:rPr>
          <w:color w:val="auto"/>
          <w:position w:val="-12"/>
        </w:rPr>
        <w:object>
          <v:shape id="_x0000_i1078" o:spt="75" type="#_x0000_t75" style="height:18pt;width:55.9pt;" o:ole="t" filled="f" o:preferrelative="t" stroked="f" coordsize="21600,21600">
            <v:path/>
            <v:fill on="f" focussize="0,0"/>
            <v:stroke on="f" joinstyle="miter"/>
            <v:imagedata r:id="rId147" o:title=""/>
            <o:lock v:ext="edit" aspectratio="t"/>
            <w10:wrap type="none"/>
            <w10:anchorlock/>
          </v:shape>
          <o:OLEObject Type="Embed" ProgID="Equation.3" ShapeID="_x0000_i1078" DrawAspect="Content" ObjectID="_1468075778" r:id="rId146">
            <o:LockedField>false</o:LockedField>
          </o:OLEObject>
        </w:object>
      </w:r>
      <w:r>
        <w:rPr>
          <w:rFonts w:hint="eastAsia"/>
          <w:color w:val="auto"/>
        </w:rPr>
        <w:t xml:space="preserve">                       （5.</w:t>
      </w:r>
      <w:r>
        <w:rPr>
          <w:rFonts w:hint="eastAsia"/>
          <w:color w:val="auto"/>
          <w:lang w:val="en-US" w:eastAsia="zh-CN"/>
        </w:rPr>
        <w:t>2</w:t>
      </w:r>
      <w:r>
        <w:rPr>
          <w:rFonts w:hint="eastAsia"/>
          <w:color w:val="auto"/>
        </w:rPr>
        <w:t>.</w:t>
      </w:r>
      <w:r>
        <w:rPr>
          <w:rFonts w:hint="eastAsia"/>
          <w:color w:val="auto"/>
          <w:lang w:val="en-US" w:eastAsia="zh-CN"/>
        </w:rPr>
        <w:t>20</w:t>
      </w:r>
      <w:r>
        <w:rPr>
          <w:rFonts w:hint="eastAsia"/>
          <w:color w:val="auto"/>
        </w:rPr>
        <w:t>）</w:t>
      </w:r>
    </w:p>
    <w:tbl>
      <w:tblPr>
        <w:tblStyle w:val="30"/>
        <w:tblW w:w="8468" w:type="dxa"/>
        <w:tblInd w:w="0" w:type="dxa"/>
        <w:tblLayout w:type="autofit"/>
        <w:tblCellMar>
          <w:top w:w="0" w:type="dxa"/>
          <w:left w:w="0" w:type="dxa"/>
          <w:bottom w:w="0" w:type="dxa"/>
          <w:right w:w="0" w:type="dxa"/>
        </w:tblCellMar>
      </w:tblPr>
      <w:tblGrid>
        <w:gridCol w:w="707"/>
        <w:gridCol w:w="338"/>
        <w:gridCol w:w="480"/>
        <w:gridCol w:w="6943"/>
      </w:tblGrid>
      <w:tr w14:paraId="6B13DD6C">
        <w:tblPrEx>
          <w:tblCellMar>
            <w:top w:w="0" w:type="dxa"/>
            <w:left w:w="0" w:type="dxa"/>
            <w:bottom w:w="0" w:type="dxa"/>
            <w:right w:w="0" w:type="dxa"/>
          </w:tblCellMar>
        </w:tblPrEx>
        <w:trPr>
          <w:trHeight w:val="245" w:hRule="atLeast"/>
        </w:trPr>
        <w:tc>
          <w:tcPr>
            <w:tcW w:w="707" w:type="dxa"/>
          </w:tcPr>
          <w:p w14:paraId="349BBBF6">
            <w:pPr>
              <w:ind w:firstLine="0" w:firstLineChars="0"/>
              <w:rPr>
                <w:i/>
                <w:color w:val="auto"/>
              </w:rPr>
            </w:pPr>
            <w:r>
              <w:rPr>
                <w:rFonts w:hint="eastAsia"/>
                <w:color w:val="auto"/>
              </w:rPr>
              <w:t>式中：</w:t>
            </w:r>
          </w:p>
        </w:tc>
        <w:tc>
          <w:tcPr>
            <w:tcW w:w="0" w:type="auto"/>
          </w:tcPr>
          <w:p w14:paraId="588588A2">
            <w:pPr>
              <w:ind w:firstLine="0" w:firstLineChars="0"/>
              <w:jc w:val="right"/>
              <w:rPr>
                <w:color w:val="auto"/>
              </w:rPr>
            </w:pPr>
            <w:r>
              <w:rPr>
                <w:rFonts w:hint="eastAsia"/>
                <w:color w:val="auto"/>
                <w:position w:val="-12"/>
              </w:rPr>
              <w:object>
                <v:shape id="_x0000_i1079" o:spt="75" type="#_x0000_t75" style="height:18pt;width:16.9pt;" o:ole="t" filled="f" o:preferrelative="t" stroked="f" coordsize="21600,21600">
                  <v:path/>
                  <v:fill on="f" focussize="0,0"/>
                  <v:stroke on="f" joinstyle="miter"/>
                  <v:imagedata r:id="rId149" o:title=""/>
                  <o:lock v:ext="edit" aspectratio="t"/>
                  <w10:wrap type="none"/>
                  <w10:anchorlock/>
                </v:shape>
                <o:OLEObject Type="Embed" ProgID="Equation.3" ShapeID="_x0000_i1079" DrawAspect="Content" ObjectID="_1468075779" r:id="rId148">
                  <o:LockedField>false</o:LockedField>
                </o:OLEObject>
              </w:object>
            </w:r>
          </w:p>
        </w:tc>
        <w:tc>
          <w:tcPr>
            <w:tcW w:w="0" w:type="auto"/>
          </w:tcPr>
          <w:p w14:paraId="0790D7B4">
            <w:pPr>
              <w:ind w:firstLine="0" w:firstLineChars="0"/>
              <w:rPr>
                <w:color w:val="auto"/>
              </w:rPr>
            </w:pPr>
            <w:r>
              <w:rPr>
                <w:color w:val="auto"/>
              </w:rPr>
              <w:t>——</w:t>
            </w:r>
          </w:p>
        </w:tc>
        <w:tc>
          <w:tcPr>
            <w:tcW w:w="0" w:type="auto"/>
          </w:tcPr>
          <w:p w14:paraId="37DDC518">
            <w:pPr>
              <w:ind w:firstLine="0" w:firstLineChars="0"/>
              <w:rPr>
                <w:color w:val="auto"/>
              </w:rPr>
            </w:pPr>
            <w:r>
              <w:rPr>
                <w:rFonts w:hint="eastAsia"/>
                <w:color w:val="auto"/>
              </w:rPr>
              <w:t>荷载标准组合作用下正截面边缘混凝土法向拉应力（N/mm</w:t>
            </w:r>
            <w:r>
              <w:rPr>
                <w:rFonts w:hint="eastAsia"/>
                <w:color w:val="auto"/>
                <w:vertAlign w:val="superscript"/>
              </w:rPr>
              <w:t>2</w:t>
            </w:r>
            <w:r>
              <w:rPr>
                <w:rFonts w:hint="eastAsia"/>
                <w:color w:val="auto"/>
              </w:rPr>
              <w:t>），可按毛截面计算；</w:t>
            </w:r>
          </w:p>
        </w:tc>
      </w:tr>
      <w:tr w14:paraId="4FDE76E4">
        <w:tblPrEx>
          <w:tblCellMar>
            <w:top w:w="0" w:type="dxa"/>
            <w:left w:w="0" w:type="dxa"/>
            <w:bottom w:w="0" w:type="dxa"/>
            <w:right w:w="0" w:type="dxa"/>
          </w:tblCellMar>
        </w:tblPrEx>
        <w:trPr>
          <w:trHeight w:val="245" w:hRule="atLeast"/>
        </w:trPr>
        <w:tc>
          <w:tcPr>
            <w:tcW w:w="707" w:type="dxa"/>
          </w:tcPr>
          <w:p w14:paraId="754E6955">
            <w:pPr>
              <w:ind w:firstLine="0" w:firstLineChars="0"/>
              <w:rPr>
                <w:color w:val="auto"/>
              </w:rPr>
            </w:pPr>
          </w:p>
        </w:tc>
        <w:tc>
          <w:tcPr>
            <w:tcW w:w="0" w:type="auto"/>
          </w:tcPr>
          <w:p w14:paraId="0C91EE01">
            <w:pPr>
              <w:ind w:firstLine="0" w:firstLineChars="0"/>
              <w:jc w:val="right"/>
              <w:rPr>
                <w:color w:val="auto"/>
              </w:rPr>
            </w:pPr>
            <w:r>
              <w:rPr>
                <w:rFonts w:hint="eastAsia"/>
                <w:color w:val="auto"/>
                <w:position w:val="-12"/>
              </w:rPr>
              <w:object>
                <v:shape id="_x0000_i1080" o:spt="75" type="#_x0000_t75" style="height:18pt;width:16.15pt;" o:ole="t" filled="f" o:preferrelative="t" stroked="f" coordsize="21600,21600">
                  <v:path/>
                  <v:fill on="f" focussize="0,0"/>
                  <v:stroke on="f" joinstyle="miter"/>
                  <v:imagedata r:id="rId151" o:title=""/>
                  <o:lock v:ext="edit" aspectratio="t"/>
                  <w10:wrap type="none"/>
                  <w10:anchorlock/>
                </v:shape>
                <o:OLEObject Type="Embed" ProgID="Equation.3" ShapeID="_x0000_i1080" DrawAspect="Content" ObjectID="_1468075780" r:id="rId150">
                  <o:LockedField>false</o:LockedField>
                </o:OLEObject>
              </w:object>
            </w:r>
          </w:p>
        </w:tc>
        <w:tc>
          <w:tcPr>
            <w:tcW w:w="0" w:type="auto"/>
          </w:tcPr>
          <w:p w14:paraId="4B750EA0">
            <w:pPr>
              <w:ind w:firstLine="0" w:firstLineChars="0"/>
              <w:rPr>
                <w:color w:val="auto"/>
              </w:rPr>
            </w:pPr>
            <w:r>
              <w:rPr>
                <w:color w:val="auto"/>
              </w:rPr>
              <w:t>——</w:t>
            </w:r>
          </w:p>
        </w:tc>
        <w:tc>
          <w:tcPr>
            <w:tcW w:w="0" w:type="auto"/>
          </w:tcPr>
          <w:p w14:paraId="6559DA96">
            <w:pPr>
              <w:ind w:firstLine="0" w:firstLineChars="0"/>
              <w:rPr>
                <w:color w:val="auto"/>
              </w:rPr>
            </w:pPr>
            <w:r>
              <w:rPr>
                <w:rFonts w:hint="eastAsia"/>
                <w:color w:val="auto"/>
              </w:rPr>
              <w:t>混凝土立方体抗压强度相应的轴心抗拉强度标准值（N/mm</w:t>
            </w:r>
            <w:r>
              <w:rPr>
                <w:rFonts w:hint="eastAsia"/>
                <w:color w:val="auto"/>
                <w:vertAlign w:val="superscript"/>
              </w:rPr>
              <w:t>2</w:t>
            </w:r>
            <w:r>
              <w:rPr>
                <w:rFonts w:hint="eastAsia"/>
                <w:color w:val="auto"/>
              </w:rPr>
              <w:t>），按现行国家标准《混凝土结构设计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50010确定。</w:t>
            </w:r>
          </w:p>
        </w:tc>
      </w:tr>
    </w:tbl>
    <w:p w14:paraId="109052EE">
      <w:pPr>
        <w:bidi w:val="0"/>
      </w:pPr>
    </w:p>
    <w:p w14:paraId="771A3335">
      <w:pPr>
        <w:pStyle w:val="42"/>
        <w:numPr>
          <w:ilvl w:val="2"/>
          <w:numId w:val="0"/>
        </w:numPr>
        <w:jc w:val="center"/>
        <w:rPr>
          <w:rFonts w:hint="default" w:ascii="Times New Roman" w:hAnsi="Times New Roman" w:cs="Times New Roman"/>
          <w:lang w:val="en-US"/>
        </w:rPr>
      </w:pPr>
      <w:r>
        <w:rPr>
          <w:rFonts w:hint="default" w:ascii="Times New Roman" w:hAnsi="Times New Roman" w:cs="Times New Roman"/>
          <w:b/>
          <w:bCs/>
          <w:color w:val="auto"/>
        </w:rPr>
        <w:t xml:space="preserve">Ⅲ </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预制</w:t>
      </w:r>
      <w:r>
        <w:rPr>
          <w:rFonts w:hint="eastAsia" w:cs="Times New Roman"/>
          <w:b/>
          <w:bCs/>
          <w:color w:val="auto"/>
          <w:lang w:val="en-US" w:eastAsia="zh-CN"/>
        </w:rPr>
        <w:t>柱</w:t>
      </w:r>
    </w:p>
    <w:p w14:paraId="29FEEFE1">
      <w:pPr>
        <w:pStyle w:val="42"/>
      </w:pPr>
      <w:r>
        <w:rPr>
          <w:rFonts w:hint="eastAsia"/>
          <w:lang w:val="en-US" w:eastAsia="zh-CN"/>
        </w:rPr>
        <w:t>采用A型</w:t>
      </w:r>
      <w:r>
        <w:rPr>
          <w:rFonts w:hint="eastAsia" w:ascii="Times New Roman" w:hAnsi="Times New Roman" w:cs="Times New Roman"/>
          <w:lang w:val="en-US" w:eastAsia="zh-CN"/>
        </w:rPr>
        <w:t>梁柱连接</w:t>
      </w:r>
      <w:r>
        <w:rPr>
          <w:rFonts w:hint="eastAsia" w:cs="Times New Roman"/>
          <w:lang w:val="en-US" w:eastAsia="zh-CN"/>
        </w:rPr>
        <w:t>时，</w:t>
      </w:r>
      <w:r>
        <w:rPr>
          <w:rFonts w:hint="eastAsia" w:ascii="Times New Roman" w:hAnsi="Times New Roman" w:cs="Times New Roman"/>
          <w:lang w:val="en-US" w:eastAsia="zh-CN"/>
        </w:rPr>
        <w:t>预制柱</w:t>
      </w:r>
      <w:r>
        <w:rPr>
          <w:rFonts w:hint="eastAsia" w:cs="Times New Roman"/>
          <w:lang w:val="en-US" w:eastAsia="zh-CN"/>
        </w:rPr>
        <w:t>应</w:t>
      </w:r>
      <w:r>
        <w:rPr>
          <w:rFonts w:hint="eastAsia" w:ascii="Times New Roman" w:hAnsi="Times New Roman" w:cs="Times New Roman"/>
          <w:lang w:val="en-US" w:eastAsia="zh-CN"/>
        </w:rPr>
        <w:t>采用</w:t>
      </w:r>
      <w:r>
        <w:rPr>
          <w:rFonts w:hint="eastAsia"/>
          <w:color w:val="auto"/>
          <w:lang w:val="en-US" w:eastAsia="zh-CN"/>
        </w:rPr>
        <w:t>节点域钢组件</w:t>
      </w:r>
      <w:r>
        <w:rPr>
          <w:rFonts w:hint="eastAsia"/>
          <w:color w:val="auto"/>
        </w:rPr>
        <w:t>[图</w:t>
      </w:r>
      <w:r>
        <w:rPr>
          <w:rFonts w:hint="eastAsia"/>
          <w:color w:val="auto"/>
          <w:lang w:val="en-US" w:eastAsia="zh-CN"/>
        </w:rPr>
        <w:t>5.2.21(</w:t>
      </w:r>
      <w:r>
        <w:rPr>
          <w:color w:val="auto"/>
        </w:rPr>
        <w:t>a</w:t>
      </w:r>
      <w:r>
        <w:rPr>
          <w:rFonts w:hint="eastAsia"/>
          <w:color w:val="auto"/>
          <w:lang w:val="en-US" w:eastAsia="zh-CN"/>
        </w:rPr>
        <w:t>)</w:t>
      </w:r>
      <w:r>
        <w:rPr>
          <w:rFonts w:hint="eastAsia"/>
          <w:color w:val="auto"/>
        </w:rPr>
        <w:t>]</w:t>
      </w:r>
      <w:r>
        <w:rPr>
          <w:rFonts w:hint="eastAsia"/>
          <w:color w:val="auto"/>
          <w:lang w:eastAsia="zh-CN"/>
        </w:rPr>
        <w:t>；</w:t>
      </w:r>
      <w:r>
        <w:rPr>
          <w:rFonts w:hint="eastAsia"/>
          <w:color w:val="auto"/>
          <w:lang w:val="en-US" w:eastAsia="zh-CN"/>
        </w:rPr>
        <w:t>采用</w:t>
      </w:r>
      <w:r>
        <w:rPr>
          <w:rFonts w:hint="eastAsia"/>
          <w:lang w:val="en-US" w:eastAsia="zh-CN"/>
        </w:rPr>
        <w:t>B型</w:t>
      </w:r>
      <w:r>
        <w:rPr>
          <w:rFonts w:hint="eastAsia" w:ascii="Times New Roman" w:hAnsi="Times New Roman" w:cs="Times New Roman"/>
          <w:lang w:val="en-US" w:eastAsia="zh-CN"/>
        </w:rPr>
        <w:t>梁柱连接</w:t>
      </w:r>
      <w:r>
        <w:rPr>
          <w:rFonts w:hint="eastAsia" w:cs="Times New Roman"/>
          <w:lang w:val="en-US" w:eastAsia="zh-CN"/>
        </w:rPr>
        <w:t>时，</w:t>
      </w:r>
      <w:r>
        <w:rPr>
          <w:rFonts w:hint="eastAsia" w:ascii="Times New Roman" w:hAnsi="Times New Roman" w:cs="Times New Roman"/>
          <w:lang w:val="en-US" w:eastAsia="zh-CN"/>
        </w:rPr>
        <w:t>预制柱宜采用</w:t>
      </w:r>
      <w:r>
        <w:rPr>
          <w:rFonts w:hint="eastAsia"/>
          <w:color w:val="auto"/>
          <w:lang w:val="en-US" w:eastAsia="zh-CN"/>
        </w:rPr>
        <w:t>B型柱侧钢组件</w:t>
      </w:r>
      <w:r>
        <w:rPr>
          <w:rFonts w:hint="eastAsia"/>
          <w:color w:val="auto"/>
        </w:rPr>
        <w:t>[图</w:t>
      </w:r>
      <w:r>
        <w:rPr>
          <w:rFonts w:hint="eastAsia"/>
          <w:color w:val="auto"/>
          <w:lang w:val="en-US" w:eastAsia="zh-CN"/>
        </w:rPr>
        <w:t>5.2.21(b)</w:t>
      </w:r>
      <w:r>
        <w:rPr>
          <w:rFonts w:hint="eastAsia"/>
          <w:color w:val="auto"/>
        </w:rPr>
        <w:t>]</w:t>
      </w:r>
      <w:r>
        <w:rPr>
          <w:rFonts w:hint="eastAsia"/>
          <w:color w:val="auto"/>
          <w:lang w:eastAsia="zh-CN"/>
        </w:rPr>
        <w:t>；</w:t>
      </w:r>
      <w:r>
        <w:rPr>
          <w:rFonts w:hint="eastAsia"/>
          <w:color w:val="auto"/>
          <w:lang w:val="en-US" w:eastAsia="zh-CN"/>
        </w:rPr>
        <w:t>采用</w:t>
      </w:r>
      <w:r>
        <w:rPr>
          <w:rFonts w:hint="eastAsia"/>
          <w:lang w:val="en-US" w:eastAsia="zh-CN"/>
        </w:rPr>
        <w:t>C型</w:t>
      </w:r>
      <w:r>
        <w:rPr>
          <w:rFonts w:hint="eastAsia" w:ascii="Times New Roman" w:hAnsi="Times New Roman" w:cs="Times New Roman"/>
          <w:lang w:val="en-US" w:eastAsia="zh-CN"/>
        </w:rPr>
        <w:t>梁柱连接</w:t>
      </w:r>
      <w:r>
        <w:rPr>
          <w:rFonts w:hint="eastAsia" w:cs="Times New Roman"/>
          <w:lang w:val="en-US" w:eastAsia="zh-CN"/>
        </w:rPr>
        <w:t>时，</w:t>
      </w:r>
      <w:r>
        <w:rPr>
          <w:rFonts w:hint="eastAsia" w:ascii="Times New Roman" w:hAnsi="Times New Roman" w:cs="Times New Roman"/>
          <w:lang w:val="en-US" w:eastAsia="zh-CN"/>
        </w:rPr>
        <w:t>预制柱宜采用</w:t>
      </w:r>
      <w:r>
        <w:rPr>
          <w:rFonts w:hint="eastAsia"/>
          <w:color w:val="auto"/>
          <w:lang w:val="en-US" w:eastAsia="zh-CN"/>
        </w:rPr>
        <w:t>C型柱侧钢组件</w:t>
      </w:r>
      <w:r>
        <w:rPr>
          <w:rFonts w:hint="eastAsia"/>
          <w:color w:val="auto"/>
        </w:rPr>
        <w:t>[图</w:t>
      </w:r>
      <w:r>
        <w:rPr>
          <w:rFonts w:hint="eastAsia"/>
          <w:color w:val="auto"/>
          <w:lang w:val="en-US" w:eastAsia="zh-CN"/>
        </w:rPr>
        <w:t>5.2.21(c)</w:t>
      </w:r>
      <w:r>
        <w:rPr>
          <w:rFonts w:hint="eastAsia"/>
          <w:color w:val="auto"/>
        </w:rPr>
        <w:t>]</w:t>
      </w:r>
      <w:r>
        <w:rPr>
          <w:rFonts w:hint="eastAsia"/>
          <w:color w:val="auto"/>
          <w:lang w:val="en-US"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6"/>
        <w:gridCol w:w="2828"/>
        <w:gridCol w:w="2832"/>
      </w:tblGrid>
      <w:tr w14:paraId="01B55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8" w:type="dxa"/>
            <w:shd w:val="clear" w:color="auto" w:fill="auto"/>
            <w:vAlign w:val="center"/>
          </w:tcPr>
          <w:p w14:paraId="7C531EE0">
            <w:pPr>
              <w:pStyle w:val="45"/>
              <w:ind w:firstLine="0" w:firstLineChars="0"/>
              <w:jc w:val="center"/>
              <w:rPr>
                <w:rFonts w:hint="default" w:eastAsia="黑体"/>
                <w:lang w:val="en-US" w:eastAsia="zh-CN"/>
              </w:rPr>
            </w:pPr>
            <w:r>
              <w:drawing>
                <wp:inline distT="0" distB="0" distL="114300" distR="114300">
                  <wp:extent cx="1671955" cy="1619885"/>
                  <wp:effectExtent l="0" t="0" r="4445" b="18415"/>
                  <wp:docPr id="130"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79"/>
                          <pic:cNvPicPr>
                            <a:picLocks noChangeAspect="1"/>
                          </pic:cNvPicPr>
                        </pic:nvPicPr>
                        <pic:blipFill>
                          <a:blip r:embed="rId152"/>
                          <a:stretch>
                            <a:fillRect/>
                          </a:stretch>
                        </pic:blipFill>
                        <pic:spPr>
                          <a:xfrm>
                            <a:off x="0" y="0"/>
                            <a:ext cx="1671955" cy="1619885"/>
                          </a:xfrm>
                          <a:prstGeom prst="rect">
                            <a:avLst/>
                          </a:prstGeom>
                          <a:noFill/>
                          <a:ln>
                            <a:noFill/>
                          </a:ln>
                        </pic:spPr>
                      </pic:pic>
                    </a:graphicData>
                  </a:graphic>
                </wp:inline>
              </w:drawing>
            </w:r>
          </w:p>
        </w:tc>
        <w:tc>
          <w:tcPr>
            <w:tcW w:w="2838" w:type="dxa"/>
            <w:shd w:val="clear" w:color="auto" w:fill="auto"/>
            <w:vAlign w:val="center"/>
          </w:tcPr>
          <w:p w14:paraId="5AC0B352">
            <w:pPr>
              <w:pStyle w:val="45"/>
              <w:ind w:firstLine="0" w:firstLineChars="0"/>
              <w:jc w:val="center"/>
            </w:pPr>
            <w:r>
              <w:drawing>
                <wp:inline distT="0" distB="0" distL="114300" distR="114300">
                  <wp:extent cx="1191895" cy="1619885"/>
                  <wp:effectExtent l="0" t="0" r="8255" b="18415"/>
                  <wp:docPr id="131"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80"/>
                          <pic:cNvPicPr>
                            <a:picLocks noChangeAspect="1"/>
                          </pic:cNvPicPr>
                        </pic:nvPicPr>
                        <pic:blipFill>
                          <a:blip r:embed="rId153"/>
                          <a:stretch>
                            <a:fillRect/>
                          </a:stretch>
                        </pic:blipFill>
                        <pic:spPr>
                          <a:xfrm>
                            <a:off x="0" y="0"/>
                            <a:ext cx="1191895" cy="1619885"/>
                          </a:xfrm>
                          <a:prstGeom prst="rect">
                            <a:avLst/>
                          </a:prstGeom>
                          <a:noFill/>
                          <a:ln>
                            <a:noFill/>
                          </a:ln>
                        </pic:spPr>
                      </pic:pic>
                    </a:graphicData>
                  </a:graphic>
                </wp:inline>
              </w:drawing>
            </w:r>
          </w:p>
        </w:tc>
        <w:tc>
          <w:tcPr>
            <w:tcW w:w="2840" w:type="dxa"/>
            <w:shd w:val="clear" w:color="auto" w:fill="auto"/>
            <w:vAlign w:val="center"/>
          </w:tcPr>
          <w:p w14:paraId="401280E9">
            <w:pPr>
              <w:pStyle w:val="45"/>
              <w:ind w:firstLine="0" w:firstLineChars="0"/>
              <w:jc w:val="center"/>
            </w:pPr>
            <w:r>
              <w:drawing>
                <wp:inline distT="0" distB="0" distL="114300" distR="114300">
                  <wp:extent cx="1290320" cy="1619885"/>
                  <wp:effectExtent l="0" t="0" r="5080" b="18415"/>
                  <wp:docPr id="132"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81"/>
                          <pic:cNvPicPr>
                            <a:picLocks noChangeAspect="1"/>
                          </pic:cNvPicPr>
                        </pic:nvPicPr>
                        <pic:blipFill>
                          <a:blip r:embed="rId154"/>
                          <a:stretch>
                            <a:fillRect/>
                          </a:stretch>
                        </pic:blipFill>
                        <pic:spPr>
                          <a:xfrm>
                            <a:off x="0" y="0"/>
                            <a:ext cx="1290320" cy="1619885"/>
                          </a:xfrm>
                          <a:prstGeom prst="rect">
                            <a:avLst/>
                          </a:prstGeom>
                          <a:noFill/>
                          <a:ln>
                            <a:noFill/>
                          </a:ln>
                        </pic:spPr>
                      </pic:pic>
                    </a:graphicData>
                  </a:graphic>
                </wp:inline>
              </w:drawing>
            </w:r>
          </w:p>
        </w:tc>
      </w:tr>
      <w:tr w14:paraId="52172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8" w:type="dxa"/>
            <w:shd w:val="clear" w:color="auto" w:fill="auto"/>
            <w:vAlign w:val="center"/>
          </w:tcPr>
          <w:p w14:paraId="1CC177DA">
            <w:pPr>
              <w:pStyle w:val="45"/>
              <w:ind w:firstLine="0" w:firstLineChars="0"/>
              <w:jc w:val="center"/>
            </w:pPr>
            <w:r>
              <w:rPr>
                <w:rFonts w:hint="eastAsia"/>
                <w:color w:val="auto"/>
              </w:rPr>
              <w:t>（</w:t>
            </w:r>
            <w:r>
              <w:rPr>
                <w:rFonts w:hint="eastAsia"/>
                <w:color w:val="auto"/>
                <w:lang w:val="en-US" w:eastAsia="zh-CN"/>
              </w:rPr>
              <w:t>a</w:t>
            </w:r>
            <w:r>
              <w:rPr>
                <w:rFonts w:hint="eastAsia"/>
                <w:color w:val="auto"/>
              </w:rPr>
              <w:t>）</w:t>
            </w:r>
            <w:r>
              <w:rPr>
                <w:rFonts w:hint="eastAsia"/>
                <w:color w:val="auto"/>
                <w:lang w:val="en-US" w:eastAsia="zh-CN"/>
              </w:rPr>
              <w:t>节点域钢组件</w:t>
            </w:r>
          </w:p>
        </w:tc>
        <w:tc>
          <w:tcPr>
            <w:tcW w:w="2838" w:type="dxa"/>
            <w:shd w:val="clear" w:color="auto" w:fill="auto"/>
            <w:vAlign w:val="center"/>
          </w:tcPr>
          <w:p w14:paraId="205E4A62">
            <w:pPr>
              <w:pStyle w:val="45"/>
              <w:ind w:firstLine="0" w:firstLineChars="0"/>
              <w:jc w:val="cente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B型柱侧钢组件</w:t>
            </w:r>
          </w:p>
        </w:tc>
        <w:tc>
          <w:tcPr>
            <w:tcW w:w="2840" w:type="dxa"/>
            <w:shd w:val="clear" w:color="auto" w:fill="auto"/>
            <w:vAlign w:val="center"/>
          </w:tcPr>
          <w:p w14:paraId="2AB5CF17">
            <w:pPr>
              <w:pStyle w:val="45"/>
              <w:ind w:firstLine="0" w:firstLineChars="0"/>
              <w:jc w:val="center"/>
            </w:pPr>
            <w:r>
              <w:rPr>
                <w:rFonts w:hint="eastAsia"/>
                <w:color w:val="auto"/>
              </w:rPr>
              <w:t>（</w:t>
            </w:r>
            <w:r>
              <w:rPr>
                <w:rFonts w:hint="eastAsia"/>
                <w:color w:val="auto"/>
                <w:lang w:val="en-US" w:eastAsia="zh-CN"/>
              </w:rPr>
              <w:t>c</w:t>
            </w:r>
            <w:r>
              <w:rPr>
                <w:rFonts w:hint="eastAsia"/>
                <w:color w:val="auto"/>
              </w:rPr>
              <w:t>）</w:t>
            </w:r>
            <w:r>
              <w:rPr>
                <w:rFonts w:hint="eastAsia"/>
                <w:color w:val="auto"/>
                <w:lang w:val="en-US" w:eastAsia="zh-CN"/>
              </w:rPr>
              <w:t>C型柱侧钢组件</w:t>
            </w:r>
          </w:p>
        </w:tc>
      </w:tr>
    </w:tbl>
    <w:p w14:paraId="3EEF4546">
      <w:pPr>
        <w:pStyle w:val="45"/>
        <w:rPr>
          <w:color w:val="auto"/>
        </w:rPr>
      </w:pPr>
    </w:p>
    <w:p w14:paraId="1D4781CC">
      <w:pPr>
        <w:pStyle w:val="45"/>
        <w:rPr>
          <w:color w:val="auto"/>
        </w:rPr>
      </w:pPr>
      <w:r>
        <w:rPr>
          <w:color w:val="auto"/>
        </w:rPr>
        <w:t>1—</w:t>
      </w:r>
      <w:r>
        <w:rPr>
          <w:rFonts w:hint="eastAsia"/>
          <w:color w:val="auto"/>
          <w:lang w:val="en-US" w:eastAsia="zh-CN"/>
        </w:rPr>
        <w:t>侧板</w:t>
      </w:r>
      <w:r>
        <w:rPr>
          <w:color w:val="auto"/>
        </w:rPr>
        <w:t>；2—</w:t>
      </w:r>
      <w:r>
        <w:rPr>
          <w:rFonts w:hint="eastAsia"/>
          <w:color w:val="auto"/>
          <w:lang w:val="en-US" w:eastAsia="zh-CN"/>
        </w:rPr>
        <w:t>隔板</w:t>
      </w:r>
      <w:r>
        <w:rPr>
          <w:color w:val="auto"/>
        </w:rPr>
        <w:t>；</w:t>
      </w:r>
      <w:r>
        <w:rPr>
          <w:rFonts w:hint="eastAsia"/>
          <w:color w:val="auto"/>
          <w:lang w:val="en-US" w:eastAsia="zh-CN"/>
        </w:rPr>
        <w:t>3</w:t>
      </w:r>
      <w:r>
        <w:rPr>
          <w:color w:val="auto"/>
        </w:rPr>
        <w:t>—</w:t>
      </w:r>
      <w:r>
        <w:rPr>
          <w:rFonts w:hint="eastAsia"/>
          <w:color w:val="auto"/>
          <w:lang w:val="en-US" w:eastAsia="zh-CN"/>
        </w:rPr>
        <w:t>抗剪键</w:t>
      </w:r>
      <w:r>
        <w:rPr>
          <w:color w:val="auto"/>
        </w:rPr>
        <w:t>；</w:t>
      </w:r>
      <w:r>
        <w:rPr>
          <w:rFonts w:hint="eastAsia"/>
          <w:color w:val="auto"/>
          <w:lang w:val="en-US" w:eastAsia="zh-CN"/>
        </w:rPr>
        <w:t>4</w:t>
      </w:r>
      <w:r>
        <w:rPr>
          <w:color w:val="auto"/>
        </w:rPr>
        <w:t>—</w:t>
      </w:r>
      <w:r>
        <w:rPr>
          <w:rFonts w:hint="eastAsia"/>
          <w:color w:val="auto"/>
          <w:lang w:val="en-US" w:eastAsia="zh-CN"/>
        </w:rPr>
        <w:t>加劲肋</w:t>
      </w:r>
      <w:r>
        <w:rPr>
          <w:color w:val="auto"/>
        </w:rPr>
        <w:t>；</w:t>
      </w:r>
      <w:r>
        <w:rPr>
          <w:rFonts w:hint="eastAsia"/>
          <w:color w:val="auto"/>
          <w:lang w:val="en-US" w:eastAsia="zh-CN"/>
        </w:rPr>
        <w:t>5</w:t>
      </w:r>
      <w:r>
        <w:rPr>
          <w:color w:val="auto"/>
        </w:rPr>
        <w:t>—</w:t>
      </w:r>
      <w:r>
        <w:rPr>
          <w:rFonts w:hint="eastAsia"/>
          <w:color w:val="auto"/>
          <w:lang w:val="en-US" w:eastAsia="zh-CN"/>
        </w:rPr>
        <w:t>连接板</w:t>
      </w:r>
      <w:r>
        <w:rPr>
          <w:color w:val="auto"/>
        </w:rPr>
        <w:t>；</w:t>
      </w:r>
    </w:p>
    <w:p w14:paraId="55FC29B5">
      <w:pPr>
        <w:pStyle w:val="45"/>
        <w:rPr>
          <w:rFonts w:hint="eastAsia" w:eastAsia="黑体"/>
          <w:color w:val="auto"/>
          <w:lang w:val="en-US" w:eastAsia="zh-CN"/>
        </w:rPr>
      </w:pPr>
      <w:r>
        <w:rPr>
          <w:rFonts w:hint="eastAsia"/>
          <w:color w:val="auto"/>
          <w:lang w:val="en-US" w:eastAsia="zh-CN"/>
        </w:rPr>
        <w:t>6</w:t>
      </w:r>
      <w:r>
        <w:rPr>
          <w:color w:val="auto"/>
        </w:rPr>
        <w:t>—</w:t>
      </w:r>
      <w:r>
        <w:rPr>
          <w:rFonts w:hint="eastAsia"/>
          <w:color w:val="auto"/>
          <w:lang w:val="en-US" w:eastAsia="zh-CN"/>
        </w:rPr>
        <w:t>抗剪栓钉/抗剪锚筋</w:t>
      </w:r>
      <w:r>
        <w:rPr>
          <w:color w:val="auto"/>
        </w:rPr>
        <w:t>；</w:t>
      </w:r>
      <w:r>
        <w:rPr>
          <w:rFonts w:hint="eastAsia"/>
          <w:color w:val="auto"/>
          <w:lang w:val="en-US" w:eastAsia="zh-CN"/>
        </w:rPr>
        <w:t>7</w:t>
      </w:r>
      <w:r>
        <w:rPr>
          <w:color w:val="auto"/>
        </w:rPr>
        <w:t>—</w:t>
      </w:r>
      <w:r>
        <w:rPr>
          <w:rFonts w:hint="eastAsia"/>
          <w:color w:val="auto"/>
          <w:lang w:val="en-US" w:eastAsia="zh-CN"/>
        </w:rPr>
        <w:t>螺栓孔；8</w:t>
      </w:r>
      <w:r>
        <w:rPr>
          <w:color w:val="auto"/>
        </w:rPr>
        <w:t>—</w:t>
      </w:r>
      <w:r>
        <w:rPr>
          <w:rFonts w:hint="eastAsia"/>
          <w:color w:val="auto"/>
          <w:lang w:val="en-US" w:eastAsia="zh-CN"/>
        </w:rPr>
        <w:t>翼缘；9</w:t>
      </w:r>
      <w:r>
        <w:rPr>
          <w:color w:val="auto"/>
        </w:rPr>
        <w:t>—</w:t>
      </w:r>
      <w:r>
        <w:rPr>
          <w:rFonts w:hint="eastAsia"/>
          <w:color w:val="auto"/>
          <w:lang w:val="en-US" w:eastAsia="zh-CN"/>
        </w:rPr>
        <w:t>锚板</w:t>
      </w:r>
    </w:p>
    <w:p w14:paraId="495E91DD">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21</w:t>
      </w:r>
      <w:r>
        <w:rPr>
          <w:color w:val="auto"/>
        </w:rPr>
        <w:t xml:space="preserve"> </w:t>
      </w:r>
      <w:r>
        <w:rPr>
          <w:rFonts w:hint="eastAsia"/>
          <w:color w:val="auto"/>
        </w:rPr>
        <w:t xml:space="preserve"> </w:t>
      </w:r>
      <w:r>
        <w:rPr>
          <w:rFonts w:hint="eastAsia"/>
          <w:color w:val="auto"/>
          <w:lang w:val="en-US" w:eastAsia="zh-CN"/>
        </w:rPr>
        <w:t>节点域钢组件和柱侧钢组件构造</w:t>
      </w:r>
      <w:r>
        <w:rPr>
          <w:rFonts w:hint="eastAsia"/>
          <w:color w:val="auto"/>
        </w:rPr>
        <w:t>示意</w:t>
      </w:r>
    </w:p>
    <w:p w14:paraId="22181EA1">
      <w:pPr>
        <w:pStyle w:val="45"/>
        <w:rPr>
          <w:rFonts w:hint="eastAsia"/>
          <w:color w:val="auto"/>
        </w:rPr>
      </w:pPr>
    </w:p>
    <w:p w14:paraId="40DBE2D4">
      <w:pPr>
        <w:pStyle w:val="42"/>
      </w:pPr>
      <w:r>
        <w:rPr>
          <w:rFonts w:hint="eastAsia"/>
          <w:lang w:val="en-US" w:eastAsia="zh-CN"/>
        </w:rPr>
        <w:t>柱与柱采用钢组件螺栓连接时，</w:t>
      </w:r>
      <w:r>
        <w:rPr>
          <w:rFonts w:hint="eastAsia" w:ascii="Times New Roman" w:hAnsi="Times New Roman" w:cs="Times New Roman"/>
          <w:lang w:val="en-US" w:eastAsia="zh-CN"/>
        </w:rPr>
        <w:t>预制柱可采用</w:t>
      </w:r>
      <w:r>
        <w:rPr>
          <w:rFonts w:hint="eastAsia" w:cs="Times New Roman"/>
          <w:lang w:val="en-US" w:eastAsia="zh-CN"/>
        </w:rPr>
        <w:t>图5.2.22(a)所示的</w:t>
      </w:r>
      <w:r>
        <w:rPr>
          <w:rFonts w:hint="eastAsia" w:ascii="Times New Roman" w:hAnsi="Times New Roman" w:cs="Times New Roman"/>
          <w:lang w:val="en-US" w:eastAsia="zh-CN"/>
        </w:rPr>
        <w:t>整体式</w:t>
      </w:r>
      <w:r>
        <w:rPr>
          <w:rFonts w:hint="eastAsia" w:cs="Times New Roman"/>
          <w:lang w:val="en-US" w:eastAsia="zh-CN"/>
        </w:rPr>
        <w:t>柱端钢组件或图5.2.22(b)</w:t>
      </w:r>
      <w:r>
        <w:rPr>
          <w:rFonts w:hint="eastAsia" w:cs="Times New Roman"/>
          <w:lang w:val="en-US" w:eastAsia="zh-CN"/>
        </w:rPr>
        <w:t>所示的</w:t>
      </w:r>
      <w:r>
        <w:rPr>
          <w:rFonts w:hint="eastAsia" w:ascii="Times New Roman" w:hAnsi="Times New Roman" w:cs="Times New Roman"/>
          <w:lang w:val="en-US" w:eastAsia="zh-CN"/>
        </w:rPr>
        <w:t>分体式柱端钢组件</w:t>
      </w:r>
      <w:r>
        <w:rPr>
          <w:rFonts w:hint="eastAsia"/>
          <w:color w:val="auto"/>
          <w:lang w:eastAsia="zh-CN"/>
        </w:rPr>
        <w:t>；</w:t>
      </w:r>
      <w:r>
        <w:rPr>
          <w:rFonts w:hint="eastAsia"/>
          <w:color w:val="auto"/>
          <w:lang w:val="en-US" w:eastAsia="zh-CN"/>
        </w:rPr>
        <w:t>柱与柱采用</w:t>
      </w:r>
      <w:r>
        <w:rPr>
          <w:rFonts w:hint="eastAsia"/>
          <w:lang w:val="en-US" w:eastAsia="zh-CN"/>
        </w:rPr>
        <w:t>钢组件灌浆连接时，预制柱宜采用</w:t>
      </w:r>
      <w:r>
        <w:rPr>
          <w:rFonts w:hint="eastAsia" w:cs="Times New Roman"/>
          <w:lang w:val="en-US" w:eastAsia="zh-CN"/>
        </w:rPr>
        <w:t>图5.2.22(a)所示的</w:t>
      </w:r>
      <w:r>
        <w:rPr>
          <w:rFonts w:hint="eastAsia" w:ascii="Times New Roman" w:hAnsi="Times New Roman" w:cs="Times New Roman"/>
          <w:lang w:val="en-US" w:eastAsia="zh-CN"/>
        </w:rPr>
        <w:t>整体式</w:t>
      </w:r>
      <w:r>
        <w:rPr>
          <w:rFonts w:hint="eastAsia" w:cs="Times New Roman"/>
          <w:lang w:val="en-US" w:eastAsia="zh-CN"/>
        </w:rPr>
        <w:t>柱端钢组件；柱与柱采用</w:t>
      </w:r>
      <w:r>
        <w:rPr>
          <w:rFonts w:hint="eastAsia"/>
          <w:lang w:val="en-US" w:eastAsia="zh-CN"/>
        </w:rPr>
        <w:t>钢组件焊接连接时，</w:t>
      </w:r>
      <w:r>
        <w:rPr>
          <w:rFonts w:hint="eastAsia" w:ascii="Times New Roman" w:hAnsi="Times New Roman" w:cs="Times New Roman"/>
          <w:lang w:val="en-US" w:eastAsia="zh-CN"/>
        </w:rPr>
        <w:t>预制柱</w:t>
      </w:r>
      <w:r>
        <w:rPr>
          <w:rFonts w:hint="eastAsia"/>
          <w:lang w:val="en-US" w:eastAsia="zh-CN"/>
        </w:rPr>
        <w:t>宜</w:t>
      </w:r>
      <w:r>
        <w:rPr>
          <w:rFonts w:hint="eastAsia" w:ascii="Times New Roman" w:hAnsi="Times New Roman" w:cs="Times New Roman"/>
          <w:lang w:val="en-US" w:eastAsia="zh-CN"/>
        </w:rPr>
        <w:t>采用</w:t>
      </w:r>
      <w:r>
        <w:rPr>
          <w:rFonts w:hint="eastAsia" w:cs="Times New Roman"/>
          <w:lang w:val="en-US" w:eastAsia="zh-CN"/>
        </w:rPr>
        <w:t>图5.2.22(c)所示的</w:t>
      </w:r>
      <w:r>
        <w:rPr>
          <w:rFonts w:hint="eastAsia" w:ascii="Times New Roman" w:hAnsi="Times New Roman" w:cs="Times New Roman"/>
          <w:lang w:val="en-US" w:eastAsia="zh-CN"/>
        </w:rPr>
        <w:t>整体式柱端钢组件</w:t>
      </w:r>
      <w:r>
        <w:rPr>
          <w:rFonts w:hint="eastAsia"/>
          <w:color w:val="auto"/>
          <w:lang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74"/>
        <w:gridCol w:w="2826"/>
        <w:gridCol w:w="2616"/>
      </w:tblGrid>
      <w:tr w14:paraId="0AC2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74" w:type="dxa"/>
            <w:shd w:val="clear" w:color="auto" w:fill="auto"/>
            <w:vAlign w:val="center"/>
          </w:tcPr>
          <w:p w14:paraId="329A097F">
            <w:pPr>
              <w:pStyle w:val="45"/>
              <w:ind w:firstLine="0" w:firstLineChars="0"/>
              <w:jc w:val="center"/>
              <w:rPr>
                <w:rFonts w:hint="default" w:eastAsia="黑体"/>
                <w:lang w:val="en-US" w:eastAsia="zh-CN"/>
              </w:rPr>
            </w:pPr>
            <w:r>
              <w:drawing>
                <wp:inline distT="0" distB="0" distL="114300" distR="114300">
                  <wp:extent cx="1611630" cy="1800225"/>
                  <wp:effectExtent l="0" t="0" r="7620" b="9525"/>
                  <wp:docPr id="135"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84"/>
                          <pic:cNvPicPr>
                            <a:picLocks noChangeAspect="1"/>
                          </pic:cNvPicPr>
                        </pic:nvPicPr>
                        <pic:blipFill>
                          <a:blip r:embed="rId155"/>
                          <a:stretch>
                            <a:fillRect/>
                          </a:stretch>
                        </pic:blipFill>
                        <pic:spPr>
                          <a:xfrm>
                            <a:off x="0" y="0"/>
                            <a:ext cx="1611630" cy="1800225"/>
                          </a:xfrm>
                          <a:prstGeom prst="rect">
                            <a:avLst/>
                          </a:prstGeom>
                          <a:noFill/>
                          <a:ln>
                            <a:noFill/>
                          </a:ln>
                        </pic:spPr>
                      </pic:pic>
                    </a:graphicData>
                  </a:graphic>
                </wp:inline>
              </w:drawing>
            </w:r>
          </w:p>
        </w:tc>
        <w:tc>
          <w:tcPr>
            <w:tcW w:w="2826" w:type="dxa"/>
            <w:shd w:val="clear" w:color="auto" w:fill="auto"/>
            <w:vAlign w:val="center"/>
          </w:tcPr>
          <w:p w14:paraId="32DD90F1">
            <w:pPr>
              <w:pStyle w:val="45"/>
              <w:ind w:firstLine="0" w:firstLineChars="0"/>
              <w:jc w:val="center"/>
              <w:rPr>
                <w:rFonts w:hint="default" w:eastAsia="黑体"/>
                <w:lang w:val="en-US" w:eastAsia="zh-CN"/>
              </w:rPr>
            </w:pPr>
            <w:r>
              <w:drawing>
                <wp:inline distT="0" distB="0" distL="114300" distR="114300">
                  <wp:extent cx="1642110" cy="1080135"/>
                  <wp:effectExtent l="0" t="0" r="15240" b="5715"/>
                  <wp:docPr id="136"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85"/>
                          <pic:cNvPicPr>
                            <a:picLocks noChangeAspect="1"/>
                          </pic:cNvPicPr>
                        </pic:nvPicPr>
                        <pic:blipFill>
                          <a:blip r:embed="rId156"/>
                          <a:stretch>
                            <a:fillRect/>
                          </a:stretch>
                        </pic:blipFill>
                        <pic:spPr>
                          <a:xfrm>
                            <a:off x="0" y="0"/>
                            <a:ext cx="1642110" cy="1080135"/>
                          </a:xfrm>
                          <a:prstGeom prst="rect">
                            <a:avLst/>
                          </a:prstGeom>
                          <a:noFill/>
                          <a:ln>
                            <a:noFill/>
                          </a:ln>
                        </pic:spPr>
                      </pic:pic>
                    </a:graphicData>
                  </a:graphic>
                </wp:inline>
              </w:drawing>
            </w:r>
          </w:p>
        </w:tc>
        <w:tc>
          <w:tcPr>
            <w:tcW w:w="2616" w:type="dxa"/>
            <w:shd w:val="clear" w:color="auto" w:fill="auto"/>
            <w:vAlign w:val="center"/>
          </w:tcPr>
          <w:p w14:paraId="6AD0377B">
            <w:pPr>
              <w:pStyle w:val="45"/>
              <w:ind w:firstLine="0" w:firstLineChars="0"/>
              <w:jc w:val="center"/>
            </w:pPr>
            <w:r>
              <w:drawing>
                <wp:inline distT="0" distB="0" distL="114300" distR="114300">
                  <wp:extent cx="1299845" cy="1440180"/>
                  <wp:effectExtent l="0" t="0" r="14605" b="7620"/>
                  <wp:docPr id="19"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0"/>
                          <pic:cNvPicPr>
                            <a:picLocks noChangeAspect="1"/>
                          </pic:cNvPicPr>
                        </pic:nvPicPr>
                        <pic:blipFill>
                          <a:blip r:embed="rId157"/>
                          <a:stretch>
                            <a:fillRect/>
                          </a:stretch>
                        </pic:blipFill>
                        <pic:spPr>
                          <a:xfrm>
                            <a:off x="0" y="0"/>
                            <a:ext cx="1299845" cy="1440180"/>
                          </a:xfrm>
                          <a:prstGeom prst="rect">
                            <a:avLst/>
                          </a:prstGeom>
                          <a:noFill/>
                          <a:ln>
                            <a:noFill/>
                          </a:ln>
                        </pic:spPr>
                      </pic:pic>
                    </a:graphicData>
                  </a:graphic>
                </wp:inline>
              </w:drawing>
            </w:r>
          </w:p>
        </w:tc>
      </w:tr>
      <w:tr w14:paraId="70D32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74" w:type="dxa"/>
            <w:shd w:val="clear" w:color="auto" w:fill="auto"/>
            <w:vAlign w:val="center"/>
          </w:tcPr>
          <w:p w14:paraId="4A9768D6">
            <w:pPr>
              <w:pStyle w:val="45"/>
              <w:numPr>
                <w:ilvl w:val="0"/>
                <w:numId w:val="0"/>
              </w:numPr>
              <w:ind w:firstLine="0" w:firstLineChars="0"/>
              <w:jc w:val="center"/>
              <w:rPr>
                <w:rFonts w:hint="default" w:eastAsia="黑体"/>
                <w:lang w:val="en-US" w:eastAsia="zh-CN"/>
              </w:rPr>
            </w:pPr>
            <w:r>
              <w:rPr>
                <w:rFonts w:hint="default" w:ascii="Times New Roman" w:hAnsi="Times New Roman" w:eastAsia="黑体" w:cs="Times New Roman"/>
                <w:kern w:val="2"/>
                <w:sz w:val="21"/>
                <w:szCs w:val="21"/>
                <w:lang w:val="en-US" w:eastAsia="zh-CN" w:bidi="ar-SA"/>
              </w:rPr>
              <w:t>（a）</w:t>
            </w:r>
            <w:r>
              <w:rPr>
                <w:rFonts w:hint="eastAsia"/>
                <w:lang w:val="en-US" w:eastAsia="zh-CN"/>
              </w:rPr>
              <w:t>钢组件螺栓/灌浆连接</w:t>
            </w:r>
            <w:r>
              <w:rPr>
                <w:rFonts w:hint="eastAsia" w:ascii="Times New Roman" w:hAnsi="Times New Roman" w:cs="Times New Roman"/>
                <w:lang w:val="en-US" w:eastAsia="zh-CN"/>
              </w:rPr>
              <w:t>采用的整体式柱端钢组件</w:t>
            </w:r>
          </w:p>
        </w:tc>
        <w:tc>
          <w:tcPr>
            <w:tcW w:w="2826" w:type="dxa"/>
            <w:shd w:val="clear" w:color="auto" w:fill="auto"/>
            <w:vAlign w:val="center"/>
          </w:tcPr>
          <w:p w14:paraId="25D13DBF">
            <w:pPr>
              <w:pStyle w:val="45"/>
              <w:ind w:firstLine="0" w:firstLineChars="0"/>
              <w:jc w:val="center"/>
              <w:rPr>
                <w:rFonts w:hint="default" w:eastAsia="黑体"/>
                <w:lang w:val="en-US" w:eastAsia="zh-CN"/>
              </w:rP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分体式柱端钢组件</w:t>
            </w:r>
          </w:p>
        </w:tc>
        <w:tc>
          <w:tcPr>
            <w:tcW w:w="2616" w:type="dxa"/>
            <w:shd w:val="clear" w:color="auto" w:fill="auto"/>
            <w:vAlign w:val="center"/>
          </w:tcPr>
          <w:p w14:paraId="1A8BCE25">
            <w:pPr>
              <w:pStyle w:val="45"/>
              <w:ind w:firstLine="0" w:firstLineChars="0"/>
              <w:jc w:val="center"/>
              <w:rPr>
                <w:rFonts w:hint="eastAsia"/>
                <w:color w:val="auto"/>
              </w:rPr>
            </w:pPr>
            <w:r>
              <w:rPr>
                <w:rFonts w:hint="default" w:ascii="Times New Roman" w:hAnsi="Times New Roman" w:eastAsia="黑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c</w:t>
            </w:r>
            <w:r>
              <w:rPr>
                <w:rFonts w:hint="default" w:ascii="Times New Roman" w:hAnsi="Times New Roman" w:eastAsia="黑体" w:cs="Times New Roman"/>
                <w:kern w:val="2"/>
                <w:sz w:val="21"/>
                <w:szCs w:val="21"/>
                <w:lang w:val="en-US" w:eastAsia="zh-CN" w:bidi="ar-SA"/>
              </w:rPr>
              <w:t>）</w:t>
            </w:r>
            <w:r>
              <w:rPr>
                <w:rFonts w:hint="eastAsia"/>
                <w:lang w:val="en-US" w:eastAsia="zh-CN"/>
              </w:rPr>
              <w:t>钢组件焊接连接</w:t>
            </w:r>
            <w:r>
              <w:rPr>
                <w:rFonts w:hint="eastAsia" w:ascii="Times New Roman" w:hAnsi="Times New Roman" w:cs="Times New Roman"/>
                <w:lang w:val="en-US" w:eastAsia="zh-CN"/>
              </w:rPr>
              <w:t>采用的整体式柱端钢组件</w:t>
            </w:r>
          </w:p>
        </w:tc>
      </w:tr>
    </w:tbl>
    <w:p w14:paraId="127264D9">
      <w:pPr>
        <w:pStyle w:val="45"/>
        <w:rPr>
          <w:color w:val="auto"/>
        </w:rPr>
      </w:pPr>
    </w:p>
    <w:p w14:paraId="7E7540C9">
      <w:pPr>
        <w:pStyle w:val="45"/>
        <w:rPr>
          <w:rFonts w:hint="eastAsia" w:eastAsia="黑体"/>
          <w:color w:val="auto"/>
          <w:lang w:val="en-US" w:eastAsia="zh-CN"/>
        </w:rPr>
      </w:pPr>
      <w:r>
        <w:rPr>
          <w:color w:val="auto"/>
        </w:rPr>
        <w:t>1—</w:t>
      </w:r>
      <w:r>
        <w:rPr>
          <w:rFonts w:hint="eastAsia"/>
          <w:color w:val="auto"/>
          <w:lang w:val="en-US" w:eastAsia="zh-CN"/>
        </w:rPr>
        <w:t>侧板</w:t>
      </w:r>
      <w:r>
        <w:rPr>
          <w:color w:val="auto"/>
        </w:rPr>
        <w:t>；2—</w:t>
      </w:r>
      <w:r>
        <w:rPr>
          <w:rFonts w:hint="eastAsia"/>
          <w:color w:val="auto"/>
          <w:lang w:val="en-US" w:eastAsia="zh-CN"/>
        </w:rPr>
        <w:t>加劲肋</w:t>
      </w:r>
      <w:r>
        <w:rPr>
          <w:color w:val="auto"/>
        </w:rPr>
        <w:t>；</w:t>
      </w:r>
      <w:r>
        <w:rPr>
          <w:rFonts w:hint="eastAsia"/>
          <w:color w:val="auto"/>
          <w:lang w:val="en-US" w:eastAsia="zh-CN"/>
        </w:rPr>
        <w:t>3</w:t>
      </w:r>
      <w:r>
        <w:rPr>
          <w:color w:val="auto"/>
        </w:rPr>
        <w:t>—</w:t>
      </w:r>
      <w:r>
        <w:rPr>
          <w:rFonts w:hint="eastAsia"/>
          <w:color w:val="auto"/>
          <w:lang w:val="en-US" w:eastAsia="zh-CN"/>
        </w:rPr>
        <w:t>底板</w:t>
      </w:r>
      <w:r>
        <w:rPr>
          <w:color w:val="auto"/>
        </w:rPr>
        <w:t>；</w:t>
      </w:r>
      <w:r>
        <w:rPr>
          <w:rFonts w:hint="eastAsia"/>
          <w:color w:val="auto"/>
          <w:lang w:val="en-US" w:eastAsia="zh-CN"/>
        </w:rPr>
        <w:t>4</w:t>
      </w:r>
      <w:r>
        <w:rPr>
          <w:color w:val="auto"/>
        </w:rPr>
        <w:t>—</w:t>
      </w:r>
      <w:r>
        <w:rPr>
          <w:rFonts w:hint="eastAsia"/>
          <w:color w:val="auto"/>
          <w:lang w:val="en-US" w:eastAsia="zh-CN"/>
        </w:rPr>
        <w:t>螺栓孔</w:t>
      </w:r>
      <w:r>
        <w:rPr>
          <w:color w:val="auto"/>
        </w:rPr>
        <w:t>；</w:t>
      </w:r>
      <w:r>
        <w:rPr>
          <w:rFonts w:hint="eastAsia"/>
          <w:color w:val="auto"/>
          <w:lang w:val="en-US" w:eastAsia="zh-CN"/>
        </w:rPr>
        <w:t>5</w:t>
      </w:r>
      <w:r>
        <w:rPr>
          <w:color w:val="auto"/>
        </w:rPr>
        <w:t>—</w:t>
      </w:r>
      <w:r>
        <w:rPr>
          <w:rFonts w:hint="eastAsia"/>
          <w:color w:val="auto"/>
          <w:lang w:val="en-US" w:eastAsia="zh-CN"/>
        </w:rPr>
        <w:t>抗剪键；6</w:t>
      </w:r>
      <w:r>
        <w:rPr>
          <w:color w:val="auto"/>
        </w:rPr>
        <w:t>—</w:t>
      </w:r>
      <w:r>
        <w:rPr>
          <w:rFonts w:hint="eastAsia"/>
          <w:color w:val="auto"/>
          <w:lang w:val="en-US" w:eastAsia="zh-CN"/>
        </w:rPr>
        <w:t>顶板</w:t>
      </w:r>
      <w:r>
        <w:rPr>
          <w:color w:val="auto"/>
        </w:rPr>
        <w:t>；</w:t>
      </w:r>
      <w:r>
        <w:rPr>
          <w:rFonts w:hint="eastAsia"/>
          <w:color w:val="auto"/>
          <w:lang w:val="en-US" w:eastAsia="zh-CN"/>
        </w:rPr>
        <w:t>7</w:t>
      </w:r>
      <w:r>
        <w:rPr>
          <w:color w:val="auto"/>
        </w:rPr>
        <w:t>—</w:t>
      </w:r>
      <w:r>
        <w:rPr>
          <w:rFonts w:hint="eastAsia"/>
          <w:color w:val="auto"/>
          <w:lang w:val="en-US" w:eastAsia="zh-CN"/>
        </w:rPr>
        <w:t>隔板</w:t>
      </w:r>
      <w:r>
        <w:rPr>
          <w:color w:val="auto"/>
        </w:rPr>
        <w:t>；</w:t>
      </w:r>
      <w:r>
        <w:rPr>
          <w:rFonts w:hint="eastAsia"/>
          <w:color w:val="auto"/>
          <w:lang w:val="en-US" w:eastAsia="zh-CN"/>
        </w:rPr>
        <w:t>8</w:t>
      </w:r>
      <w:r>
        <w:rPr>
          <w:color w:val="auto"/>
        </w:rPr>
        <w:t>—</w:t>
      </w:r>
      <w:r>
        <w:rPr>
          <w:rFonts w:hint="eastAsia"/>
          <w:color w:val="auto"/>
          <w:lang w:val="en-US" w:eastAsia="zh-CN"/>
        </w:rPr>
        <w:t>耳板</w:t>
      </w:r>
    </w:p>
    <w:p w14:paraId="1324E372">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22</w:t>
      </w:r>
      <w:r>
        <w:rPr>
          <w:color w:val="auto"/>
        </w:rPr>
        <w:t xml:space="preserve"> </w:t>
      </w:r>
      <w:r>
        <w:rPr>
          <w:rFonts w:hint="eastAsia"/>
          <w:color w:val="auto"/>
        </w:rPr>
        <w:t xml:space="preserve"> </w:t>
      </w:r>
      <w:r>
        <w:rPr>
          <w:rFonts w:hint="eastAsia"/>
          <w:color w:val="auto"/>
          <w:lang w:val="en-US" w:eastAsia="zh-CN"/>
        </w:rPr>
        <w:t>柱端钢组件</w:t>
      </w:r>
      <w:r>
        <w:rPr>
          <w:rFonts w:hint="eastAsia"/>
          <w:color w:val="auto"/>
        </w:rPr>
        <w:t>示意</w:t>
      </w:r>
    </w:p>
    <w:p w14:paraId="7DFCA1E0">
      <w:pPr>
        <w:bidi w:val="0"/>
        <w:ind w:left="0" w:leftChars="0" w:firstLine="0" w:firstLineChars="0"/>
      </w:pPr>
    </w:p>
    <w:p w14:paraId="56C693DA">
      <w:pPr>
        <w:pStyle w:val="42"/>
      </w:pPr>
      <w:r>
        <w:rPr>
          <w:rFonts w:hint="eastAsia"/>
          <w:color w:val="auto"/>
        </w:rPr>
        <w:t>预制柱由混凝土柱身和柱</w:t>
      </w:r>
      <w:r>
        <w:rPr>
          <w:rFonts w:hint="eastAsia"/>
          <w:color w:val="auto"/>
          <w:lang w:val="en-US" w:eastAsia="zh-CN"/>
        </w:rPr>
        <w:t>端钢组件</w:t>
      </w:r>
      <w:r>
        <w:rPr>
          <w:rFonts w:hint="eastAsia"/>
          <w:color w:val="auto"/>
        </w:rPr>
        <w:t>、柱</w:t>
      </w:r>
      <w:r>
        <w:rPr>
          <w:rFonts w:hint="eastAsia"/>
          <w:color w:val="auto"/>
          <w:lang w:eastAsia="zh-CN"/>
        </w:rPr>
        <w:t>侧</w:t>
      </w:r>
      <w:r>
        <w:rPr>
          <w:rFonts w:hint="eastAsia"/>
          <w:color w:val="auto"/>
          <w:lang w:val="en-US" w:eastAsia="zh-CN"/>
        </w:rPr>
        <w:t>钢组件或节点域</w:t>
      </w:r>
      <w:r>
        <w:rPr>
          <w:rFonts w:hint="eastAsia"/>
          <w:color w:val="auto"/>
        </w:rPr>
        <w:t>钢</w:t>
      </w:r>
      <w:r>
        <w:rPr>
          <w:rFonts w:hint="eastAsia"/>
          <w:color w:val="auto"/>
          <w:lang w:eastAsia="zh-CN"/>
        </w:rPr>
        <w:t>组</w:t>
      </w:r>
      <w:r>
        <w:rPr>
          <w:rFonts w:hint="eastAsia"/>
          <w:color w:val="auto"/>
        </w:rPr>
        <w:t>件组成，应采用全预制形式</w:t>
      </w:r>
      <w:r>
        <w:rPr>
          <w:rFonts w:hint="eastAsia"/>
          <w:color w:val="auto"/>
          <w:lang w:eastAsia="zh-CN"/>
        </w:rPr>
        <w:t>，</w:t>
      </w:r>
      <w:r>
        <w:rPr>
          <w:rFonts w:hint="eastAsia"/>
          <w:color w:val="auto"/>
          <w:lang w:val="en-US" w:eastAsia="zh-CN"/>
        </w:rPr>
        <w:t>构件形式可采用</w:t>
      </w:r>
      <w:r>
        <w:rPr>
          <w:rFonts w:hint="eastAsia"/>
          <w:color w:val="auto"/>
        </w:rPr>
        <w:t>单层预制柱或</w:t>
      </w:r>
      <w:r>
        <w:rPr>
          <w:rFonts w:hint="eastAsia"/>
          <w:color w:val="auto"/>
          <w:lang w:val="en-US" w:eastAsia="zh-CN"/>
        </w:rPr>
        <w:t>跨</w:t>
      </w:r>
      <w:r>
        <w:rPr>
          <w:rFonts w:hint="eastAsia"/>
          <w:color w:val="auto"/>
        </w:rPr>
        <w:t>层预制柱（图</w:t>
      </w:r>
      <w:r>
        <w:rPr>
          <w:rFonts w:hint="eastAsia"/>
          <w:color w:val="auto"/>
          <w:lang w:val="en-US" w:eastAsia="zh-CN"/>
        </w:rPr>
        <w:t>5.2.23</w:t>
      </w:r>
      <w:r>
        <w:rPr>
          <w:rFonts w:hint="eastAsia"/>
          <w:color w:val="auto"/>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2A793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073FC73C">
            <w:pPr>
              <w:pStyle w:val="45"/>
              <w:ind w:firstLine="0" w:firstLineChars="0"/>
              <w:jc w:val="center"/>
              <w:rPr>
                <w:rFonts w:hint="default" w:eastAsia="黑体"/>
                <w:lang w:val="en-US" w:eastAsia="zh-CN"/>
              </w:rPr>
            </w:pPr>
            <w:r>
              <w:drawing>
                <wp:inline distT="0" distB="0" distL="114300" distR="114300">
                  <wp:extent cx="1255395" cy="3239770"/>
                  <wp:effectExtent l="0" t="0" r="1905" b="17780"/>
                  <wp:docPr id="30"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4"/>
                          <pic:cNvPicPr>
                            <a:picLocks noChangeAspect="1"/>
                          </pic:cNvPicPr>
                        </pic:nvPicPr>
                        <pic:blipFill>
                          <a:blip r:embed="rId158"/>
                          <a:stretch>
                            <a:fillRect/>
                          </a:stretch>
                        </pic:blipFill>
                        <pic:spPr>
                          <a:xfrm>
                            <a:off x="0" y="0"/>
                            <a:ext cx="1255395" cy="3239770"/>
                          </a:xfrm>
                          <a:prstGeom prst="rect">
                            <a:avLst/>
                          </a:prstGeom>
                          <a:noFill/>
                          <a:ln>
                            <a:noFill/>
                          </a:ln>
                        </pic:spPr>
                      </pic:pic>
                    </a:graphicData>
                  </a:graphic>
                </wp:inline>
              </w:drawing>
            </w:r>
          </w:p>
        </w:tc>
        <w:tc>
          <w:tcPr>
            <w:tcW w:w="4258" w:type="dxa"/>
            <w:shd w:val="clear" w:color="auto" w:fill="auto"/>
            <w:vAlign w:val="center"/>
          </w:tcPr>
          <w:p w14:paraId="1DBFACA2">
            <w:pPr>
              <w:pStyle w:val="45"/>
              <w:ind w:firstLine="0" w:firstLineChars="0"/>
              <w:jc w:val="center"/>
              <w:rPr>
                <w:rFonts w:hint="default" w:eastAsia="黑体"/>
                <w:lang w:val="en-US" w:eastAsia="zh-CN"/>
              </w:rPr>
            </w:pPr>
            <w:r>
              <w:drawing>
                <wp:inline distT="0" distB="0" distL="114300" distR="114300">
                  <wp:extent cx="1082040" cy="3599815"/>
                  <wp:effectExtent l="0" t="0" r="3810" b="635"/>
                  <wp:docPr id="24"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5"/>
                          <pic:cNvPicPr>
                            <a:picLocks noChangeAspect="1"/>
                          </pic:cNvPicPr>
                        </pic:nvPicPr>
                        <pic:blipFill>
                          <a:blip r:embed="rId159"/>
                          <a:stretch>
                            <a:fillRect/>
                          </a:stretch>
                        </pic:blipFill>
                        <pic:spPr>
                          <a:xfrm>
                            <a:off x="0" y="0"/>
                            <a:ext cx="1082040" cy="3599815"/>
                          </a:xfrm>
                          <a:prstGeom prst="rect">
                            <a:avLst/>
                          </a:prstGeom>
                          <a:noFill/>
                          <a:ln>
                            <a:noFill/>
                          </a:ln>
                        </pic:spPr>
                      </pic:pic>
                    </a:graphicData>
                  </a:graphic>
                </wp:inline>
              </w:drawing>
            </w:r>
          </w:p>
        </w:tc>
      </w:tr>
      <w:tr w14:paraId="40023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7548B2B8">
            <w:pPr>
              <w:pStyle w:val="45"/>
              <w:ind w:firstLine="0" w:firstLineChars="0"/>
              <w:rPr>
                <w:rFonts w:hint="default"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a</w:t>
            </w:r>
            <w:r>
              <w:rPr>
                <w:rFonts w:hint="eastAsia"/>
                <w:color w:val="auto"/>
              </w:rPr>
              <w:t>）</w:t>
            </w:r>
            <w:r>
              <w:rPr>
                <w:rFonts w:hint="eastAsia"/>
                <w:color w:val="auto"/>
                <w:lang w:val="en-US" w:eastAsia="zh-CN"/>
              </w:rPr>
              <w:t>单层预制柱</w:t>
            </w:r>
          </w:p>
        </w:tc>
        <w:tc>
          <w:tcPr>
            <w:tcW w:w="4258" w:type="dxa"/>
            <w:shd w:val="clear" w:color="auto" w:fill="auto"/>
            <w:vAlign w:val="center"/>
          </w:tcPr>
          <w:p w14:paraId="096D5DA0">
            <w:pPr>
              <w:pStyle w:val="45"/>
              <w:ind w:firstLine="0" w:firstLineChars="0"/>
              <w:rPr>
                <w:rFonts w:hint="default"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跨层预制柱</w:t>
            </w:r>
          </w:p>
        </w:tc>
      </w:tr>
    </w:tbl>
    <w:p w14:paraId="77BCA5F2">
      <w:pPr>
        <w:pStyle w:val="45"/>
        <w:rPr>
          <w:color w:val="auto"/>
        </w:rPr>
      </w:pPr>
    </w:p>
    <w:p w14:paraId="5896BFF2">
      <w:pPr>
        <w:pStyle w:val="45"/>
        <w:rPr>
          <w:color w:val="auto"/>
        </w:rPr>
      </w:pPr>
      <w:r>
        <w:rPr>
          <w:color w:val="auto"/>
        </w:rPr>
        <w:t>1—</w:t>
      </w:r>
      <w:r>
        <w:rPr>
          <w:rFonts w:hint="eastAsia"/>
          <w:color w:val="auto"/>
        </w:rPr>
        <w:t>混凝土</w:t>
      </w:r>
      <w:r>
        <w:rPr>
          <w:rFonts w:hint="eastAsia"/>
          <w:color w:val="auto"/>
          <w:lang w:val="en-US" w:eastAsia="zh-CN"/>
        </w:rPr>
        <w:t>柱</w:t>
      </w:r>
      <w:r>
        <w:rPr>
          <w:rFonts w:hint="eastAsia"/>
          <w:color w:val="auto"/>
        </w:rPr>
        <w:t>身</w:t>
      </w:r>
      <w:r>
        <w:rPr>
          <w:color w:val="auto"/>
        </w:rPr>
        <w:t>；2—</w:t>
      </w:r>
      <w:r>
        <w:rPr>
          <w:rFonts w:hint="eastAsia"/>
          <w:color w:val="auto"/>
          <w:lang w:val="en-US" w:eastAsia="zh-CN"/>
        </w:rPr>
        <w:t>柱侧</w:t>
      </w:r>
      <w:r>
        <w:rPr>
          <w:rFonts w:hint="eastAsia"/>
          <w:color w:val="auto"/>
        </w:rPr>
        <w:t>钢</w:t>
      </w:r>
      <w:r>
        <w:rPr>
          <w:rFonts w:hint="eastAsia"/>
          <w:color w:val="auto"/>
          <w:lang w:val="en-US" w:eastAsia="zh-CN"/>
        </w:rPr>
        <w:t>组</w:t>
      </w:r>
      <w:r>
        <w:rPr>
          <w:rFonts w:hint="eastAsia"/>
          <w:color w:val="auto"/>
        </w:rPr>
        <w:t>件</w:t>
      </w:r>
      <w:r>
        <w:rPr>
          <w:color w:val="auto"/>
        </w:rPr>
        <w:t>；</w:t>
      </w:r>
      <w:r>
        <w:rPr>
          <w:rFonts w:hint="eastAsia"/>
          <w:color w:val="auto"/>
          <w:lang w:val="en-US" w:eastAsia="zh-CN"/>
        </w:rPr>
        <w:t>3</w:t>
      </w:r>
      <w:r>
        <w:rPr>
          <w:color w:val="auto"/>
        </w:rPr>
        <w:t>—</w:t>
      </w:r>
      <w:r>
        <w:rPr>
          <w:rFonts w:hint="eastAsia"/>
          <w:color w:val="auto"/>
          <w:lang w:val="en-US" w:eastAsia="zh-CN"/>
        </w:rPr>
        <w:t>柱端</w:t>
      </w:r>
      <w:r>
        <w:rPr>
          <w:rFonts w:hint="eastAsia"/>
          <w:color w:val="auto"/>
        </w:rPr>
        <w:t>钢</w:t>
      </w:r>
      <w:r>
        <w:rPr>
          <w:rFonts w:hint="eastAsia"/>
          <w:color w:val="auto"/>
          <w:lang w:val="en-US" w:eastAsia="zh-CN"/>
        </w:rPr>
        <w:t>组</w:t>
      </w:r>
      <w:r>
        <w:rPr>
          <w:rFonts w:hint="eastAsia"/>
          <w:color w:val="auto"/>
        </w:rPr>
        <w:t>件</w:t>
      </w:r>
      <w:r>
        <w:rPr>
          <w:color w:val="auto"/>
        </w:rPr>
        <w:t>；</w:t>
      </w:r>
      <w:r>
        <w:rPr>
          <w:rFonts w:hint="eastAsia"/>
          <w:color w:val="auto"/>
          <w:lang w:val="en-US" w:eastAsia="zh-CN"/>
        </w:rPr>
        <w:t>4</w:t>
      </w:r>
      <w:r>
        <w:rPr>
          <w:color w:val="auto"/>
        </w:rPr>
        <w:t>—</w:t>
      </w:r>
      <w:r>
        <w:rPr>
          <w:rFonts w:hint="eastAsia"/>
          <w:color w:val="auto"/>
          <w:lang w:val="en-US" w:eastAsia="zh-CN"/>
        </w:rPr>
        <w:t>节点域</w:t>
      </w:r>
      <w:r>
        <w:rPr>
          <w:rFonts w:hint="eastAsia"/>
          <w:color w:val="auto"/>
        </w:rPr>
        <w:t>钢</w:t>
      </w:r>
      <w:r>
        <w:rPr>
          <w:rFonts w:hint="eastAsia"/>
          <w:color w:val="auto"/>
          <w:lang w:val="en-US" w:eastAsia="zh-CN"/>
        </w:rPr>
        <w:t>组</w:t>
      </w:r>
      <w:r>
        <w:rPr>
          <w:rFonts w:hint="eastAsia"/>
          <w:color w:val="auto"/>
        </w:rPr>
        <w:t>件</w:t>
      </w:r>
    </w:p>
    <w:p w14:paraId="65A1917C">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23</w:t>
      </w:r>
      <w:r>
        <w:rPr>
          <w:color w:val="auto"/>
        </w:rPr>
        <w:t xml:space="preserve"> </w:t>
      </w:r>
      <w:r>
        <w:rPr>
          <w:rFonts w:hint="eastAsia"/>
          <w:color w:val="auto"/>
        </w:rPr>
        <w:t xml:space="preserve"> </w:t>
      </w:r>
      <w:r>
        <w:rPr>
          <w:rFonts w:hint="eastAsia"/>
          <w:color w:val="auto"/>
          <w:lang w:val="en-US" w:eastAsia="zh-CN"/>
        </w:rPr>
        <w:t>预制柱构造</w:t>
      </w:r>
      <w:r>
        <w:rPr>
          <w:rFonts w:hint="eastAsia"/>
          <w:color w:val="auto"/>
        </w:rPr>
        <w:t>示意</w:t>
      </w:r>
    </w:p>
    <w:p w14:paraId="57542175">
      <w:pPr>
        <w:pStyle w:val="42"/>
        <w:bidi w:val="0"/>
      </w:pPr>
      <w:r>
        <w:rPr>
          <w:rFonts w:hint="eastAsia"/>
          <w:lang w:val="en-US" w:eastAsia="zh-CN"/>
        </w:rPr>
        <w:t>对于矩形柱钢组件框架结构，</w:t>
      </w:r>
      <w:r>
        <w:rPr>
          <w:rFonts w:hint="eastAsia"/>
        </w:rPr>
        <w:t>预制柱的截面应符合下列规定：</w:t>
      </w:r>
    </w:p>
    <w:p w14:paraId="2B19569B">
      <w:pPr>
        <w:pStyle w:val="43"/>
        <w:numPr>
          <w:ilvl w:val="3"/>
          <w:numId w:val="8"/>
        </w:numPr>
        <w:ind w:firstLineChars="0"/>
        <w:rPr>
          <w:color w:val="auto"/>
        </w:rPr>
      </w:pPr>
      <w:r>
        <w:rPr>
          <w:rFonts w:hint="eastAsia"/>
          <w:color w:val="auto"/>
        </w:rPr>
        <w:t>截面</w:t>
      </w:r>
      <w:r>
        <w:rPr>
          <w:rFonts w:hint="eastAsia"/>
          <w:color w:val="auto"/>
          <w:lang w:val="en-US" w:eastAsia="zh-CN"/>
        </w:rPr>
        <w:t>的高度和宽度</w:t>
      </w:r>
      <w:r>
        <w:rPr>
          <w:rFonts w:hint="eastAsia"/>
          <w:color w:val="auto"/>
        </w:rPr>
        <w:t>不应小于350mm，不宜小于400mm；</w:t>
      </w:r>
    </w:p>
    <w:p w14:paraId="3E397F59">
      <w:pPr>
        <w:pStyle w:val="43"/>
        <w:numPr>
          <w:ilvl w:val="3"/>
          <w:numId w:val="8"/>
        </w:numPr>
        <w:ind w:firstLineChars="0"/>
        <w:rPr>
          <w:color w:val="auto"/>
        </w:rPr>
      </w:pPr>
      <w:r>
        <w:rPr>
          <w:rFonts w:hint="eastAsia"/>
          <w:color w:val="auto"/>
        </w:rPr>
        <w:t>截面长边与短边的边长比不宜大于2；</w:t>
      </w:r>
    </w:p>
    <w:p w14:paraId="5E469F59">
      <w:pPr>
        <w:pStyle w:val="43"/>
        <w:numPr>
          <w:ilvl w:val="3"/>
          <w:numId w:val="8"/>
        </w:numPr>
        <w:ind w:firstLineChars="0"/>
        <w:rPr>
          <w:color w:val="auto"/>
        </w:rPr>
      </w:pPr>
      <w:r>
        <w:rPr>
          <w:rFonts w:hint="eastAsia"/>
          <w:color w:val="auto"/>
        </w:rPr>
        <w:t>剪跨比不宜小于2</w:t>
      </w:r>
      <w:r>
        <w:rPr>
          <w:rFonts w:hint="eastAsia"/>
          <w:color w:val="auto"/>
          <w:lang w:eastAsia="zh-CN"/>
        </w:rPr>
        <w:t>。</w:t>
      </w:r>
    </w:p>
    <w:p w14:paraId="15F41546">
      <w:pPr>
        <w:pStyle w:val="42"/>
      </w:pPr>
      <w:r>
        <w:rPr>
          <w:rFonts w:hint="eastAsia"/>
        </w:rPr>
        <w:t>对于异形柱钢组件框架结构，预制柱的截面应符合下列规定：</w:t>
      </w:r>
    </w:p>
    <w:p w14:paraId="316FDC6F">
      <w:pPr>
        <w:pStyle w:val="43"/>
      </w:pPr>
      <w:r>
        <w:rPr>
          <w:rFonts w:hint="eastAsia"/>
          <w:color w:val="auto"/>
        </w:rPr>
        <w:t>截面</w:t>
      </w:r>
      <w:r>
        <w:rPr>
          <w:rFonts w:hint="eastAsia"/>
          <w:color w:val="auto"/>
          <w:lang w:val="en-US" w:eastAsia="zh-CN"/>
        </w:rPr>
        <w:t>的</w:t>
      </w:r>
      <w:r>
        <w:rPr>
          <w:rFonts w:hint="eastAsia"/>
          <w:color w:val="auto"/>
        </w:rPr>
        <w:t>肢厚不应小于200mm，肢高不应小于450mm；</w:t>
      </w:r>
    </w:p>
    <w:p w14:paraId="601963A7">
      <w:pPr>
        <w:pStyle w:val="43"/>
      </w:pPr>
      <w:r>
        <w:rPr>
          <w:rFonts w:hint="eastAsia"/>
          <w:color w:val="auto"/>
        </w:rPr>
        <w:t>剪跨比宜</w:t>
      </w:r>
      <w:r>
        <w:rPr>
          <w:rFonts w:hint="eastAsia"/>
          <w:color w:val="auto"/>
          <w:lang w:val="en-US" w:eastAsia="zh-CN"/>
        </w:rPr>
        <w:t>大</w:t>
      </w:r>
      <w:r>
        <w:rPr>
          <w:rFonts w:hint="eastAsia"/>
          <w:color w:val="auto"/>
        </w:rPr>
        <w:t>于2</w:t>
      </w:r>
      <w:r>
        <w:rPr>
          <w:rFonts w:hint="eastAsia"/>
          <w:color w:val="auto"/>
          <w:lang w:eastAsia="zh-CN"/>
        </w:rPr>
        <w:t>，</w:t>
      </w:r>
      <w:r>
        <w:rPr>
          <w:rFonts w:hint="eastAsia"/>
          <w:color w:val="auto"/>
          <w:lang w:val="en-US" w:eastAsia="zh-CN"/>
        </w:rPr>
        <w:t>不应小于1.5。</w:t>
      </w:r>
    </w:p>
    <w:p w14:paraId="7E4BDBB6">
      <w:pPr>
        <w:pStyle w:val="42"/>
      </w:pPr>
      <w:r>
        <w:rPr>
          <w:rFonts w:hint="eastAsia"/>
          <w:lang w:val="en-US" w:eastAsia="zh-CN"/>
        </w:rPr>
        <w:t>节点域钢组</w:t>
      </w:r>
      <w:r>
        <w:rPr>
          <w:rFonts w:hint="eastAsia"/>
        </w:rPr>
        <w:t>件设计应符合下列规定</w:t>
      </w:r>
      <w:r>
        <w:rPr>
          <w:rFonts w:hint="eastAsia"/>
          <w:color w:val="auto"/>
        </w:rPr>
        <w:t>（图</w:t>
      </w:r>
      <w:r>
        <w:rPr>
          <w:rFonts w:hint="eastAsia"/>
          <w:color w:val="auto"/>
          <w:lang w:val="en-US" w:eastAsia="zh-CN"/>
        </w:rPr>
        <w:t>5.2.26</w:t>
      </w:r>
      <w:r>
        <w:rPr>
          <w:rFonts w:hint="eastAsia"/>
          <w:color w:val="auto"/>
        </w:rPr>
        <w:t>）</w:t>
      </w:r>
      <w:r>
        <w:rPr>
          <w:rFonts w:hint="eastAsia"/>
          <w:lang w:eastAsia="zh-CN"/>
        </w:rPr>
        <w:t>：</w:t>
      </w:r>
    </w:p>
    <w:p w14:paraId="714A15F1">
      <w:pPr>
        <w:pStyle w:val="43"/>
        <w:tabs>
          <w:tab w:val="left" w:pos="420"/>
        </w:tabs>
        <w:ind w:firstLine="480"/>
      </w:pPr>
      <w:r>
        <w:rPr>
          <w:rFonts w:hint="eastAsia"/>
          <w:color w:val="auto"/>
          <w:lang w:val="en-US" w:eastAsia="zh-CN"/>
        </w:rPr>
        <w:t>钢组件隔板</w:t>
      </w:r>
      <w:r>
        <w:rPr>
          <w:rFonts w:hint="eastAsia"/>
          <w:lang w:val="en-US" w:eastAsia="zh-CN"/>
        </w:rPr>
        <w:t>的净截面受拉承载力设计值不应小于连接的梁端钢组件翼缘截面受拉承载力设计值的1.1倍，且隔板</w:t>
      </w:r>
      <w:r>
        <w:rPr>
          <w:rFonts w:hint="eastAsia"/>
          <w:color w:val="auto"/>
        </w:rPr>
        <w:t>厚度不应小于</w:t>
      </w:r>
      <w:r>
        <w:rPr>
          <w:rFonts w:hint="eastAsia"/>
          <w:color w:val="auto"/>
          <w:lang w:val="en-US" w:eastAsia="zh-CN"/>
        </w:rPr>
        <w:t>梁端钢组件翼缘厚度加2mm</w:t>
      </w:r>
      <w:r>
        <w:rPr>
          <w:rFonts w:hint="eastAsia"/>
          <w:color w:val="auto"/>
        </w:rPr>
        <w:t>；</w:t>
      </w:r>
    </w:p>
    <w:p w14:paraId="31E0BB0D">
      <w:pPr>
        <w:pStyle w:val="43"/>
        <w:tabs>
          <w:tab w:val="left" w:pos="420"/>
        </w:tabs>
        <w:ind w:firstLine="480"/>
        <w:rPr>
          <w:color w:val="auto"/>
        </w:rPr>
      </w:pPr>
      <w:r>
        <w:rPr>
          <w:rFonts w:hint="eastAsia"/>
          <w:lang w:val="en-US" w:eastAsia="zh-CN"/>
        </w:rPr>
        <w:t>钢组件</w:t>
      </w:r>
      <w:r>
        <w:rPr>
          <w:rFonts w:hint="eastAsia"/>
          <w:color w:val="auto"/>
          <w:lang w:val="en-US" w:eastAsia="zh-CN"/>
        </w:rPr>
        <w:t>抗剪锚筋</w:t>
      </w:r>
      <w:r>
        <w:rPr>
          <w:rFonts w:hint="eastAsia"/>
          <w:lang w:val="en-US" w:eastAsia="zh-CN"/>
        </w:rPr>
        <w:t>的设计应</w:t>
      </w:r>
      <w:r>
        <w:rPr>
          <w:rFonts w:hint="eastAsia"/>
          <w:color w:val="auto"/>
        </w:rPr>
        <w:t>符合现行国家标准《</w:t>
      </w:r>
      <w:r>
        <w:rPr>
          <w:rFonts w:hint="eastAsia"/>
          <w:color w:val="auto"/>
          <w:lang w:val="en-US" w:eastAsia="zh-CN"/>
        </w:rPr>
        <w:t>混凝土结构设计标准</w:t>
      </w:r>
      <w:r>
        <w:rPr>
          <w:rFonts w:hint="eastAsia"/>
          <w:color w:val="auto"/>
        </w:rPr>
        <w:t>》GB</w:t>
      </w:r>
      <w:r>
        <w:rPr>
          <w:rFonts w:hint="eastAsia"/>
          <w:color w:val="auto"/>
          <w:lang w:val="en-US" w:eastAsia="zh-CN"/>
        </w:rPr>
        <w:t>/T</w:t>
      </w:r>
      <w:r>
        <w:rPr>
          <w:rFonts w:hint="eastAsia"/>
          <w:color w:val="auto"/>
        </w:rPr>
        <w:t xml:space="preserve"> 5001</w:t>
      </w:r>
      <w:r>
        <w:rPr>
          <w:rFonts w:hint="eastAsia"/>
          <w:color w:val="auto"/>
          <w:lang w:val="en-US" w:eastAsia="zh-CN"/>
        </w:rPr>
        <w:t>0</w:t>
      </w:r>
      <w:r>
        <w:rPr>
          <w:rFonts w:hint="eastAsia"/>
          <w:color w:val="auto"/>
        </w:rPr>
        <w:t>的有关规定</w:t>
      </w:r>
      <w:r>
        <w:rPr>
          <w:rFonts w:hint="eastAsia"/>
          <w:color w:val="auto"/>
          <w:lang w:eastAsia="zh-CN"/>
        </w:rPr>
        <w:t>，</w:t>
      </w:r>
      <w:r>
        <w:rPr>
          <w:rFonts w:hint="eastAsia"/>
          <w:lang w:val="en-US" w:eastAsia="zh-CN"/>
        </w:rPr>
        <w:t>抗剪栓钉的设计应</w:t>
      </w:r>
      <w:r>
        <w:rPr>
          <w:rFonts w:hint="eastAsia"/>
          <w:color w:val="auto"/>
        </w:rPr>
        <w:t>符合现行国家标准《钢结构设计标准》GB 50017的有关规定</w:t>
      </w:r>
      <w:r>
        <w:rPr>
          <w:rFonts w:hint="eastAsia"/>
          <w:color w:val="auto"/>
          <w:lang w:eastAsia="zh-CN"/>
        </w:rPr>
        <w:t>；</w:t>
      </w:r>
    </w:p>
    <w:p w14:paraId="0A965483">
      <w:pPr>
        <w:pStyle w:val="43"/>
      </w:pPr>
      <w:r>
        <w:rPr>
          <w:rFonts w:hint="eastAsia"/>
          <w:lang w:val="en-US" w:eastAsia="zh-CN"/>
        </w:rPr>
        <w:t>钢组件侧板厚度</w:t>
      </w:r>
      <w:r>
        <w:rPr>
          <w:rFonts w:hint="eastAsia"/>
          <w:color w:val="auto"/>
          <w:lang w:val="en-US" w:eastAsia="zh-CN"/>
        </w:rPr>
        <w:t>不宜小于</w:t>
      </w:r>
      <w:r>
        <w:rPr>
          <w:rFonts w:hint="eastAsia"/>
          <w:lang w:val="en-US" w:eastAsia="zh-CN"/>
        </w:rPr>
        <w:t>抗剪锚筋或抗剪栓钉直径的3/5，且不宜小于8mm；</w:t>
      </w:r>
    </w:p>
    <w:p w14:paraId="6DD2F213">
      <w:pPr>
        <w:pStyle w:val="43"/>
        <w:rPr>
          <w:color w:val="auto"/>
        </w:rPr>
      </w:pPr>
      <w:r>
        <w:rPr>
          <w:rFonts w:hint="eastAsia"/>
          <w:lang w:val="en-US" w:eastAsia="zh-CN"/>
        </w:rPr>
        <w:t>钢组件加劲肋、抗剪键厚度</w:t>
      </w:r>
      <w:r>
        <w:rPr>
          <w:rFonts w:hint="eastAsia"/>
          <w:color w:val="auto"/>
        </w:rPr>
        <w:t>不应小于6mm</w:t>
      </w:r>
      <w:r>
        <w:rPr>
          <w:rFonts w:hint="eastAsia"/>
          <w:color w:val="auto"/>
          <w:lang w:eastAsia="zh-CN"/>
        </w:rPr>
        <w:t>；</w:t>
      </w:r>
    </w:p>
    <w:p w14:paraId="60834A7C">
      <w:pPr>
        <w:pStyle w:val="43"/>
        <w:rPr>
          <w:color w:val="auto"/>
        </w:rPr>
      </w:pPr>
      <w:r>
        <w:rPr>
          <w:rFonts w:hint="eastAsia"/>
          <w:color w:val="auto"/>
          <w:lang w:val="en-US" w:eastAsia="zh-CN"/>
        </w:rPr>
        <w:t>钢组件连接板</w:t>
      </w:r>
      <w:r>
        <w:rPr>
          <w:rFonts w:hint="eastAsia"/>
          <w:color w:val="auto"/>
        </w:rPr>
        <w:t>厚度不应小于</w:t>
      </w:r>
      <w:r>
        <w:rPr>
          <w:rFonts w:hint="eastAsia"/>
          <w:color w:val="auto"/>
          <w:lang w:val="en-US" w:eastAsia="zh-CN"/>
        </w:rPr>
        <w:t>连接的梁端钢组件腹板厚度；</w:t>
      </w:r>
    </w:p>
    <w:p w14:paraId="6361C1AB">
      <w:pPr>
        <w:pStyle w:val="43"/>
        <w:rPr>
          <w:color w:val="auto"/>
        </w:rPr>
      </w:pPr>
      <w:r>
        <w:rPr>
          <w:rFonts w:hint="eastAsia" w:ascii="Times New Roman" w:hAnsi="Times New Roman" w:eastAsia="宋体" w:cs="Times New Roman"/>
          <w:color w:val="auto"/>
        </w:rPr>
        <w:t>钢</w:t>
      </w:r>
      <w:r>
        <w:rPr>
          <w:rFonts w:hint="eastAsia" w:ascii="Times New Roman" w:hAnsi="Times New Roman" w:eastAsia="宋体" w:cs="Times New Roman"/>
          <w:color w:val="auto"/>
          <w:lang w:val="en-US" w:eastAsia="zh-CN"/>
        </w:rPr>
        <w:t>组</w:t>
      </w:r>
      <w:r>
        <w:rPr>
          <w:rFonts w:hint="eastAsia" w:ascii="Times New Roman" w:hAnsi="Times New Roman" w:eastAsia="宋体" w:cs="Times New Roman"/>
          <w:color w:val="auto"/>
        </w:rPr>
        <w:t>件</w:t>
      </w:r>
      <w:r>
        <w:rPr>
          <w:rFonts w:hint="eastAsia" w:ascii="Times New Roman" w:hAnsi="Times New Roman" w:eastAsia="宋体" w:cs="Times New Roman"/>
          <w:color w:val="auto"/>
          <w:lang w:val="en-US" w:eastAsia="zh-CN"/>
        </w:rPr>
        <w:t>的螺栓孔</w:t>
      </w:r>
      <w:r>
        <w:rPr>
          <w:rFonts w:hint="eastAsia" w:cs="Times New Roman"/>
          <w:color w:val="auto"/>
          <w:lang w:val="en-US" w:eastAsia="zh-CN"/>
        </w:rPr>
        <w:t>应</w:t>
      </w:r>
      <w:r>
        <w:rPr>
          <w:rFonts w:hint="eastAsia" w:ascii="Times New Roman" w:hAnsi="Times New Roman" w:eastAsia="宋体" w:cs="Times New Roman"/>
          <w:color w:val="auto"/>
          <w:lang w:val="en-US" w:eastAsia="zh-CN"/>
        </w:rPr>
        <w:t>采用标准孔。</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14:paraId="7F8C0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shd w:val="clear" w:color="auto" w:fill="auto"/>
            <w:vAlign w:val="center"/>
          </w:tcPr>
          <w:p w14:paraId="4FF582D9">
            <w:pPr>
              <w:pStyle w:val="45"/>
              <w:ind w:firstLine="0" w:firstLineChars="0"/>
              <w:jc w:val="center"/>
              <w:rPr>
                <w:rFonts w:hint="default" w:eastAsia="黑体"/>
                <w:lang w:val="en-US" w:eastAsia="zh-CN"/>
              </w:rPr>
            </w:pPr>
            <w:r>
              <w:drawing>
                <wp:inline distT="0" distB="0" distL="114300" distR="114300">
                  <wp:extent cx="1606550" cy="2520315"/>
                  <wp:effectExtent l="0" t="0" r="12700" b="13335"/>
                  <wp:docPr id="139"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87"/>
                          <pic:cNvPicPr>
                            <a:picLocks noChangeAspect="1"/>
                          </pic:cNvPicPr>
                        </pic:nvPicPr>
                        <pic:blipFill>
                          <a:blip r:embed="rId160"/>
                          <a:stretch>
                            <a:fillRect/>
                          </a:stretch>
                        </pic:blipFill>
                        <pic:spPr>
                          <a:xfrm>
                            <a:off x="0" y="0"/>
                            <a:ext cx="1606550" cy="2520315"/>
                          </a:xfrm>
                          <a:prstGeom prst="rect">
                            <a:avLst/>
                          </a:prstGeom>
                          <a:noFill/>
                          <a:ln>
                            <a:noFill/>
                          </a:ln>
                        </pic:spPr>
                      </pic:pic>
                    </a:graphicData>
                  </a:graphic>
                </wp:inline>
              </w:drawing>
            </w:r>
          </w:p>
        </w:tc>
      </w:tr>
    </w:tbl>
    <w:p w14:paraId="5D774402">
      <w:pPr>
        <w:pStyle w:val="45"/>
        <w:rPr>
          <w:color w:val="auto"/>
        </w:rPr>
      </w:pPr>
    </w:p>
    <w:p w14:paraId="6C262EA2">
      <w:pPr>
        <w:pStyle w:val="45"/>
        <w:rPr>
          <w:color w:val="auto"/>
        </w:rPr>
      </w:pPr>
      <w:r>
        <w:rPr>
          <w:color w:val="auto"/>
        </w:rPr>
        <w:t>1—</w:t>
      </w:r>
      <w:r>
        <w:rPr>
          <w:rFonts w:hint="eastAsia"/>
          <w:color w:val="auto"/>
          <w:lang w:val="en-US" w:eastAsia="zh-CN"/>
        </w:rPr>
        <w:t>隔板</w:t>
      </w:r>
      <w:r>
        <w:rPr>
          <w:color w:val="auto"/>
        </w:rPr>
        <w:t>；2—</w:t>
      </w:r>
      <w:r>
        <w:rPr>
          <w:rFonts w:hint="eastAsia"/>
          <w:color w:val="auto"/>
          <w:lang w:val="en-US" w:eastAsia="zh-CN"/>
        </w:rPr>
        <w:t>加劲肋</w:t>
      </w:r>
      <w:r>
        <w:rPr>
          <w:color w:val="auto"/>
        </w:rPr>
        <w:t>；</w:t>
      </w:r>
      <w:r>
        <w:rPr>
          <w:rFonts w:hint="eastAsia"/>
          <w:color w:val="auto"/>
          <w:lang w:val="en-US" w:eastAsia="zh-CN"/>
        </w:rPr>
        <w:t>3</w:t>
      </w:r>
      <w:r>
        <w:rPr>
          <w:color w:val="auto"/>
        </w:rPr>
        <w:t>—</w:t>
      </w:r>
      <w:r>
        <w:rPr>
          <w:rFonts w:hint="eastAsia"/>
          <w:color w:val="auto"/>
          <w:lang w:val="en-US" w:eastAsia="zh-CN"/>
        </w:rPr>
        <w:t>侧板</w:t>
      </w:r>
      <w:r>
        <w:rPr>
          <w:color w:val="auto"/>
        </w:rPr>
        <w:t>；</w:t>
      </w:r>
      <w:r>
        <w:rPr>
          <w:rFonts w:hint="eastAsia"/>
          <w:color w:val="auto"/>
          <w:lang w:val="en-US" w:eastAsia="zh-CN"/>
        </w:rPr>
        <w:t>4</w:t>
      </w:r>
      <w:r>
        <w:rPr>
          <w:color w:val="auto"/>
        </w:rPr>
        <w:t>—</w:t>
      </w:r>
      <w:r>
        <w:rPr>
          <w:rFonts w:hint="eastAsia"/>
          <w:color w:val="auto"/>
          <w:lang w:val="en-US" w:eastAsia="zh-CN"/>
        </w:rPr>
        <w:t>连接板</w:t>
      </w:r>
      <w:r>
        <w:rPr>
          <w:color w:val="auto"/>
        </w:rPr>
        <w:t>；</w:t>
      </w:r>
      <w:r>
        <w:rPr>
          <w:rFonts w:hint="eastAsia"/>
          <w:color w:val="auto"/>
          <w:lang w:val="en-US" w:eastAsia="zh-CN"/>
        </w:rPr>
        <w:t>5</w:t>
      </w:r>
      <w:r>
        <w:rPr>
          <w:color w:val="auto"/>
        </w:rPr>
        <w:t>—</w:t>
      </w:r>
      <w:r>
        <w:rPr>
          <w:rFonts w:hint="eastAsia"/>
          <w:color w:val="auto"/>
          <w:lang w:val="en-US" w:eastAsia="zh-CN"/>
        </w:rPr>
        <w:t>螺栓孔</w:t>
      </w:r>
      <w:r>
        <w:rPr>
          <w:color w:val="auto"/>
        </w:rPr>
        <w:t>；</w:t>
      </w:r>
    </w:p>
    <w:p w14:paraId="77346616">
      <w:pPr>
        <w:pStyle w:val="45"/>
        <w:rPr>
          <w:rFonts w:hint="default" w:eastAsia="黑体"/>
          <w:color w:val="auto"/>
          <w:lang w:val="en-US" w:eastAsia="zh-CN"/>
        </w:rPr>
      </w:pPr>
      <w:r>
        <w:rPr>
          <w:rFonts w:hint="eastAsia"/>
          <w:color w:val="auto"/>
          <w:lang w:val="en-US" w:eastAsia="zh-CN"/>
        </w:rPr>
        <w:t>6</w:t>
      </w:r>
      <w:r>
        <w:rPr>
          <w:color w:val="auto"/>
        </w:rPr>
        <w:t>—</w:t>
      </w:r>
      <w:r>
        <w:rPr>
          <w:rFonts w:hint="eastAsia"/>
          <w:color w:val="auto"/>
          <w:lang w:val="en-US" w:eastAsia="zh-CN"/>
        </w:rPr>
        <w:t>抗剪栓钉/抗剪锚筋</w:t>
      </w:r>
      <w:r>
        <w:rPr>
          <w:color w:val="auto"/>
        </w:rPr>
        <w:t>；</w:t>
      </w:r>
      <w:r>
        <w:rPr>
          <w:rFonts w:hint="eastAsia"/>
          <w:color w:val="auto"/>
          <w:lang w:val="en-US" w:eastAsia="zh-CN"/>
        </w:rPr>
        <w:t>7</w:t>
      </w:r>
      <w:r>
        <w:rPr>
          <w:color w:val="auto"/>
        </w:rPr>
        <w:t>—</w:t>
      </w:r>
      <w:r>
        <w:rPr>
          <w:rFonts w:hint="eastAsia"/>
          <w:color w:val="auto"/>
          <w:lang w:val="en-US" w:eastAsia="zh-CN"/>
        </w:rPr>
        <w:t>节点域箍筋</w:t>
      </w:r>
      <w:r>
        <w:rPr>
          <w:color w:val="auto"/>
        </w:rPr>
        <w:t>；</w:t>
      </w:r>
      <w:r>
        <w:rPr>
          <w:rFonts w:hint="eastAsia"/>
          <w:color w:val="auto"/>
          <w:lang w:val="en-US" w:eastAsia="zh-CN"/>
        </w:rPr>
        <w:t>8</w:t>
      </w:r>
      <w:r>
        <w:rPr>
          <w:color w:val="auto"/>
        </w:rPr>
        <w:t>—</w:t>
      </w:r>
      <w:r>
        <w:rPr>
          <w:rFonts w:hint="eastAsia"/>
          <w:color w:val="auto"/>
          <w:lang w:val="en-US" w:eastAsia="zh-CN"/>
        </w:rPr>
        <w:t>抗剪键</w:t>
      </w:r>
      <w:r>
        <w:rPr>
          <w:color w:val="auto"/>
        </w:rPr>
        <w:t>；</w:t>
      </w:r>
      <w:r>
        <w:rPr>
          <w:rFonts w:hint="eastAsia"/>
          <w:color w:val="auto"/>
          <w:lang w:val="en-US" w:eastAsia="zh-CN"/>
        </w:rPr>
        <w:t>9</w:t>
      </w:r>
      <w:r>
        <w:rPr>
          <w:color w:val="auto"/>
        </w:rPr>
        <w:t>—</w:t>
      </w:r>
      <w:r>
        <w:rPr>
          <w:rFonts w:hint="eastAsia"/>
          <w:color w:val="auto"/>
          <w:lang w:val="en-US" w:eastAsia="zh-CN"/>
        </w:rPr>
        <w:t>柱纵向受力钢筋</w:t>
      </w:r>
    </w:p>
    <w:p w14:paraId="0E015E38">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26</w:t>
      </w:r>
      <w:r>
        <w:rPr>
          <w:color w:val="auto"/>
        </w:rPr>
        <w:t xml:space="preserve"> </w:t>
      </w:r>
      <w:r>
        <w:rPr>
          <w:rFonts w:hint="eastAsia"/>
          <w:color w:val="auto"/>
        </w:rPr>
        <w:t xml:space="preserve"> </w:t>
      </w:r>
      <w:r>
        <w:rPr>
          <w:rFonts w:hint="eastAsia"/>
          <w:color w:val="auto"/>
          <w:lang w:val="en-US" w:eastAsia="zh-CN"/>
        </w:rPr>
        <w:t>节点域钢组件构造</w:t>
      </w:r>
      <w:r>
        <w:rPr>
          <w:rFonts w:hint="eastAsia"/>
          <w:color w:val="auto"/>
        </w:rPr>
        <w:t>示意</w:t>
      </w:r>
    </w:p>
    <w:p w14:paraId="095F2623">
      <w:pPr>
        <w:pStyle w:val="45"/>
        <w:rPr>
          <w:rFonts w:hint="eastAsia"/>
          <w:color w:val="auto"/>
        </w:rPr>
      </w:pPr>
    </w:p>
    <w:p w14:paraId="1AB745B5">
      <w:pPr>
        <w:pStyle w:val="42"/>
      </w:pPr>
      <w:r>
        <w:rPr>
          <w:rFonts w:hint="eastAsia"/>
          <w:lang w:val="en-US" w:eastAsia="zh-CN"/>
        </w:rPr>
        <w:t>柱侧钢组</w:t>
      </w:r>
      <w:r>
        <w:rPr>
          <w:rFonts w:hint="eastAsia"/>
        </w:rPr>
        <w:t>件设计应符合下列规定</w:t>
      </w:r>
      <w:r>
        <w:rPr>
          <w:rFonts w:hint="eastAsia"/>
          <w:color w:val="auto"/>
        </w:rPr>
        <w:t>（图</w:t>
      </w:r>
      <w:r>
        <w:rPr>
          <w:rFonts w:hint="eastAsia"/>
          <w:color w:val="auto"/>
          <w:lang w:val="en-US" w:eastAsia="zh-CN"/>
        </w:rPr>
        <w:t>5.2.27</w:t>
      </w:r>
      <w:r>
        <w:rPr>
          <w:rFonts w:hint="eastAsia"/>
          <w:color w:val="auto"/>
        </w:rPr>
        <w:t>）</w:t>
      </w:r>
      <w:r>
        <w:rPr>
          <w:rFonts w:hint="eastAsia"/>
          <w:lang w:eastAsia="zh-CN"/>
        </w:rPr>
        <w:t>：</w:t>
      </w:r>
    </w:p>
    <w:p w14:paraId="24E053C9">
      <w:pPr>
        <w:pStyle w:val="43"/>
        <w:tabs>
          <w:tab w:val="left" w:pos="420"/>
        </w:tabs>
        <w:ind w:firstLine="480"/>
      </w:pPr>
      <w:r>
        <w:rPr>
          <w:rFonts w:hint="eastAsia"/>
          <w:color w:val="auto"/>
        </w:rPr>
        <w:t>钢</w:t>
      </w:r>
      <w:r>
        <w:rPr>
          <w:rFonts w:hint="eastAsia"/>
          <w:color w:val="auto"/>
          <w:lang w:val="en-US" w:eastAsia="zh-CN"/>
        </w:rPr>
        <w:t>组</w:t>
      </w:r>
      <w:r>
        <w:rPr>
          <w:rFonts w:hint="eastAsia"/>
          <w:color w:val="auto"/>
        </w:rPr>
        <w:t>件</w:t>
      </w:r>
      <w:r>
        <w:rPr>
          <w:rFonts w:hint="eastAsia"/>
          <w:color w:val="auto"/>
          <w:lang w:val="en-US" w:eastAsia="zh-CN"/>
        </w:rPr>
        <w:t>翼缘厚度不应小于连接的梁端钢组件的翼缘厚度，</w:t>
      </w:r>
      <w:r>
        <w:rPr>
          <w:rFonts w:hint="eastAsia"/>
          <w:color w:val="auto"/>
        </w:rPr>
        <w:t>宽厚比应符合现行国家标准《建筑抗震设计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50011的有关规定；</w:t>
      </w:r>
    </w:p>
    <w:p w14:paraId="31D869CB">
      <w:pPr>
        <w:pStyle w:val="43"/>
      </w:pPr>
      <w:r>
        <w:rPr>
          <w:rFonts w:hint="eastAsia"/>
          <w:lang w:val="en-US" w:eastAsia="zh-CN"/>
        </w:rPr>
        <w:t>钢组件</w:t>
      </w:r>
      <w:r>
        <w:rPr>
          <w:rFonts w:hint="eastAsia"/>
          <w:color w:val="auto"/>
          <w:lang w:val="en-US" w:eastAsia="zh-CN"/>
        </w:rPr>
        <w:t>抗剪锚筋</w:t>
      </w:r>
      <w:r>
        <w:rPr>
          <w:rFonts w:hint="eastAsia"/>
          <w:lang w:val="en-US" w:eastAsia="zh-CN"/>
        </w:rPr>
        <w:t>的设计应</w:t>
      </w:r>
      <w:r>
        <w:rPr>
          <w:rFonts w:hint="eastAsia"/>
          <w:color w:val="auto"/>
        </w:rPr>
        <w:t>符合现行国家标准《</w:t>
      </w:r>
      <w:r>
        <w:rPr>
          <w:rFonts w:hint="eastAsia"/>
          <w:color w:val="auto"/>
          <w:lang w:val="en-US" w:eastAsia="zh-CN"/>
        </w:rPr>
        <w:t>混凝土结构设计标准</w:t>
      </w:r>
      <w:r>
        <w:rPr>
          <w:rFonts w:hint="eastAsia"/>
          <w:color w:val="auto"/>
        </w:rPr>
        <w:t>》GB</w:t>
      </w:r>
      <w:r>
        <w:rPr>
          <w:rFonts w:hint="eastAsia"/>
          <w:color w:val="auto"/>
          <w:lang w:val="en-US" w:eastAsia="zh-CN"/>
        </w:rPr>
        <w:t>/T</w:t>
      </w:r>
      <w:r>
        <w:rPr>
          <w:rFonts w:hint="eastAsia"/>
          <w:color w:val="auto"/>
        </w:rPr>
        <w:t xml:space="preserve"> 5001</w:t>
      </w:r>
      <w:r>
        <w:rPr>
          <w:rFonts w:hint="eastAsia"/>
          <w:color w:val="auto"/>
          <w:lang w:val="en-US" w:eastAsia="zh-CN"/>
        </w:rPr>
        <w:t>0</w:t>
      </w:r>
      <w:r>
        <w:rPr>
          <w:rFonts w:hint="eastAsia"/>
          <w:color w:val="auto"/>
        </w:rPr>
        <w:t>的有关规定</w:t>
      </w:r>
      <w:r>
        <w:rPr>
          <w:rFonts w:hint="eastAsia"/>
          <w:color w:val="auto"/>
          <w:lang w:eastAsia="zh-CN"/>
        </w:rPr>
        <w:t>，</w:t>
      </w:r>
      <w:r>
        <w:rPr>
          <w:rFonts w:hint="eastAsia"/>
          <w:lang w:val="en-US" w:eastAsia="zh-CN"/>
        </w:rPr>
        <w:t>抗剪栓钉的设计应</w:t>
      </w:r>
      <w:r>
        <w:rPr>
          <w:rFonts w:hint="eastAsia"/>
          <w:color w:val="auto"/>
        </w:rPr>
        <w:t>符合现行国家标准《钢结构设计标准》GB 50017的有关规定</w:t>
      </w:r>
      <w:r>
        <w:rPr>
          <w:rFonts w:hint="eastAsia"/>
          <w:lang w:val="en-US" w:eastAsia="zh-CN"/>
        </w:rPr>
        <w:t>。</w:t>
      </w:r>
    </w:p>
    <w:p w14:paraId="7E087B31">
      <w:pPr>
        <w:pStyle w:val="43"/>
      </w:pPr>
      <w:r>
        <w:rPr>
          <w:rFonts w:hint="eastAsia"/>
          <w:lang w:val="en-US" w:eastAsia="zh-CN"/>
        </w:rPr>
        <w:t>钢组件锚板厚度</w:t>
      </w:r>
      <w:r>
        <w:rPr>
          <w:rFonts w:hint="eastAsia"/>
          <w:color w:val="auto"/>
          <w:lang w:val="en-US" w:eastAsia="zh-CN"/>
        </w:rPr>
        <w:t>不宜小于</w:t>
      </w:r>
      <w:r>
        <w:rPr>
          <w:rFonts w:hint="eastAsia"/>
          <w:lang w:val="en-US" w:eastAsia="zh-CN"/>
        </w:rPr>
        <w:t>抗剪锚筋或抗剪栓钉直径的3/5，且不宜小于8mm；</w:t>
      </w:r>
    </w:p>
    <w:p w14:paraId="6842549B">
      <w:pPr>
        <w:pStyle w:val="43"/>
      </w:pPr>
      <w:r>
        <w:rPr>
          <w:rFonts w:hint="eastAsia"/>
          <w:color w:val="auto"/>
          <w:lang w:val="en-US" w:eastAsia="zh-CN"/>
        </w:rPr>
        <w:t>钢组件连接板</w:t>
      </w:r>
      <w:r>
        <w:rPr>
          <w:rFonts w:hint="eastAsia"/>
          <w:color w:val="auto"/>
        </w:rPr>
        <w:t>厚度不应小于</w:t>
      </w:r>
      <w:r>
        <w:rPr>
          <w:rFonts w:hint="eastAsia"/>
          <w:color w:val="auto"/>
          <w:lang w:val="en-US" w:eastAsia="zh-CN"/>
        </w:rPr>
        <w:t>连接的梁端钢组件腹板厚度；</w:t>
      </w:r>
    </w:p>
    <w:p w14:paraId="6A51BB6B">
      <w:pPr>
        <w:pStyle w:val="43"/>
      </w:pPr>
      <w:r>
        <w:rPr>
          <w:rFonts w:hint="eastAsia" w:ascii="Times New Roman" w:hAnsi="Times New Roman" w:eastAsia="宋体" w:cs="Times New Roman"/>
          <w:color w:val="auto"/>
        </w:rPr>
        <w:t>钢</w:t>
      </w:r>
      <w:r>
        <w:rPr>
          <w:rFonts w:hint="eastAsia" w:ascii="Times New Roman" w:hAnsi="Times New Roman" w:eastAsia="宋体" w:cs="Times New Roman"/>
          <w:color w:val="auto"/>
          <w:lang w:val="en-US" w:eastAsia="zh-CN"/>
        </w:rPr>
        <w:t>组</w:t>
      </w:r>
      <w:r>
        <w:rPr>
          <w:rFonts w:hint="eastAsia" w:ascii="Times New Roman" w:hAnsi="Times New Roman" w:eastAsia="宋体" w:cs="Times New Roman"/>
          <w:color w:val="auto"/>
        </w:rPr>
        <w:t>件</w:t>
      </w:r>
      <w:r>
        <w:rPr>
          <w:rFonts w:hint="eastAsia" w:ascii="Times New Roman" w:hAnsi="Times New Roman" w:eastAsia="宋体" w:cs="Times New Roman"/>
          <w:color w:val="auto"/>
          <w:lang w:val="en-US" w:eastAsia="zh-CN"/>
        </w:rPr>
        <w:t>的螺栓孔</w:t>
      </w:r>
      <w:r>
        <w:rPr>
          <w:rFonts w:hint="eastAsia" w:cs="Times New Roman"/>
          <w:color w:val="auto"/>
          <w:lang w:val="en-US" w:eastAsia="zh-CN"/>
        </w:rPr>
        <w:t>应</w:t>
      </w:r>
      <w:r>
        <w:rPr>
          <w:rFonts w:hint="eastAsia" w:ascii="Times New Roman" w:hAnsi="Times New Roman" w:eastAsia="宋体" w:cs="Times New Roman"/>
          <w:color w:val="auto"/>
          <w:lang w:val="en-US" w:eastAsia="zh-CN"/>
        </w:rPr>
        <w:t>采用标准孔；</w:t>
      </w:r>
    </w:p>
    <w:p w14:paraId="7D2EAA5B">
      <w:pPr>
        <w:pStyle w:val="43"/>
      </w:pPr>
      <w:r>
        <w:rPr>
          <w:rFonts w:hint="eastAsia"/>
          <w:color w:val="auto"/>
          <w:lang w:val="en-US" w:eastAsia="zh-CN"/>
        </w:rPr>
        <w:t>当采用B型柱侧钢组件时，与节点域连接钢筋应</w:t>
      </w:r>
      <w:r>
        <w:rPr>
          <w:rFonts w:hint="eastAsia"/>
          <w:color w:val="auto"/>
        </w:rPr>
        <w:t>采用双面焊连接[图</w:t>
      </w:r>
      <w:r>
        <w:rPr>
          <w:rFonts w:hint="eastAsia"/>
          <w:color w:val="auto"/>
          <w:lang w:val="en-US" w:eastAsia="zh-CN"/>
        </w:rPr>
        <w:t>5.2.27(a)</w:t>
      </w:r>
      <w:r>
        <w:rPr>
          <w:rFonts w:hint="eastAsia"/>
          <w:color w:val="auto"/>
        </w:rPr>
        <w:t>]</w:t>
      </w:r>
      <w:r>
        <w:rPr>
          <w:rFonts w:hint="eastAsia"/>
          <w:color w:val="auto"/>
          <w:lang w:eastAsia="zh-CN"/>
        </w:rPr>
        <w:t>，</w:t>
      </w:r>
      <w:r>
        <w:rPr>
          <w:rFonts w:hint="eastAsia"/>
          <w:color w:val="auto"/>
        </w:rPr>
        <w:t>焊接长度</w:t>
      </w:r>
      <w:r>
        <w:rPr>
          <w:rFonts w:hint="eastAsia"/>
          <w:i/>
          <w:iCs/>
          <w:color w:val="auto"/>
        </w:rPr>
        <w:t>L</w:t>
      </w:r>
      <w:r>
        <w:rPr>
          <w:rFonts w:hint="eastAsia"/>
          <w:i w:val="0"/>
          <w:iCs w:val="0"/>
          <w:color w:val="auto"/>
          <w:vertAlign w:val="subscript"/>
          <w:lang w:val="en-US" w:eastAsia="zh-CN"/>
        </w:rPr>
        <w:t>w</w:t>
      </w:r>
      <w:r>
        <w:rPr>
          <w:rFonts w:hint="eastAsia"/>
          <w:color w:val="auto"/>
        </w:rPr>
        <w:t>不应小于</w:t>
      </w:r>
      <w:r>
        <w:rPr>
          <w:rFonts w:hint="eastAsia"/>
          <w:color w:val="auto"/>
          <w:lang w:val="en-US" w:eastAsia="zh-CN"/>
        </w:rPr>
        <w:t>5</w:t>
      </w:r>
      <w:r>
        <w:rPr>
          <w:rFonts w:hint="eastAsia"/>
          <w:i/>
          <w:iCs/>
          <w:color w:val="auto"/>
        </w:rPr>
        <w:t>d</w:t>
      </w:r>
      <w:r>
        <w:rPr>
          <w:rFonts w:hint="eastAsia"/>
          <w:i w:val="0"/>
          <w:iCs w:val="0"/>
          <w:color w:val="auto"/>
          <w:lang w:eastAsia="zh-CN"/>
        </w:rPr>
        <w:t>，</w:t>
      </w:r>
      <w:r>
        <w:rPr>
          <w:rFonts w:hint="eastAsia"/>
          <w:color w:val="auto"/>
        </w:rPr>
        <w:t>焊缝高度</w:t>
      </w:r>
      <w:r>
        <w:rPr>
          <w:rFonts w:hint="eastAsia"/>
          <w:color w:val="auto"/>
          <w:lang w:val="en-US" w:eastAsia="zh-CN"/>
        </w:rPr>
        <w:t>和宽度应</w:t>
      </w:r>
      <w:r>
        <w:rPr>
          <w:rFonts w:hint="eastAsia"/>
          <w:lang w:val="en-US" w:eastAsia="zh-CN"/>
        </w:rPr>
        <w:t>符合本规程第5.2.11条的规定</w:t>
      </w:r>
      <w:r>
        <w:rPr>
          <w:rFonts w:hint="eastAsia"/>
          <w:i w:val="0"/>
          <w:iCs/>
          <w:color w:val="auto"/>
          <w:lang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37F38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3539E9AB">
            <w:pPr>
              <w:pStyle w:val="45"/>
              <w:ind w:firstLine="0" w:firstLineChars="0"/>
              <w:jc w:val="center"/>
              <w:rPr>
                <w:rFonts w:hint="default" w:eastAsia="黑体"/>
                <w:lang w:val="en-US" w:eastAsia="zh-CN"/>
              </w:rPr>
            </w:pPr>
            <w:r>
              <w:drawing>
                <wp:inline distT="0" distB="0" distL="114300" distR="114300">
                  <wp:extent cx="1871345" cy="2879725"/>
                  <wp:effectExtent l="0" t="0" r="14605" b="15875"/>
                  <wp:docPr id="140"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88"/>
                          <pic:cNvPicPr>
                            <a:picLocks noChangeAspect="1"/>
                          </pic:cNvPicPr>
                        </pic:nvPicPr>
                        <pic:blipFill>
                          <a:blip r:embed="rId161"/>
                          <a:stretch>
                            <a:fillRect/>
                          </a:stretch>
                        </pic:blipFill>
                        <pic:spPr>
                          <a:xfrm>
                            <a:off x="0" y="0"/>
                            <a:ext cx="1871345" cy="2879725"/>
                          </a:xfrm>
                          <a:prstGeom prst="rect">
                            <a:avLst/>
                          </a:prstGeom>
                          <a:noFill/>
                          <a:ln>
                            <a:noFill/>
                          </a:ln>
                        </pic:spPr>
                      </pic:pic>
                    </a:graphicData>
                  </a:graphic>
                </wp:inline>
              </w:drawing>
            </w:r>
          </w:p>
        </w:tc>
        <w:tc>
          <w:tcPr>
            <w:tcW w:w="4258" w:type="dxa"/>
            <w:shd w:val="clear" w:color="auto" w:fill="auto"/>
            <w:vAlign w:val="center"/>
          </w:tcPr>
          <w:p w14:paraId="47D0311D">
            <w:pPr>
              <w:pStyle w:val="45"/>
              <w:ind w:firstLine="0" w:firstLineChars="0"/>
              <w:jc w:val="center"/>
              <w:rPr>
                <w:rFonts w:hint="default" w:eastAsia="黑体"/>
                <w:lang w:val="en-US" w:eastAsia="zh-CN"/>
              </w:rPr>
            </w:pPr>
            <w:r>
              <w:drawing>
                <wp:inline distT="0" distB="0" distL="114300" distR="114300">
                  <wp:extent cx="1935480" cy="2879725"/>
                  <wp:effectExtent l="0" t="0" r="7620" b="15875"/>
                  <wp:docPr id="141"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89"/>
                          <pic:cNvPicPr>
                            <a:picLocks noChangeAspect="1"/>
                          </pic:cNvPicPr>
                        </pic:nvPicPr>
                        <pic:blipFill>
                          <a:blip r:embed="rId162"/>
                          <a:stretch>
                            <a:fillRect/>
                          </a:stretch>
                        </pic:blipFill>
                        <pic:spPr>
                          <a:xfrm>
                            <a:off x="0" y="0"/>
                            <a:ext cx="1935480" cy="2879725"/>
                          </a:xfrm>
                          <a:prstGeom prst="rect">
                            <a:avLst/>
                          </a:prstGeom>
                          <a:noFill/>
                          <a:ln>
                            <a:noFill/>
                          </a:ln>
                        </pic:spPr>
                      </pic:pic>
                    </a:graphicData>
                  </a:graphic>
                </wp:inline>
              </w:drawing>
            </w:r>
          </w:p>
        </w:tc>
      </w:tr>
      <w:tr w14:paraId="5A741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071F8C9C">
            <w:pPr>
              <w:pStyle w:val="45"/>
              <w:ind w:firstLine="0" w:firstLineChars="0"/>
              <w:jc w:val="center"/>
              <w:rPr>
                <w:rFonts w:hint="default"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a</w:t>
            </w:r>
            <w:r>
              <w:rPr>
                <w:rFonts w:hint="eastAsia"/>
                <w:color w:val="auto"/>
              </w:rPr>
              <w:t>）</w:t>
            </w:r>
            <w:r>
              <w:rPr>
                <w:rFonts w:hint="eastAsia"/>
                <w:color w:val="auto"/>
                <w:lang w:val="en-US" w:eastAsia="zh-CN"/>
              </w:rPr>
              <w:t>B型柱侧钢组件</w:t>
            </w:r>
          </w:p>
        </w:tc>
        <w:tc>
          <w:tcPr>
            <w:tcW w:w="4258" w:type="dxa"/>
            <w:shd w:val="clear" w:color="auto" w:fill="auto"/>
            <w:vAlign w:val="center"/>
          </w:tcPr>
          <w:p w14:paraId="075B9C47">
            <w:pPr>
              <w:pStyle w:val="45"/>
              <w:ind w:firstLine="0" w:firstLineChars="0"/>
              <w:jc w:val="center"/>
              <w:rPr>
                <w:rFonts w:hint="default"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C型柱侧钢组件</w:t>
            </w:r>
          </w:p>
        </w:tc>
      </w:tr>
    </w:tbl>
    <w:p w14:paraId="233A56BB">
      <w:pPr>
        <w:pStyle w:val="45"/>
        <w:rPr>
          <w:color w:val="auto"/>
        </w:rPr>
      </w:pPr>
    </w:p>
    <w:p w14:paraId="2AA7D6E1">
      <w:pPr>
        <w:pStyle w:val="45"/>
        <w:rPr>
          <w:color w:val="auto"/>
        </w:rPr>
      </w:pPr>
      <w:r>
        <w:rPr>
          <w:color w:val="auto"/>
        </w:rPr>
        <w:t>1—</w:t>
      </w:r>
      <w:r>
        <w:rPr>
          <w:rFonts w:hint="eastAsia"/>
          <w:color w:val="auto"/>
          <w:lang w:val="en-US" w:eastAsia="zh-CN"/>
        </w:rPr>
        <w:t>节点域连接钢筋</w:t>
      </w:r>
      <w:r>
        <w:rPr>
          <w:color w:val="auto"/>
        </w:rPr>
        <w:t>；2—</w:t>
      </w:r>
      <w:r>
        <w:rPr>
          <w:rFonts w:hint="eastAsia"/>
          <w:color w:val="auto"/>
          <w:lang w:val="en-US" w:eastAsia="zh-CN"/>
        </w:rPr>
        <w:t>翼缘</w:t>
      </w:r>
      <w:r>
        <w:rPr>
          <w:color w:val="auto"/>
        </w:rPr>
        <w:t>；</w:t>
      </w:r>
      <w:r>
        <w:rPr>
          <w:rFonts w:hint="eastAsia"/>
          <w:color w:val="auto"/>
          <w:lang w:val="en-US" w:eastAsia="zh-CN"/>
        </w:rPr>
        <w:t>3</w:t>
      </w:r>
      <w:r>
        <w:rPr>
          <w:color w:val="auto"/>
        </w:rPr>
        <w:t>—</w:t>
      </w:r>
      <w:r>
        <w:rPr>
          <w:rFonts w:hint="eastAsia"/>
          <w:color w:val="auto"/>
          <w:lang w:val="en-US" w:eastAsia="zh-CN"/>
        </w:rPr>
        <w:t>连接板</w:t>
      </w:r>
      <w:r>
        <w:rPr>
          <w:color w:val="auto"/>
        </w:rPr>
        <w:t>；</w:t>
      </w:r>
      <w:r>
        <w:rPr>
          <w:rFonts w:hint="eastAsia"/>
          <w:color w:val="auto"/>
          <w:lang w:val="en-US" w:eastAsia="zh-CN"/>
        </w:rPr>
        <w:t>4</w:t>
      </w:r>
      <w:r>
        <w:rPr>
          <w:color w:val="auto"/>
        </w:rPr>
        <w:t>—</w:t>
      </w:r>
      <w:r>
        <w:rPr>
          <w:rFonts w:hint="eastAsia"/>
          <w:color w:val="auto"/>
          <w:lang w:val="en-US" w:eastAsia="zh-CN"/>
        </w:rPr>
        <w:t>螺栓孔</w:t>
      </w:r>
      <w:r>
        <w:rPr>
          <w:color w:val="auto"/>
        </w:rPr>
        <w:t>；</w:t>
      </w:r>
      <w:r>
        <w:rPr>
          <w:rFonts w:hint="eastAsia"/>
          <w:color w:val="auto"/>
          <w:lang w:val="en-US" w:eastAsia="zh-CN"/>
        </w:rPr>
        <w:t>5</w:t>
      </w:r>
      <w:r>
        <w:rPr>
          <w:color w:val="auto"/>
        </w:rPr>
        <w:t>—</w:t>
      </w:r>
      <w:r>
        <w:rPr>
          <w:rFonts w:hint="eastAsia"/>
          <w:color w:val="auto"/>
          <w:lang w:val="en-US" w:eastAsia="zh-CN"/>
        </w:rPr>
        <w:t>锚板</w:t>
      </w:r>
      <w:r>
        <w:rPr>
          <w:color w:val="auto"/>
        </w:rPr>
        <w:t>；</w:t>
      </w:r>
    </w:p>
    <w:p w14:paraId="3BBA2D8A">
      <w:pPr>
        <w:pStyle w:val="45"/>
        <w:rPr>
          <w:rFonts w:hint="default" w:eastAsia="黑体"/>
          <w:color w:val="auto"/>
          <w:lang w:val="en-US" w:eastAsia="zh-CN"/>
        </w:rPr>
      </w:pPr>
      <w:r>
        <w:rPr>
          <w:rFonts w:hint="eastAsia"/>
          <w:color w:val="auto"/>
          <w:lang w:val="en-US" w:eastAsia="zh-CN"/>
        </w:rPr>
        <w:t>6</w:t>
      </w:r>
      <w:r>
        <w:rPr>
          <w:color w:val="auto"/>
        </w:rPr>
        <w:t>—</w:t>
      </w:r>
      <w:r>
        <w:rPr>
          <w:rFonts w:hint="eastAsia"/>
          <w:color w:val="auto"/>
          <w:lang w:val="en-US" w:eastAsia="zh-CN"/>
        </w:rPr>
        <w:t>节点域箍筋</w:t>
      </w:r>
      <w:r>
        <w:rPr>
          <w:color w:val="auto"/>
        </w:rPr>
        <w:t>；</w:t>
      </w:r>
      <w:r>
        <w:rPr>
          <w:rFonts w:hint="eastAsia"/>
          <w:color w:val="auto"/>
          <w:lang w:val="en-US" w:eastAsia="zh-CN"/>
        </w:rPr>
        <w:t>7</w:t>
      </w:r>
      <w:r>
        <w:rPr>
          <w:color w:val="auto"/>
        </w:rPr>
        <w:t>—</w:t>
      </w:r>
      <w:r>
        <w:rPr>
          <w:rFonts w:hint="eastAsia"/>
          <w:color w:val="auto"/>
          <w:lang w:val="en-US" w:eastAsia="zh-CN"/>
        </w:rPr>
        <w:t>抗剪栓钉/抗剪锚筋</w:t>
      </w:r>
      <w:r>
        <w:rPr>
          <w:color w:val="auto"/>
        </w:rPr>
        <w:t>；</w:t>
      </w:r>
      <w:r>
        <w:rPr>
          <w:rFonts w:hint="eastAsia"/>
          <w:color w:val="auto"/>
          <w:lang w:val="en-US" w:eastAsia="zh-CN"/>
        </w:rPr>
        <w:t>8</w:t>
      </w:r>
      <w:r>
        <w:rPr>
          <w:color w:val="auto"/>
        </w:rPr>
        <w:t>—</w:t>
      </w:r>
      <w:r>
        <w:rPr>
          <w:rFonts w:hint="eastAsia"/>
          <w:color w:val="auto"/>
          <w:lang w:val="en-US" w:eastAsia="zh-CN"/>
        </w:rPr>
        <w:t>柱纵向受力钢筋</w:t>
      </w:r>
    </w:p>
    <w:p w14:paraId="31FA04C4">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27</w:t>
      </w:r>
      <w:r>
        <w:rPr>
          <w:color w:val="auto"/>
        </w:rPr>
        <w:t xml:space="preserve"> </w:t>
      </w:r>
      <w:r>
        <w:rPr>
          <w:rFonts w:hint="eastAsia"/>
          <w:color w:val="auto"/>
        </w:rPr>
        <w:t xml:space="preserve"> </w:t>
      </w:r>
      <w:r>
        <w:rPr>
          <w:rFonts w:hint="eastAsia"/>
          <w:color w:val="auto"/>
          <w:lang w:val="en-US" w:eastAsia="zh-CN"/>
        </w:rPr>
        <w:t>柱侧钢组件构造</w:t>
      </w:r>
      <w:r>
        <w:rPr>
          <w:rFonts w:hint="eastAsia"/>
          <w:color w:val="auto"/>
        </w:rPr>
        <w:t>示意</w:t>
      </w:r>
    </w:p>
    <w:p w14:paraId="70768640">
      <w:pPr>
        <w:pStyle w:val="42"/>
      </w:pPr>
      <w:r>
        <w:rPr>
          <w:rFonts w:hint="eastAsia"/>
          <w:lang w:val="en-US" w:eastAsia="zh-CN"/>
        </w:rPr>
        <w:t>柱端钢组</w:t>
      </w:r>
      <w:r>
        <w:rPr>
          <w:rFonts w:hint="eastAsia"/>
        </w:rPr>
        <w:t>件设计应符合下列规定</w:t>
      </w:r>
      <w:r>
        <w:rPr>
          <w:rFonts w:hint="eastAsia"/>
          <w:lang w:eastAsia="zh-CN"/>
        </w:rPr>
        <w:t>：</w:t>
      </w:r>
    </w:p>
    <w:p w14:paraId="28143DA8">
      <w:pPr>
        <w:pStyle w:val="43"/>
        <w:ind w:firstLine="480"/>
        <w:rPr>
          <w:rFonts w:hint="eastAsia"/>
          <w:lang w:val="en-US" w:eastAsia="zh-CN"/>
        </w:rPr>
      </w:pPr>
      <w:r>
        <w:rPr>
          <w:rFonts w:hint="eastAsia"/>
          <w:color w:val="auto"/>
        </w:rPr>
        <w:t>钢</w:t>
      </w:r>
      <w:r>
        <w:rPr>
          <w:rFonts w:hint="eastAsia"/>
          <w:color w:val="auto"/>
          <w:lang w:val="en-US" w:eastAsia="zh-CN"/>
        </w:rPr>
        <w:t>组</w:t>
      </w:r>
      <w:r>
        <w:rPr>
          <w:rFonts w:hint="eastAsia"/>
          <w:color w:val="auto"/>
        </w:rPr>
        <w:t>件截面</w:t>
      </w:r>
      <w:r>
        <w:rPr>
          <w:rFonts w:hint="eastAsia"/>
          <w:color w:val="auto"/>
          <w:lang w:val="en-US" w:eastAsia="zh-CN"/>
        </w:rPr>
        <w:t>组合截面</w:t>
      </w:r>
      <w:r>
        <w:rPr>
          <w:rFonts w:hint="eastAsia"/>
          <w:color w:val="auto"/>
        </w:rPr>
        <w:t>形心应与混凝土柱身截面形心重合</w:t>
      </w:r>
      <w:r>
        <w:rPr>
          <w:rFonts w:hint="eastAsia"/>
          <w:color w:val="auto"/>
          <w:lang w:eastAsia="zh-CN"/>
        </w:rPr>
        <w:t>；</w:t>
      </w:r>
      <w:r>
        <w:rPr>
          <w:rFonts w:hint="eastAsia"/>
          <w:lang w:val="en-US" w:eastAsia="zh-CN"/>
        </w:rPr>
        <w:t>钢组件外边缘至混凝土柱身边缘或二次灌浆层表面的距离不宜小于20mm且应满足保护层最小厚度的要求；</w:t>
      </w:r>
    </w:p>
    <w:p w14:paraId="062A9819">
      <w:pPr>
        <w:pStyle w:val="43"/>
        <w:tabs>
          <w:tab w:val="left" w:pos="420"/>
        </w:tabs>
        <w:ind w:firstLine="480"/>
        <w:rPr>
          <w:color w:val="auto"/>
        </w:rPr>
      </w:pPr>
      <w:r>
        <w:rPr>
          <w:rFonts w:hint="eastAsia"/>
          <w:color w:val="auto"/>
        </w:rPr>
        <w:t>钢组件侧板厚度不</w:t>
      </w:r>
      <w:r>
        <w:rPr>
          <w:rFonts w:hint="eastAsia"/>
          <w:color w:val="auto"/>
          <w:lang w:val="en-US" w:eastAsia="zh-CN"/>
        </w:rPr>
        <w:t>应</w:t>
      </w:r>
      <w:r>
        <w:rPr>
          <w:rFonts w:hint="eastAsia"/>
          <w:color w:val="auto"/>
        </w:rPr>
        <w:t>小于12mm</w:t>
      </w:r>
      <w:r>
        <w:rPr>
          <w:rFonts w:hint="eastAsia"/>
          <w:color w:val="auto"/>
          <w:lang w:eastAsia="zh-CN"/>
        </w:rPr>
        <w:t>，</w:t>
      </w:r>
      <w:r>
        <w:rPr>
          <w:rFonts w:hint="eastAsia"/>
          <w:color w:val="auto"/>
          <w:lang w:val="en-US" w:eastAsia="zh-CN"/>
        </w:rPr>
        <w:t>隔板厚度</w:t>
      </w:r>
      <w:r>
        <w:rPr>
          <w:rFonts w:hint="eastAsia"/>
          <w:color w:val="auto"/>
        </w:rPr>
        <w:t>不</w:t>
      </w:r>
      <w:r>
        <w:rPr>
          <w:rFonts w:hint="eastAsia"/>
          <w:color w:val="auto"/>
          <w:lang w:val="en-US" w:eastAsia="zh-CN"/>
        </w:rPr>
        <w:t>应</w:t>
      </w:r>
      <w:r>
        <w:rPr>
          <w:rFonts w:hint="eastAsia"/>
          <w:color w:val="auto"/>
        </w:rPr>
        <w:t>小于1</w:t>
      </w:r>
      <w:r>
        <w:rPr>
          <w:rFonts w:hint="eastAsia"/>
          <w:color w:val="auto"/>
          <w:lang w:val="en-US" w:eastAsia="zh-CN"/>
        </w:rPr>
        <w:t>0</w:t>
      </w:r>
      <w:r>
        <w:rPr>
          <w:rFonts w:hint="eastAsia"/>
          <w:color w:val="auto"/>
        </w:rPr>
        <w:t>mm</w:t>
      </w:r>
      <w:r>
        <w:rPr>
          <w:rFonts w:hint="eastAsia"/>
          <w:color w:val="auto"/>
          <w:lang w:eastAsia="zh-CN"/>
        </w:rPr>
        <w:t>，</w:t>
      </w:r>
      <w:r>
        <w:rPr>
          <w:rFonts w:hint="eastAsia"/>
          <w:color w:val="auto"/>
          <w:lang w:val="en-US" w:eastAsia="zh-CN"/>
        </w:rPr>
        <w:t>耳板厚度</w:t>
      </w:r>
      <w:r>
        <w:rPr>
          <w:rFonts w:hint="eastAsia"/>
          <w:color w:val="auto"/>
        </w:rPr>
        <w:t>不</w:t>
      </w:r>
      <w:r>
        <w:rPr>
          <w:rFonts w:hint="eastAsia"/>
          <w:color w:val="auto"/>
          <w:lang w:val="en-US" w:eastAsia="zh-CN"/>
        </w:rPr>
        <w:t>应</w:t>
      </w:r>
      <w:r>
        <w:rPr>
          <w:rFonts w:hint="eastAsia"/>
          <w:color w:val="auto"/>
        </w:rPr>
        <w:t>小于1</w:t>
      </w:r>
      <w:r>
        <w:rPr>
          <w:rFonts w:hint="eastAsia"/>
          <w:color w:val="auto"/>
          <w:lang w:val="en-US" w:eastAsia="zh-CN"/>
        </w:rPr>
        <w:t>0</w:t>
      </w:r>
      <w:r>
        <w:rPr>
          <w:rFonts w:hint="eastAsia"/>
          <w:color w:val="auto"/>
        </w:rPr>
        <w:t>mm</w:t>
      </w:r>
      <w:r>
        <w:rPr>
          <w:rFonts w:hint="eastAsia"/>
          <w:color w:val="auto"/>
          <w:lang w:eastAsia="zh-CN"/>
        </w:rPr>
        <w:t>，</w:t>
      </w:r>
      <w:r>
        <w:rPr>
          <w:rFonts w:hint="eastAsia"/>
          <w:lang w:val="en-US" w:eastAsia="zh-CN"/>
        </w:rPr>
        <w:t>底板、侧板、加劲肋承载力计算尚应符合本规程第5.2.37条的规定；</w:t>
      </w:r>
    </w:p>
    <w:p w14:paraId="6CE070F2">
      <w:pPr>
        <w:pStyle w:val="43"/>
        <w:ind w:firstLine="0"/>
        <w:rPr>
          <w:color w:val="auto"/>
        </w:rPr>
      </w:pPr>
      <w:r>
        <w:rPr>
          <w:rFonts w:hint="eastAsia"/>
          <w:lang w:val="en-US" w:eastAsia="zh-CN"/>
        </w:rPr>
        <w:t>钢组</w:t>
      </w:r>
      <w:r>
        <w:rPr>
          <w:rFonts w:hint="eastAsia"/>
          <w:lang w:eastAsia="zh-CN"/>
        </w:rPr>
        <w:t>件</w:t>
      </w:r>
      <w:r>
        <w:rPr>
          <w:rFonts w:hint="eastAsia"/>
          <w:lang w:val="en-US" w:eastAsia="zh-CN"/>
        </w:rPr>
        <w:t>的</w:t>
      </w:r>
      <w:r>
        <w:rPr>
          <w:rFonts w:hint="eastAsia"/>
        </w:rPr>
        <w:t>底板螺栓孔</w:t>
      </w:r>
      <w:r>
        <w:rPr>
          <w:rFonts w:hint="eastAsia"/>
          <w:lang w:eastAsia="zh-CN"/>
        </w:rPr>
        <w:t>孔径宜比螺栓公称直径至少大</w:t>
      </w:r>
      <w:r>
        <w:rPr>
          <w:rFonts w:hint="eastAsia"/>
          <w:lang w:val="en-US" w:eastAsia="zh-CN"/>
        </w:rPr>
        <w:t>4mm</w:t>
      </w:r>
      <w:r>
        <w:rPr>
          <w:rFonts w:hint="eastAsia"/>
          <w:color w:val="auto"/>
          <w:lang w:val="en-US" w:eastAsia="zh-CN"/>
        </w:rPr>
        <w:t>[</w:t>
      </w:r>
      <w:r>
        <w:rPr>
          <w:rFonts w:hint="eastAsia"/>
          <w:color w:val="auto"/>
        </w:rPr>
        <w:t>图</w:t>
      </w:r>
      <w:r>
        <w:rPr>
          <w:rFonts w:hint="eastAsia"/>
          <w:color w:val="auto"/>
          <w:lang w:val="en-US" w:eastAsia="zh-CN"/>
        </w:rPr>
        <w:t>5.2.28(a)、</w:t>
      </w:r>
      <w:r>
        <w:rPr>
          <w:rFonts w:hint="eastAsia"/>
          <w:color w:val="auto"/>
        </w:rPr>
        <w:t>图</w:t>
      </w:r>
      <w:r>
        <w:rPr>
          <w:rFonts w:hint="eastAsia"/>
          <w:color w:val="auto"/>
          <w:lang w:val="en-US" w:eastAsia="zh-CN"/>
        </w:rPr>
        <w:t>5.2.28(b)、5.2.28(c)]</w:t>
      </w:r>
      <w:r>
        <w:rPr>
          <w:rFonts w:hint="eastAsia"/>
        </w:rPr>
        <w:t>；</w:t>
      </w:r>
    </w:p>
    <w:p w14:paraId="7AF49E1E">
      <w:pPr>
        <w:pStyle w:val="43"/>
      </w:pPr>
      <w:r>
        <w:rPr>
          <w:rFonts w:hint="eastAsia"/>
          <w:color w:val="auto"/>
          <w:lang w:val="en-US" w:eastAsia="zh-CN"/>
        </w:rPr>
        <w:t>当采用整体式钢组件时，</w:t>
      </w:r>
      <w:r>
        <w:rPr>
          <w:rFonts w:hint="eastAsia"/>
          <w:color w:val="auto"/>
        </w:rPr>
        <w:t>柱纵向受力钢筋与钢</w:t>
      </w:r>
      <w:r>
        <w:rPr>
          <w:rFonts w:hint="eastAsia"/>
          <w:color w:val="auto"/>
          <w:lang w:val="en-US" w:eastAsia="zh-CN"/>
        </w:rPr>
        <w:t>组</w:t>
      </w:r>
      <w:r>
        <w:rPr>
          <w:rFonts w:hint="eastAsia"/>
          <w:color w:val="auto"/>
        </w:rPr>
        <w:t>件应采用双面</w:t>
      </w:r>
      <w:r>
        <w:rPr>
          <w:rFonts w:hint="eastAsia"/>
          <w:color w:val="auto"/>
          <w:lang w:val="en-US" w:eastAsia="zh-CN"/>
        </w:rPr>
        <w:t>搭接</w:t>
      </w:r>
      <w:r>
        <w:rPr>
          <w:rFonts w:hint="eastAsia"/>
          <w:color w:val="auto"/>
        </w:rPr>
        <w:t>焊连接，</w:t>
      </w:r>
      <w:r>
        <w:rPr>
          <w:rFonts w:hint="eastAsia"/>
          <w:color w:val="auto"/>
          <w:lang w:val="en-US" w:eastAsia="zh-CN"/>
        </w:rPr>
        <w:t>焊接长度</w:t>
      </w:r>
      <w:r>
        <w:rPr>
          <w:rFonts w:hint="eastAsia"/>
          <w:i/>
          <w:iCs/>
          <w:color w:val="auto"/>
        </w:rPr>
        <w:t>L</w:t>
      </w:r>
      <w:r>
        <w:rPr>
          <w:rFonts w:hint="eastAsia"/>
          <w:i w:val="0"/>
          <w:iCs w:val="0"/>
          <w:color w:val="auto"/>
          <w:vertAlign w:val="subscript"/>
          <w:lang w:val="en-US" w:eastAsia="zh-CN"/>
        </w:rPr>
        <w:t>w</w:t>
      </w:r>
      <w:r>
        <w:rPr>
          <w:rFonts w:hint="eastAsia"/>
          <w:color w:val="auto"/>
        </w:rPr>
        <w:t>不应小于5</w:t>
      </w:r>
      <w:r>
        <w:rPr>
          <w:rFonts w:hint="eastAsia"/>
          <w:i/>
          <w:color w:val="auto"/>
        </w:rPr>
        <w:t>d</w:t>
      </w:r>
      <w:r>
        <w:rPr>
          <w:rFonts w:hint="eastAsia"/>
          <w:color w:val="auto"/>
        </w:rPr>
        <w:t>，焊缝高度</w:t>
      </w:r>
      <w:r>
        <w:rPr>
          <w:rFonts w:hint="eastAsia"/>
          <w:color w:val="auto"/>
          <w:lang w:val="en-US" w:eastAsia="zh-CN"/>
        </w:rPr>
        <w:t>和宽度应</w:t>
      </w:r>
      <w:r>
        <w:rPr>
          <w:rFonts w:hint="eastAsia"/>
          <w:lang w:val="en-US" w:eastAsia="zh-CN"/>
        </w:rPr>
        <w:t>符合本规程第5.2.11条的规定</w:t>
      </w:r>
      <w:r>
        <w:rPr>
          <w:rFonts w:hint="eastAsia"/>
          <w:color w:val="auto"/>
          <w:lang w:val="en-US" w:eastAsia="zh-CN"/>
        </w:rPr>
        <w:t>[</w:t>
      </w:r>
      <w:r>
        <w:rPr>
          <w:rFonts w:hint="eastAsia"/>
          <w:color w:val="auto"/>
        </w:rPr>
        <w:t>图</w:t>
      </w:r>
      <w:r>
        <w:rPr>
          <w:rFonts w:hint="eastAsia"/>
          <w:color w:val="auto"/>
          <w:lang w:val="en-US" w:eastAsia="zh-CN"/>
        </w:rPr>
        <w:t>5.2.28(a)、5.2.28(d)]</w:t>
      </w:r>
      <w:r>
        <w:rPr>
          <w:rFonts w:hint="eastAsia"/>
          <w:color w:val="auto"/>
        </w:rPr>
        <w:t>；</w:t>
      </w:r>
    </w:p>
    <w:p w14:paraId="0D5CE67B">
      <w:pPr>
        <w:pStyle w:val="43"/>
      </w:pPr>
      <w:r>
        <w:rPr>
          <w:rFonts w:hint="eastAsia"/>
          <w:color w:val="auto"/>
          <w:lang w:val="en-US" w:eastAsia="zh-CN"/>
        </w:rPr>
        <w:t>当采用分体式钢组件时，</w:t>
      </w:r>
      <w:r>
        <w:rPr>
          <w:rFonts w:hint="eastAsia"/>
          <w:color w:val="auto"/>
        </w:rPr>
        <w:t>柱纵向受力钢筋与钢</w:t>
      </w:r>
      <w:r>
        <w:rPr>
          <w:rFonts w:hint="eastAsia"/>
          <w:color w:val="auto"/>
          <w:lang w:val="en-US" w:eastAsia="zh-CN"/>
        </w:rPr>
        <w:t>组</w:t>
      </w:r>
      <w:r>
        <w:rPr>
          <w:rFonts w:hint="eastAsia"/>
          <w:color w:val="auto"/>
        </w:rPr>
        <w:t>件</w:t>
      </w:r>
      <w:r>
        <w:rPr>
          <w:rFonts w:hint="eastAsia"/>
          <w:color w:val="auto"/>
          <w:lang w:val="en-US" w:eastAsia="zh-CN"/>
        </w:rPr>
        <w:t>可</w:t>
      </w:r>
      <w:r>
        <w:rPr>
          <w:rFonts w:hint="eastAsia"/>
          <w:color w:val="auto"/>
        </w:rPr>
        <w:t>采用双面</w:t>
      </w:r>
      <w:r>
        <w:rPr>
          <w:rFonts w:hint="eastAsia"/>
          <w:color w:val="auto"/>
          <w:lang w:val="en-US" w:eastAsia="zh-CN"/>
        </w:rPr>
        <w:t>搭接</w:t>
      </w:r>
      <w:r>
        <w:rPr>
          <w:rFonts w:hint="eastAsia"/>
          <w:color w:val="auto"/>
        </w:rPr>
        <w:t>焊连接</w:t>
      </w:r>
      <w:r>
        <w:rPr>
          <w:rFonts w:hint="eastAsia"/>
          <w:color w:val="auto"/>
          <w:lang w:val="en-US" w:eastAsia="zh-CN"/>
        </w:rPr>
        <w:t>或穿孔塞焊连接，且</w:t>
      </w:r>
      <w:r>
        <w:rPr>
          <w:rFonts w:hint="eastAsia"/>
          <w:lang w:eastAsia="zh-CN"/>
        </w:rPr>
        <w:t>应采取加强</w:t>
      </w:r>
      <w:r>
        <w:rPr>
          <w:rFonts w:hint="eastAsia"/>
          <w:lang w:val="en-US" w:eastAsia="zh-CN"/>
        </w:rPr>
        <w:t>钢组件</w:t>
      </w:r>
      <w:r>
        <w:rPr>
          <w:rFonts w:hint="eastAsia"/>
          <w:lang w:eastAsia="zh-CN"/>
        </w:rPr>
        <w:t>侧板与混凝土连接的措施</w:t>
      </w:r>
      <w:r>
        <w:rPr>
          <w:rFonts w:hint="eastAsia"/>
          <w:color w:val="auto"/>
          <w:lang w:val="en-US" w:eastAsia="zh-CN"/>
        </w:rPr>
        <w:t>；当采用穿孔塞焊连接时，顶</w:t>
      </w:r>
      <w:r>
        <w:rPr>
          <w:rFonts w:hint="eastAsia"/>
          <w:color w:val="auto"/>
        </w:rPr>
        <w:t>板厚度不宜小于纵向受力钢筋最大直径的</w:t>
      </w:r>
      <w:r>
        <w:rPr>
          <w:rFonts w:hint="eastAsia"/>
          <w:color w:val="auto"/>
          <w:lang w:val="en-US" w:eastAsia="zh-CN"/>
        </w:rPr>
        <w:t>3/5[</w:t>
      </w:r>
      <w:r>
        <w:rPr>
          <w:rFonts w:hint="eastAsia"/>
          <w:color w:val="auto"/>
        </w:rPr>
        <w:t>图</w:t>
      </w:r>
      <w:r>
        <w:rPr>
          <w:rFonts w:hint="eastAsia"/>
          <w:color w:val="auto"/>
          <w:lang w:val="en-US" w:eastAsia="zh-CN"/>
        </w:rPr>
        <w:t>5.2.28(b)、</w:t>
      </w:r>
      <w:r>
        <w:rPr>
          <w:rFonts w:hint="eastAsia"/>
          <w:color w:val="auto"/>
        </w:rPr>
        <w:t>图</w:t>
      </w:r>
      <w:r>
        <w:rPr>
          <w:rFonts w:hint="eastAsia"/>
          <w:color w:val="auto"/>
          <w:lang w:val="en-US" w:eastAsia="zh-CN"/>
        </w:rPr>
        <w:t>5.2.28(c)]</w:t>
      </w:r>
      <w:r>
        <w:rPr>
          <w:rFonts w:hint="eastAsia"/>
          <w:color w:val="auto"/>
        </w:rPr>
        <w:t>；</w:t>
      </w:r>
    </w:p>
    <w:p w14:paraId="0C939211">
      <w:pPr>
        <w:pStyle w:val="43"/>
      </w:pPr>
      <w:r>
        <w:rPr>
          <w:rFonts w:hint="eastAsia"/>
          <w:color w:val="auto"/>
          <w:lang w:val="en-US" w:eastAsia="zh-CN"/>
        </w:rPr>
        <w:t>当</w:t>
      </w:r>
      <w:r>
        <w:rPr>
          <w:rFonts w:hint="eastAsia"/>
          <w:color w:val="auto"/>
        </w:rPr>
        <w:t>柱纵向受力钢筋</w:t>
      </w:r>
      <w:r>
        <w:rPr>
          <w:rFonts w:hint="eastAsia"/>
          <w:color w:val="auto"/>
          <w:lang w:val="en-US" w:eastAsia="zh-CN"/>
        </w:rPr>
        <w:t>与钢组件侧板无法直接采用搭接焊连接时，可</w:t>
      </w:r>
      <w:r>
        <w:rPr>
          <w:rFonts w:hint="eastAsia"/>
          <w:color w:val="auto"/>
        </w:rPr>
        <w:t>将纵</w:t>
      </w:r>
      <w:r>
        <w:rPr>
          <w:rFonts w:hint="eastAsia"/>
          <w:color w:val="auto"/>
          <w:lang w:val="en-US" w:eastAsia="zh-CN"/>
        </w:rPr>
        <w:t>向受力钢</w:t>
      </w:r>
      <w:r>
        <w:rPr>
          <w:rFonts w:hint="eastAsia"/>
          <w:color w:val="auto"/>
        </w:rPr>
        <w:t>筋弯折</w:t>
      </w:r>
      <w:r>
        <w:rPr>
          <w:rFonts w:hint="eastAsia"/>
          <w:color w:val="auto"/>
          <w:lang w:val="en-US" w:eastAsia="zh-CN"/>
        </w:rPr>
        <w:t>后进行搭接焊，</w:t>
      </w:r>
      <w:r>
        <w:rPr>
          <w:rFonts w:hint="eastAsia"/>
          <w:lang w:val="en-US" w:eastAsia="zh-CN"/>
        </w:rPr>
        <w:t>钢筋</w:t>
      </w:r>
      <w:r>
        <w:rPr>
          <w:rFonts w:hint="eastAsia"/>
        </w:rPr>
        <w:t>弯折坡度不应</w:t>
      </w:r>
      <w:r>
        <w:rPr>
          <w:rFonts w:hint="eastAsia"/>
          <w:lang w:val="en-US" w:eastAsia="zh-CN"/>
        </w:rPr>
        <w:t>大</w:t>
      </w:r>
      <w:r>
        <w:rPr>
          <w:rFonts w:hint="eastAsia"/>
        </w:rPr>
        <w:t>于1：6，弯折终点距</w:t>
      </w:r>
      <w:r>
        <w:rPr>
          <w:rFonts w:hint="eastAsia"/>
          <w:lang w:val="en-US" w:eastAsia="zh-CN"/>
        </w:rPr>
        <w:t>钢组</w:t>
      </w:r>
      <w:r>
        <w:rPr>
          <w:rFonts w:hint="eastAsia"/>
        </w:rPr>
        <w:t>件端部不宜小于150mm，同时在弯折区域内设置直径不小于10mm的构造钢筋</w:t>
      </w:r>
      <w:r>
        <w:rPr>
          <w:rFonts w:hint="eastAsia"/>
          <w:color w:val="auto"/>
          <w:lang w:val="en-US" w:eastAsia="zh-CN"/>
        </w:rPr>
        <w:t>[</w:t>
      </w:r>
      <w:r>
        <w:rPr>
          <w:rFonts w:hint="eastAsia"/>
          <w:color w:val="auto"/>
        </w:rPr>
        <w:t>图</w:t>
      </w:r>
      <w:r>
        <w:rPr>
          <w:rFonts w:hint="eastAsia"/>
          <w:color w:val="auto"/>
          <w:lang w:val="en-US" w:eastAsia="zh-CN"/>
        </w:rPr>
        <w:t>5.2.28(a)]</w:t>
      </w:r>
      <w:r>
        <w:rPr>
          <w:rFonts w:hint="eastAsia"/>
          <w:lang w:val="en-US"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8"/>
        <w:gridCol w:w="4258"/>
      </w:tblGrid>
      <w:tr w14:paraId="6F16A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5F9C165D">
            <w:pPr>
              <w:pStyle w:val="45"/>
              <w:ind w:firstLine="0" w:firstLineChars="0"/>
              <w:jc w:val="center"/>
              <w:rPr>
                <w:rFonts w:hint="default" w:eastAsia="黑体"/>
                <w:lang w:val="en-US" w:eastAsia="zh-CN"/>
              </w:rPr>
            </w:pPr>
            <w:r>
              <w:drawing>
                <wp:inline distT="0" distB="0" distL="114300" distR="114300">
                  <wp:extent cx="2413000" cy="1574800"/>
                  <wp:effectExtent l="0" t="0" r="6350" b="6350"/>
                  <wp:docPr id="34"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5"/>
                          <pic:cNvPicPr>
                            <a:picLocks noChangeAspect="1"/>
                          </pic:cNvPicPr>
                        </pic:nvPicPr>
                        <pic:blipFill>
                          <a:blip r:embed="rId163"/>
                          <a:srcRect l="5801"/>
                          <a:stretch>
                            <a:fillRect/>
                          </a:stretch>
                        </pic:blipFill>
                        <pic:spPr>
                          <a:xfrm>
                            <a:off x="0" y="0"/>
                            <a:ext cx="2413000" cy="1574800"/>
                          </a:xfrm>
                          <a:prstGeom prst="rect">
                            <a:avLst/>
                          </a:prstGeom>
                          <a:noFill/>
                          <a:ln>
                            <a:noFill/>
                          </a:ln>
                        </pic:spPr>
                      </pic:pic>
                    </a:graphicData>
                  </a:graphic>
                </wp:inline>
              </w:drawing>
            </w:r>
          </w:p>
        </w:tc>
        <w:tc>
          <w:tcPr>
            <w:tcW w:w="4258" w:type="dxa"/>
            <w:shd w:val="clear" w:color="auto" w:fill="auto"/>
            <w:vAlign w:val="center"/>
          </w:tcPr>
          <w:p w14:paraId="105D1F4C">
            <w:pPr>
              <w:pStyle w:val="45"/>
              <w:ind w:firstLine="0" w:firstLineChars="0"/>
              <w:jc w:val="center"/>
            </w:pPr>
            <w:r>
              <w:drawing>
                <wp:inline distT="0" distB="0" distL="114300" distR="114300">
                  <wp:extent cx="2565400" cy="1397635"/>
                  <wp:effectExtent l="0" t="0" r="6350" b="12065"/>
                  <wp:docPr id="36"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7"/>
                          <pic:cNvPicPr>
                            <a:picLocks noChangeAspect="1"/>
                          </pic:cNvPicPr>
                        </pic:nvPicPr>
                        <pic:blipFill>
                          <a:blip r:embed="rId164"/>
                          <a:stretch>
                            <a:fillRect/>
                          </a:stretch>
                        </pic:blipFill>
                        <pic:spPr>
                          <a:xfrm>
                            <a:off x="0" y="0"/>
                            <a:ext cx="2565400" cy="1397635"/>
                          </a:xfrm>
                          <a:prstGeom prst="rect">
                            <a:avLst/>
                          </a:prstGeom>
                          <a:noFill/>
                          <a:ln>
                            <a:noFill/>
                          </a:ln>
                        </pic:spPr>
                      </pic:pic>
                    </a:graphicData>
                  </a:graphic>
                </wp:inline>
              </w:drawing>
            </w:r>
          </w:p>
        </w:tc>
      </w:tr>
      <w:tr w14:paraId="337FA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72D050C3">
            <w:pPr>
              <w:pStyle w:val="45"/>
              <w:ind w:firstLine="0" w:firstLineChars="0"/>
              <w:jc w:val="center"/>
            </w:pPr>
            <w:r>
              <w:rPr>
                <w:rFonts w:hint="default" w:ascii="Times New Roman" w:hAnsi="Times New Roman" w:eastAsia="黑体" w:cs="Times New Roman"/>
                <w:kern w:val="2"/>
                <w:sz w:val="21"/>
                <w:szCs w:val="21"/>
                <w:lang w:val="en-US" w:eastAsia="zh-CN" w:bidi="ar-SA"/>
              </w:rPr>
              <w:t>（a）</w:t>
            </w:r>
            <w:r>
              <w:rPr>
                <w:rFonts w:hint="eastAsia" w:ascii="Times New Roman" w:hAnsi="Times New Roman" w:cs="Times New Roman"/>
                <w:kern w:val="2"/>
                <w:sz w:val="21"/>
                <w:szCs w:val="21"/>
                <w:lang w:val="en-US" w:eastAsia="zh-CN" w:bidi="ar-SA"/>
              </w:rPr>
              <w:t>矩形柱</w:t>
            </w:r>
            <w:r>
              <w:rPr>
                <w:rFonts w:hint="eastAsia"/>
                <w:lang w:val="en-US" w:eastAsia="zh-CN"/>
              </w:rPr>
              <w:t>钢组件螺栓/灌浆连接</w:t>
            </w:r>
            <w:r>
              <w:rPr>
                <w:rFonts w:hint="eastAsia" w:ascii="Times New Roman" w:hAnsi="Times New Roman" w:cs="Times New Roman"/>
                <w:lang w:val="en-US" w:eastAsia="zh-CN"/>
              </w:rPr>
              <w:t>的整体式柱端钢组件</w:t>
            </w:r>
          </w:p>
        </w:tc>
        <w:tc>
          <w:tcPr>
            <w:tcW w:w="4258" w:type="dxa"/>
            <w:shd w:val="clear" w:color="auto" w:fill="auto"/>
            <w:vAlign w:val="center"/>
          </w:tcPr>
          <w:p w14:paraId="2B263C71">
            <w:pPr>
              <w:pStyle w:val="45"/>
              <w:ind w:firstLine="0" w:firstLineChars="0"/>
              <w:jc w:val="center"/>
            </w:pPr>
            <w:r>
              <w:rPr>
                <w:rFonts w:hint="default" w:ascii="Times New Roman" w:hAnsi="Times New Roman" w:eastAsia="黑体" w:cs="Times New Roman"/>
                <w:kern w:val="2"/>
                <w:sz w:val="21"/>
                <w:szCs w:val="21"/>
                <w:lang w:val="en-US" w:eastAsia="zh-CN" w:bidi="ar-SA"/>
              </w:rPr>
              <w:t>（</w:t>
            </w:r>
            <w:r>
              <w:rPr>
                <w:rFonts w:hint="eastAsia" w:cs="Times New Roman"/>
                <w:kern w:val="2"/>
                <w:sz w:val="21"/>
                <w:szCs w:val="21"/>
                <w:lang w:val="en-US" w:eastAsia="zh-CN" w:bidi="ar-SA"/>
              </w:rPr>
              <w:t>b</w:t>
            </w:r>
            <w:r>
              <w:rPr>
                <w:rFonts w:hint="default" w:ascii="Times New Roman" w:hAnsi="Times New Roman" w:eastAsia="黑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矩形柱</w:t>
            </w:r>
            <w:r>
              <w:rPr>
                <w:rFonts w:hint="eastAsia"/>
                <w:lang w:val="en-US" w:eastAsia="zh-CN"/>
              </w:rPr>
              <w:t>钢组件螺栓连接</w:t>
            </w:r>
            <w:r>
              <w:rPr>
                <w:rFonts w:hint="eastAsia" w:ascii="Times New Roman" w:hAnsi="Times New Roman" w:cs="Times New Roman"/>
                <w:lang w:val="en-US" w:eastAsia="zh-CN"/>
              </w:rPr>
              <w:t>的</w:t>
            </w:r>
            <w:r>
              <w:rPr>
                <w:rFonts w:hint="eastAsia" w:cs="Times New Roman"/>
                <w:lang w:val="en-US" w:eastAsia="zh-CN"/>
              </w:rPr>
              <w:t>分</w:t>
            </w:r>
            <w:r>
              <w:rPr>
                <w:rFonts w:hint="eastAsia" w:ascii="Times New Roman" w:hAnsi="Times New Roman" w:cs="Times New Roman"/>
                <w:lang w:val="en-US" w:eastAsia="zh-CN"/>
              </w:rPr>
              <w:t>体式柱端钢组件</w:t>
            </w:r>
          </w:p>
        </w:tc>
      </w:tr>
      <w:tr w14:paraId="496FB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30DDA8F3">
            <w:pPr>
              <w:pStyle w:val="45"/>
              <w:ind w:firstLine="0" w:firstLineChars="0"/>
              <w:jc w:val="center"/>
            </w:pPr>
            <w:r>
              <w:drawing>
                <wp:inline distT="0" distB="0" distL="114300" distR="114300">
                  <wp:extent cx="2563495" cy="1463040"/>
                  <wp:effectExtent l="0" t="0" r="8255" b="3810"/>
                  <wp:docPr id="39"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8"/>
                          <pic:cNvPicPr>
                            <a:picLocks noChangeAspect="1"/>
                          </pic:cNvPicPr>
                        </pic:nvPicPr>
                        <pic:blipFill>
                          <a:blip r:embed="rId165"/>
                          <a:stretch>
                            <a:fillRect/>
                          </a:stretch>
                        </pic:blipFill>
                        <pic:spPr>
                          <a:xfrm>
                            <a:off x="0" y="0"/>
                            <a:ext cx="2563495" cy="1463040"/>
                          </a:xfrm>
                          <a:prstGeom prst="rect">
                            <a:avLst/>
                          </a:prstGeom>
                          <a:noFill/>
                          <a:ln>
                            <a:noFill/>
                          </a:ln>
                        </pic:spPr>
                      </pic:pic>
                    </a:graphicData>
                  </a:graphic>
                </wp:inline>
              </w:drawing>
            </w:r>
          </w:p>
        </w:tc>
        <w:tc>
          <w:tcPr>
            <w:tcW w:w="4258" w:type="dxa"/>
            <w:shd w:val="clear" w:color="auto" w:fill="auto"/>
            <w:vAlign w:val="center"/>
          </w:tcPr>
          <w:p w14:paraId="6EB78F3B">
            <w:pPr>
              <w:pStyle w:val="45"/>
              <w:ind w:firstLine="0" w:firstLineChars="0"/>
              <w:jc w:val="center"/>
            </w:pPr>
            <w:r>
              <w:drawing>
                <wp:inline distT="0" distB="0" distL="114300" distR="114300">
                  <wp:extent cx="2566670" cy="1490980"/>
                  <wp:effectExtent l="0" t="0" r="5080" b="13970"/>
                  <wp:docPr id="6" name="图片 6" descr="01278c031c710d59fb5381615e8f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278c031c710d59fb5381615e8f6cd"/>
                          <pic:cNvPicPr>
                            <a:picLocks noChangeAspect="1"/>
                          </pic:cNvPicPr>
                        </pic:nvPicPr>
                        <pic:blipFill>
                          <a:blip r:embed="rId166"/>
                          <a:stretch>
                            <a:fillRect/>
                          </a:stretch>
                        </pic:blipFill>
                        <pic:spPr>
                          <a:xfrm>
                            <a:off x="0" y="0"/>
                            <a:ext cx="2566670" cy="1490980"/>
                          </a:xfrm>
                          <a:prstGeom prst="rect">
                            <a:avLst/>
                          </a:prstGeom>
                        </pic:spPr>
                      </pic:pic>
                    </a:graphicData>
                  </a:graphic>
                </wp:inline>
              </w:drawing>
            </w:r>
          </w:p>
        </w:tc>
      </w:tr>
      <w:tr w14:paraId="1742D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14EA678B">
            <w:pPr>
              <w:pStyle w:val="45"/>
              <w:ind w:firstLine="0" w:firstLineChars="0"/>
              <w:jc w:val="center"/>
            </w:pPr>
            <w:r>
              <w:rPr>
                <w:rFonts w:hint="default" w:ascii="Times New Roman" w:hAnsi="Times New Roman" w:eastAsia="黑体" w:cs="Times New Roman"/>
                <w:kern w:val="2"/>
                <w:sz w:val="21"/>
                <w:szCs w:val="21"/>
                <w:lang w:val="en-US" w:eastAsia="zh-CN" w:bidi="ar-SA"/>
              </w:rPr>
              <w:t>（</w:t>
            </w:r>
            <w:r>
              <w:rPr>
                <w:rFonts w:hint="eastAsia" w:cs="Times New Roman"/>
                <w:kern w:val="2"/>
                <w:sz w:val="21"/>
                <w:szCs w:val="21"/>
                <w:lang w:val="en-US" w:eastAsia="zh-CN" w:bidi="ar-SA"/>
              </w:rPr>
              <w:t>c</w:t>
            </w:r>
            <w:r>
              <w:rPr>
                <w:rFonts w:hint="default" w:ascii="Times New Roman" w:hAnsi="Times New Roman" w:eastAsia="黑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异形柱</w:t>
            </w:r>
            <w:r>
              <w:rPr>
                <w:rFonts w:hint="eastAsia"/>
                <w:lang w:val="en-US" w:eastAsia="zh-CN"/>
              </w:rPr>
              <w:t>钢组件螺栓连接</w:t>
            </w:r>
            <w:r>
              <w:rPr>
                <w:rFonts w:hint="eastAsia" w:ascii="Times New Roman" w:hAnsi="Times New Roman" w:cs="Times New Roman"/>
                <w:lang w:val="en-US" w:eastAsia="zh-CN"/>
              </w:rPr>
              <w:t>的</w:t>
            </w:r>
            <w:r>
              <w:rPr>
                <w:rFonts w:hint="eastAsia" w:cs="Times New Roman"/>
                <w:lang w:val="en-US" w:eastAsia="zh-CN"/>
              </w:rPr>
              <w:t>分</w:t>
            </w:r>
            <w:r>
              <w:rPr>
                <w:rFonts w:hint="eastAsia" w:ascii="Times New Roman" w:hAnsi="Times New Roman" w:cs="Times New Roman"/>
                <w:lang w:val="en-US" w:eastAsia="zh-CN"/>
              </w:rPr>
              <w:t>体式柱端钢组件</w:t>
            </w:r>
          </w:p>
        </w:tc>
        <w:tc>
          <w:tcPr>
            <w:tcW w:w="4258" w:type="dxa"/>
            <w:shd w:val="clear" w:color="auto" w:fill="auto"/>
            <w:vAlign w:val="center"/>
          </w:tcPr>
          <w:p w14:paraId="46AC2377">
            <w:pPr>
              <w:pStyle w:val="45"/>
              <w:ind w:firstLine="0" w:firstLineChars="0"/>
              <w:jc w:val="center"/>
            </w:pPr>
            <w:r>
              <w:rPr>
                <w:rFonts w:hint="default" w:ascii="Times New Roman" w:hAnsi="Times New Roman" w:eastAsia="黑体" w:cs="Times New Roman"/>
                <w:kern w:val="2"/>
                <w:sz w:val="21"/>
                <w:szCs w:val="21"/>
                <w:lang w:val="en-US" w:eastAsia="zh-CN" w:bidi="ar-SA"/>
              </w:rPr>
              <w:t>（</w:t>
            </w:r>
            <w:r>
              <w:rPr>
                <w:rFonts w:hint="eastAsia" w:cs="Times New Roman"/>
                <w:kern w:val="2"/>
                <w:sz w:val="21"/>
                <w:szCs w:val="21"/>
                <w:lang w:val="en-US" w:eastAsia="zh-CN" w:bidi="ar-SA"/>
              </w:rPr>
              <w:t>d</w:t>
            </w:r>
            <w:r>
              <w:rPr>
                <w:rFonts w:hint="default" w:ascii="Times New Roman" w:hAnsi="Times New Roman" w:eastAsia="黑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矩形柱</w:t>
            </w:r>
            <w:r>
              <w:rPr>
                <w:rFonts w:hint="eastAsia"/>
                <w:lang w:val="en-US" w:eastAsia="zh-CN"/>
              </w:rPr>
              <w:t>钢组件焊接连接</w:t>
            </w:r>
            <w:r>
              <w:rPr>
                <w:rFonts w:hint="eastAsia" w:ascii="Times New Roman" w:hAnsi="Times New Roman" w:cs="Times New Roman"/>
                <w:lang w:val="en-US" w:eastAsia="zh-CN"/>
              </w:rPr>
              <w:t>的整体式柱端钢组件</w:t>
            </w:r>
          </w:p>
        </w:tc>
      </w:tr>
    </w:tbl>
    <w:p w14:paraId="68728B6A">
      <w:pPr>
        <w:pStyle w:val="45"/>
        <w:rPr>
          <w:color w:val="auto"/>
        </w:rPr>
      </w:pPr>
    </w:p>
    <w:p w14:paraId="46E1DAA5">
      <w:pPr>
        <w:pStyle w:val="45"/>
        <w:rPr>
          <w:rFonts w:hint="eastAsia" w:eastAsia="黑体"/>
          <w:color w:val="auto"/>
          <w:lang w:val="en-US" w:eastAsia="zh-CN"/>
        </w:rPr>
      </w:pPr>
      <w:r>
        <w:rPr>
          <w:color w:val="auto"/>
        </w:rPr>
        <w:t>1—</w:t>
      </w:r>
      <w:r>
        <w:rPr>
          <w:rFonts w:hint="eastAsia"/>
          <w:color w:val="auto"/>
          <w:lang w:val="en-US" w:eastAsia="zh-CN"/>
        </w:rPr>
        <w:t>矩形柱</w:t>
      </w:r>
      <w:r>
        <w:rPr>
          <w:color w:val="auto"/>
        </w:rPr>
        <w:t>；2—</w:t>
      </w:r>
      <w:r>
        <w:rPr>
          <w:rFonts w:hint="eastAsia"/>
          <w:color w:val="auto"/>
        </w:rPr>
        <w:t>纵向受力钢筋</w:t>
      </w:r>
      <w:r>
        <w:rPr>
          <w:color w:val="auto"/>
        </w:rPr>
        <w:t>；</w:t>
      </w:r>
      <w:r>
        <w:rPr>
          <w:rFonts w:hint="eastAsia"/>
          <w:color w:val="auto"/>
          <w:lang w:val="en-US" w:eastAsia="zh-CN"/>
        </w:rPr>
        <w:t>3</w:t>
      </w:r>
      <w:r>
        <w:rPr>
          <w:color w:val="auto"/>
        </w:rPr>
        <w:t>—</w:t>
      </w:r>
      <w:r>
        <w:rPr>
          <w:rFonts w:hint="eastAsia"/>
          <w:color w:val="auto"/>
          <w:lang w:val="en-US" w:eastAsia="zh-CN"/>
        </w:rPr>
        <w:t>构造钢筋</w:t>
      </w:r>
      <w:r>
        <w:rPr>
          <w:color w:val="auto"/>
        </w:rPr>
        <w:t>；</w:t>
      </w:r>
      <w:r>
        <w:rPr>
          <w:rFonts w:hint="eastAsia"/>
          <w:color w:val="auto"/>
          <w:lang w:val="en-US" w:eastAsia="zh-CN"/>
        </w:rPr>
        <w:t>4</w:t>
      </w:r>
      <w:r>
        <w:rPr>
          <w:color w:val="auto"/>
        </w:rPr>
        <w:t>—</w:t>
      </w:r>
      <w:r>
        <w:rPr>
          <w:rFonts w:hint="eastAsia"/>
          <w:color w:val="auto"/>
        </w:rPr>
        <w:t>侧板</w:t>
      </w:r>
      <w:r>
        <w:rPr>
          <w:color w:val="auto"/>
        </w:rPr>
        <w:t>；</w:t>
      </w:r>
      <w:r>
        <w:rPr>
          <w:rFonts w:hint="eastAsia"/>
          <w:color w:val="auto"/>
          <w:lang w:val="en-US" w:eastAsia="zh-CN"/>
        </w:rPr>
        <w:t>5</w:t>
      </w:r>
      <w:r>
        <w:rPr>
          <w:color w:val="auto"/>
        </w:rPr>
        <w:t>—</w:t>
      </w:r>
      <w:r>
        <w:rPr>
          <w:rFonts w:hint="eastAsia"/>
          <w:color w:val="auto"/>
          <w:lang w:val="en-US" w:eastAsia="zh-CN"/>
        </w:rPr>
        <w:t>加劲肋；6</w:t>
      </w:r>
      <w:r>
        <w:rPr>
          <w:color w:val="auto"/>
        </w:rPr>
        <w:t>—</w:t>
      </w:r>
      <w:r>
        <w:rPr>
          <w:rFonts w:hint="eastAsia"/>
          <w:color w:val="auto"/>
          <w:lang w:val="en-US" w:eastAsia="zh-CN"/>
        </w:rPr>
        <w:t>底</w:t>
      </w:r>
      <w:r>
        <w:rPr>
          <w:rFonts w:hint="eastAsia"/>
          <w:lang w:val="en-US" w:eastAsia="zh-CN"/>
        </w:rPr>
        <w:t>板</w:t>
      </w:r>
      <w:r>
        <w:rPr>
          <w:rFonts w:hint="eastAsia"/>
          <w:color w:val="auto"/>
          <w:lang w:val="en-US" w:eastAsia="zh-CN"/>
        </w:rPr>
        <w:t>；7</w:t>
      </w:r>
      <w:r>
        <w:rPr>
          <w:color w:val="auto"/>
        </w:rPr>
        <w:t>—</w:t>
      </w:r>
      <w:r>
        <w:rPr>
          <w:rFonts w:hint="eastAsia"/>
          <w:color w:val="auto"/>
          <w:lang w:val="en-US" w:eastAsia="zh-CN"/>
        </w:rPr>
        <w:t>螺栓孔；8</w:t>
      </w:r>
      <w:r>
        <w:rPr>
          <w:color w:val="auto"/>
        </w:rPr>
        <w:t>—</w:t>
      </w:r>
      <w:r>
        <w:rPr>
          <w:rFonts w:hint="eastAsia"/>
          <w:color w:val="auto"/>
          <w:lang w:val="en-US" w:eastAsia="zh-CN"/>
        </w:rPr>
        <w:t>抗剪键；9</w:t>
      </w:r>
      <w:r>
        <w:rPr>
          <w:color w:val="auto"/>
        </w:rPr>
        <w:t>—</w:t>
      </w:r>
      <w:r>
        <w:rPr>
          <w:rFonts w:hint="eastAsia"/>
          <w:color w:val="auto"/>
          <w:lang w:val="en-US" w:eastAsia="zh-CN"/>
        </w:rPr>
        <w:t>锚固钢筋；10</w:t>
      </w:r>
      <w:r>
        <w:rPr>
          <w:color w:val="auto"/>
        </w:rPr>
        <w:t>—</w:t>
      </w:r>
      <w:r>
        <w:rPr>
          <w:rFonts w:hint="eastAsia"/>
          <w:color w:val="auto"/>
          <w:lang w:val="en-US" w:eastAsia="zh-CN"/>
        </w:rPr>
        <w:t>顶板</w:t>
      </w:r>
      <w:r>
        <w:rPr>
          <w:color w:val="auto"/>
        </w:rPr>
        <w:t>；</w:t>
      </w:r>
      <w:r>
        <w:rPr>
          <w:rFonts w:hint="eastAsia"/>
          <w:color w:val="auto"/>
          <w:lang w:val="en-US" w:eastAsia="zh-CN"/>
        </w:rPr>
        <w:t>1</w:t>
      </w:r>
      <w:r>
        <w:rPr>
          <w:color w:val="auto"/>
        </w:rPr>
        <w:t>1—</w:t>
      </w:r>
      <w:r>
        <w:rPr>
          <w:rFonts w:hint="eastAsia"/>
          <w:color w:val="auto"/>
          <w:lang w:val="en-US" w:eastAsia="zh-CN"/>
        </w:rPr>
        <w:t>异形柱</w:t>
      </w:r>
      <w:r>
        <w:rPr>
          <w:color w:val="auto"/>
        </w:rPr>
        <w:t>；</w:t>
      </w:r>
      <w:r>
        <w:rPr>
          <w:rFonts w:hint="eastAsia"/>
          <w:color w:val="auto"/>
          <w:lang w:val="en-US" w:eastAsia="zh-CN"/>
        </w:rPr>
        <w:t>12</w:t>
      </w:r>
      <w:r>
        <w:rPr>
          <w:color w:val="auto"/>
        </w:rPr>
        <w:t>—</w:t>
      </w:r>
      <w:r>
        <w:rPr>
          <w:rFonts w:hint="eastAsia"/>
          <w:color w:val="auto"/>
          <w:lang w:val="en-US" w:eastAsia="zh-CN"/>
        </w:rPr>
        <w:t>耳板</w:t>
      </w:r>
      <w:r>
        <w:rPr>
          <w:color w:val="auto"/>
        </w:rPr>
        <w:t>；</w:t>
      </w:r>
      <w:r>
        <w:rPr>
          <w:rFonts w:hint="eastAsia"/>
          <w:color w:val="auto"/>
          <w:lang w:val="en-US" w:eastAsia="zh-CN"/>
        </w:rPr>
        <w:t>13</w:t>
      </w:r>
      <w:r>
        <w:rPr>
          <w:color w:val="auto"/>
        </w:rPr>
        <w:t>—</w:t>
      </w:r>
      <w:r>
        <w:rPr>
          <w:rFonts w:hint="eastAsia"/>
          <w:color w:val="auto"/>
          <w:lang w:val="en-US" w:eastAsia="zh-CN"/>
        </w:rPr>
        <w:t>隔板</w:t>
      </w:r>
    </w:p>
    <w:p w14:paraId="09AF6026">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28</w:t>
      </w:r>
      <w:r>
        <w:rPr>
          <w:color w:val="auto"/>
        </w:rPr>
        <w:t xml:space="preserve"> </w:t>
      </w:r>
      <w:r>
        <w:rPr>
          <w:rFonts w:hint="eastAsia"/>
          <w:color w:val="auto"/>
        </w:rPr>
        <w:t xml:space="preserve"> </w:t>
      </w:r>
      <w:r>
        <w:rPr>
          <w:rFonts w:hint="eastAsia"/>
          <w:color w:val="auto"/>
          <w:lang w:val="en-US" w:eastAsia="zh-CN"/>
        </w:rPr>
        <w:t>柱端钢组件构造</w:t>
      </w:r>
      <w:r>
        <w:rPr>
          <w:rFonts w:hint="eastAsia"/>
          <w:color w:val="auto"/>
        </w:rPr>
        <w:t>示意</w:t>
      </w:r>
    </w:p>
    <w:p w14:paraId="48CAECCE">
      <w:pPr>
        <w:bidi w:val="0"/>
        <w:ind w:left="0" w:leftChars="0" w:firstLine="0" w:firstLineChars="0"/>
      </w:pPr>
    </w:p>
    <w:p w14:paraId="21DC5D70">
      <w:pPr>
        <w:pStyle w:val="42"/>
      </w:pPr>
      <w:r>
        <w:rPr>
          <w:rFonts w:hint="eastAsia"/>
        </w:rPr>
        <w:t>预制柱的纵向受力钢筋和箍筋配置应符合现行国家标准《混凝土结构通用规范》GB 55008的有关规定</w:t>
      </w:r>
      <w:r>
        <w:rPr>
          <w:rFonts w:hint="eastAsia"/>
          <w:lang w:eastAsia="zh-CN"/>
        </w:rPr>
        <w:t>，</w:t>
      </w:r>
      <w:r>
        <w:rPr>
          <w:rFonts w:hint="eastAsia"/>
          <w:lang w:val="en-US" w:eastAsia="zh-CN"/>
        </w:rPr>
        <w:t>其中</w:t>
      </w:r>
      <w:r>
        <w:rPr>
          <w:rFonts w:hint="eastAsia"/>
          <w:color w:val="auto"/>
          <w:lang w:val="en-US" w:eastAsia="zh-CN"/>
        </w:rPr>
        <w:t>箍筋配置尚应符合下列规定：</w:t>
      </w:r>
    </w:p>
    <w:p w14:paraId="0E2DA093">
      <w:pPr>
        <w:pStyle w:val="43"/>
      </w:pPr>
      <w:r>
        <w:rPr>
          <w:rFonts w:hint="eastAsia"/>
        </w:rPr>
        <w:t>箍筋加密区</w:t>
      </w:r>
      <w:r>
        <w:rPr>
          <w:rFonts w:hint="eastAsia"/>
          <w:i/>
          <w:iCs/>
        </w:rPr>
        <w:t>L</w:t>
      </w:r>
      <w:r>
        <w:rPr>
          <w:rFonts w:hint="eastAsia"/>
          <w:vertAlign w:val="subscript"/>
        </w:rPr>
        <w:t>d</w:t>
      </w:r>
      <w:r>
        <w:rPr>
          <w:rFonts w:hint="eastAsia"/>
        </w:rPr>
        <w:t>应从柱端</w:t>
      </w:r>
      <w:r>
        <w:rPr>
          <w:rFonts w:hint="eastAsia"/>
          <w:lang w:val="en-US" w:eastAsia="zh-CN"/>
        </w:rPr>
        <w:t>钢组</w:t>
      </w:r>
      <w:r>
        <w:rPr>
          <w:rFonts w:hint="eastAsia"/>
        </w:rPr>
        <w:t>件埋入混凝土柱身内的端部起算，第1道箍筋</w:t>
      </w:r>
      <w:r>
        <w:rPr>
          <w:rFonts w:hint="eastAsia"/>
          <w:lang w:val="en-US" w:eastAsia="zh-CN"/>
        </w:rPr>
        <w:t>应紧靠</w:t>
      </w:r>
      <w:r>
        <w:rPr>
          <w:rFonts w:hint="eastAsia"/>
        </w:rPr>
        <w:t>柱端</w:t>
      </w:r>
      <w:r>
        <w:rPr>
          <w:rFonts w:hint="eastAsia"/>
          <w:lang w:val="en-US" w:eastAsia="zh-CN"/>
        </w:rPr>
        <w:t>钢组</w:t>
      </w:r>
      <w:r>
        <w:rPr>
          <w:rFonts w:hint="eastAsia"/>
        </w:rPr>
        <w:t>件端部</w:t>
      </w:r>
      <w:r>
        <w:rPr>
          <w:rFonts w:hint="eastAsia"/>
          <w:lang w:val="en-US" w:eastAsia="zh-CN"/>
        </w:rPr>
        <w:t>设置</w:t>
      </w:r>
      <w:r>
        <w:rPr>
          <w:rFonts w:hint="eastAsia"/>
        </w:rPr>
        <w:t>，第2道箍筋与第1道箍筋间距</w:t>
      </w:r>
      <w:r>
        <w:rPr>
          <w:rFonts w:hint="eastAsia"/>
          <w:lang w:val="en-US" w:eastAsia="zh-CN"/>
        </w:rPr>
        <w:t>应为</w:t>
      </w:r>
      <w:r>
        <w:rPr>
          <w:rFonts w:hint="eastAsia"/>
        </w:rPr>
        <w:t>50mm</w:t>
      </w:r>
      <w:r>
        <w:rPr>
          <w:rFonts w:hint="eastAsia"/>
          <w:color w:val="auto"/>
          <w:lang w:val="en-US" w:eastAsia="zh-CN"/>
        </w:rPr>
        <w:t>[5.2.29(a)、</w:t>
      </w:r>
      <w:r>
        <w:rPr>
          <w:rFonts w:hint="eastAsia"/>
          <w:color w:val="auto"/>
        </w:rPr>
        <w:t>图</w:t>
      </w:r>
      <w:r>
        <w:rPr>
          <w:rFonts w:hint="eastAsia"/>
          <w:color w:val="auto"/>
          <w:lang w:val="en-US" w:eastAsia="zh-CN"/>
        </w:rPr>
        <w:t>5.2.29(b)]</w:t>
      </w:r>
      <w:r>
        <w:rPr>
          <w:rFonts w:hint="eastAsia"/>
        </w:rPr>
        <w:t>；</w:t>
      </w:r>
    </w:p>
    <w:p w14:paraId="7C52C854">
      <w:pPr>
        <w:pStyle w:val="43"/>
      </w:pPr>
      <w:r>
        <w:rPr>
          <w:rFonts w:hint="eastAsia"/>
          <w:lang w:val="en-US" w:eastAsia="zh-CN"/>
        </w:rPr>
        <w:t>当采用</w:t>
      </w:r>
      <w:r>
        <w:rPr>
          <w:rFonts w:hint="eastAsia"/>
          <w:color w:val="auto"/>
          <w:lang w:val="en-US" w:eastAsia="zh-CN"/>
        </w:rPr>
        <w:t>分体式钢组件时，应在柱端钢组件区域设置箍筋，箍筋间距同箍筋加密区[</w:t>
      </w:r>
      <w:r>
        <w:rPr>
          <w:rFonts w:hint="eastAsia"/>
          <w:color w:val="auto"/>
        </w:rPr>
        <w:t>图</w:t>
      </w:r>
      <w:r>
        <w:rPr>
          <w:rFonts w:hint="eastAsia"/>
          <w:color w:val="auto"/>
          <w:lang w:val="en-US" w:eastAsia="zh-CN"/>
        </w:rPr>
        <w:t>5.2.29(b)]。</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5AA61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6147CFEC">
            <w:pPr>
              <w:pStyle w:val="45"/>
              <w:ind w:firstLine="0" w:firstLineChars="0"/>
              <w:jc w:val="center"/>
              <w:rPr>
                <w:rFonts w:hint="default" w:eastAsia="黑体"/>
                <w:lang w:val="en-US" w:eastAsia="zh-CN"/>
              </w:rPr>
            </w:pPr>
            <w:r>
              <w:drawing>
                <wp:inline distT="0" distB="0" distL="114300" distR="114300">
                  <wp:extent cx="1664335" cy="2160270"/>
                  <wp:effectExtent l="0" t="0" r="12065" b="11430"/>
                  <wp:docPr id="4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6"/>
                          <pic:cNvPicPr>
                            <a:picLocks noChangeAspect="1"/>
                          </pic:cNvPicPr>
                        </pic:nvPicPr>
                        <pic:blipFill>
                          <a:blip r:embed="rId167"/>
                          <a:stretch>
                            <a:fillRect/>
                          </a:stretch>
                        </pic:blipFill>
                        <pic:spPr>
                          <a:xfrm>
                            <a:off x="0" y="0"/>
                            <a:ext cx="1664335" cy="2160270"/>
                          </a:xfrm>
                          <a:prstGeom prst="rect">
                            <a:avLst/>
                          </a:prstGeom>
                          <a:noFill/>
                          <a:ln>
                            <a:noFill/>
                          </a:ln>
                        </pic:spPr>
                      </pic:pic>
                    </a:graphicData>
                  </a:graphic>
                </wp:inline>
              </w:drawing>
            </w:r>
          </w:p>
        </w:tc>
        <w:tc>
          <w:tcPr>
            <w:tcW w:w="4258" w:type="dxa"/>
            <w:shd w:val="clear" w:color="auto" w:fill="auto"/>
            <w:vAlign w:val="center"/>
          </w:tcPr>
          <w:p w14:paraId="4156784D">
            <w:pPr>
              <w:pStyle w:val="45"/>
              <w:ind w:firstLine="0" w:firstLineChars="0"/>
              <w:jc w:val="center"/>
              <w:rPr>
                <w:rFonts w:hint="default" w:eastAsia="黑体"/>
                <w:lang w:val="en-US" w:eastAsia="zh-CN"/>
              </w:rPr>
            </w:pPr>
            <w:r>
              <w:drawing>
                <wp:inline distT="0" distB="0" distL="114300" distR="114300">
                  <wp:extent cx="1738630" cy="1800225"/>
                  <wp:effectExtent l="0" t="0" r="13970" b="9525"/>
                  <wp:docPr id="47"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1"/>
                          <pic:cNvPicPr>
                            <a:picLocks noChangeAspect="1"/>
                          </pic:cNvPicPr>
                        </pic:nvPicPr>
                        <pic:blipFill>
                          <a:blip r:embed="rId168"/>
                          <a:stretch>
                            <a:fillRect/>
                          </a:stretch>
                        </pic:blipFill>
                        <pic:spPr>
                          <a:xfrm>
                            <a:off x="0" y="0"/>
                            <a:ext cx="1738630" cy="1800225"/>
                          </a:xfrm>
                          <a:prstGeom prst="rect">
                            <a:avLst/>
                          </a:prstGeom>
                          <a:noFill/>
                          <a:ln>
                            <a:noFill/>
                          </a:ln>
                        </pic:spPr>
                      </pic:pic>
                    </a:graphicData>
                  </a:graphic>
                </wp:inline>
              </w:drawing>
            </w:r>
          </w:p>
        </w:tc>
      </w:tr>
      <w:tr w14:paraId="4F8B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8" w:type="dxa"/>
            <w:shd w:val="clear" w:color="auto" w:fill="auto"/>
            <w:vAlign w:val="center"/>
          </w:tcPr>
          <w:p w14:paraId="5B558F08">
            <w:pPr>
              <w:pStyle w:val="45"/>
              <w:ind w:firstLine="0" w:firstLineChars="0"/>
              <w:rPr>
                <w:rFonts w:hint="default"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a</w:t>
            </w:r>
            <w:r>
              <w:rPr>
                <w:rFonts w:hint="eastAsia"/>
                <w:color w:val="auto"/>
              </w:rPr>
              <w:t>）</w:t>
            </w:r>
            <w:r>
              <w:rPr>
                <w:rFonts w:hint="eastAsia"/>
                <w:color w:val="auto"/>
                <w:lang w:val="en-US" w:eastAsia="zh-CN"/>
              </w:rPr>
              <w:t>整体式柱端钢组件</w:t>
            </w:r>
          </w:p>
        </w:tc>
        <w:tc>
          <w:tcPr>
            <w:tcW w:w="4258" w:type="dxa"/>
            <w:shd w:val="clear" w:color="auto" w:fill="auto"/>
            <w:vAlign w:val="center"/>
          </w:tcPr>
          <w:p w14:paraId="2361A45D">
            <w:pPr>
              <w:pStyle w:val="45"/>
              <w:ind w:firstLine="0" w:firstLineChars="0"/>
              <w:rPr>
                <w:rFonts w:hint="default" w:ascii="Times New Roman" w:hAnsi="Times New Roman" w:eastAsia="黑体" w:cs="Times New Roman"/>
                <w:color w:val="auto"/>
                <w:kern w:val="2"/>
                <w:sz w:val="21"/>
                <w:szCs w:val="21"/>
                <w:lang w:val="en-US" w:eastAsia="zh-CN" w:bidi="ar-SA"/>
              </w:rPr>
            </w:pP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分体式柱端钢组件</w:t>
            </w:r>
          </w:p>
        </w:tc>
      </w:tr>
    </w:tbl>
    <w:p w14:paraId="133BF0CD">
      <w:pPr>
        <w:pStyle w:val="45"/>
        <w:rPr>
          <w:color w:val="auto"/>
        </w:rPr>
      </w:pPr>
    </w:p>
    <w:p w14:paraId="4FDEBCF2">
      <w:pPr>
        <w:pStyle w:val="45"/>
        <w:rPr>
          <w:color w:val="auto"/>
        </w:rPr>
      </w:pPr>
      <w:r>
        <w:rPr>
          <w:color w:val="auto"/>
        </w:rPr>
        <w:t>1—</w:t>
      </w:r>
      <w:r>
        <w:rPr>
          <w:rFonts w:hint="eastAsia"/>
          <w:color w:val="auto"/>
          <w:lang w:val="en-US" w:eastAsia="zh-CN"/>
        </w:rPr>
        <w:t>混凝土柱身</w:t>
      </w:r>
      <w:r>
        <w:rPr>
          <w:color w:val="auto"/>
        </w:rPr>
        <w:t>；2—</w:t>
      </w:r>
      <w:r>
        <w:rPr>
          <w:rFonts w:hint="eastAsia"/>
        </w:rPr>
        <w:t>纵向受力钢筋</w:t>
      </w:r>
      <w:r>
        <w:rPr>
          <w:color w:val="auto"/>
        </w:rPr>
        <w:t>；</w:t>
      </w:r>
      <w:r>
        <w:rPr>
          <w:rFonts w:hint="eastAsia"/>
          <w:color w:val="auto"/>
          <w:lang w:val="en-US" w:eastAsia="zh-CN"/>
        </w:rPr>
        <w:t>3</w:t>
      </w:r>
      <w:r>
        <w:rPr>
          <w:color w:val="auto"/>
        </w:rPr>
        <w:t>—</w:t>
      </w:r>
      <w:r>
        <w:rPr>
          <w:rFonts w:hint="eastAsia"/>
          <w:color w:val="auto"/>
          <w:lang w:val="en-US" w:eastAsia="zh-CN"/>
        </w:rPr>
        <w:t>箍筋</w:t>
      </w:r>
      <w:r>
        <w:rPr>
          <w:color w:val="auto"/>
        </w:rPr>
        <w:t>；</w:t>
      </w:r>
    </w:p>
    <w:p w14:paraId="4A21D2D0">
      <w:pPr>
        <w:pStyle w:val="45"/>
        <w:rPr>
          <w:rFonts w:hint="default" w:eastAsia="黑体"/>
          <w:color w:val="auto"/>
          <w:lang w:val="en-US" w:eastAsia="zh-CN"/>
        </w:rPr>
      </w:pPr>
      <w:r>
        <w:rPr>
          <w:rFonts w:hint="eastAsia"/>
          <w:color w:val="auto"/>
          <w:lang w:val="en-US" w:eastAsia="zh-CN"/>
        </w:rPr>
        <w:t>4</w:t>
      </w:r>
      <w:r>
        <w:rPr>
          <w:color w:val="auto"/>
        </w:rPr>
        <w:t>—</w:t>
      </w:r>
      <w:r>
        <w:rPr>
          <w:rFonts w:hint="eastAsia"/>
          <w:color w:val="auto"/>
          <w:lang w:val="en-US" w:eastAsia="zh-CN"/>
        </w:rPr>
        <w:t>整体式柱端钢组件</w:t>
      </w:r>
      <w:r>
        <w:rPr>
          <w:color w:val="auto"/>
        </w:rPr>
        <w:t>；</w:t>
      </w:r>
      <w:r>
        <w:rPr>
          <w:rFonts w:hint="eastAsia"/>
          <w:color w:val="auto"/>
          <w:lang w:val="en-US" w:eastAsia="zh-CN"/>
        </w:rPr>
        <w:t>5</w:t>
      </w:r>
      <w:r>
        <w:rPr>
          <w:color w:val="auto"/>
        </w:rPr>
        <w:t>—</w:t>
      </w:r>
      <w:r>
        <w:rPr>
          <w:rFonts w:hint="eastAsia"/>
          <w:color w:val="auto"/>
          <w:lang w:val="en-US" w:eastAsia="zh-CN"/>
        </w:rPr>
        <w:t>分体式柱端钢组件</w:t>
      </w:r>
    </w:p>
    <w:p w14:paraId="288A3F71">
      <w:pPr>
        <w:pStyle w:val="45"/>
        <w:rPr>
          <w:rFonts w:hint="eastAsia"/>
          <w:color w:val="auto"/>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29</w:t>
      </w:r>
      <w:r>
        <w:rPr>
          <w:color w:val="auto"/>
        </w:rPr>
        <w:t xml:space="preserve"> </w:t>
      </w:r>
      <w:r>
        <w:rPr>
          <w:rFonts w:hint="eastAsia"/>
          <w:color w:val="auto"/>
        </w:rPr>
        <w:t xml:space="preserve"> </w:t>
      </w:r>
      <w:r>
        <w:rPr>
          <w:rFonts w:hint="eastAsia"/>
        </w:rPr>
        <w:t>预制柱的纵向受力钢筋和箍筋配置</w:t>
      </w:r>
      <w:r>
        <w:rPr>
          <w:rFonts w:hint="eastAsia"/>
          <w:color w:val="auto"/>
        </w:rPr>
        <w:t>示意</w:t>
      </w:r>
    </w:p>
    <w:p w14:paraId="4900B8B8">
      <w:pPr>
        <w:pStyle w:val="45"/>
        <w:rPr>
          <w:rFonts w:hint="eastAsia"/>
          <w:color w:val="auto"/>
        </w:rPr>
      </w:pPr>
    </w:p>
    <w:p w14:paraId="2AD166A4">
      <w:pPr>
        <w:pStyle w:val="42"/>
      </w:pPr>
      <w:r>
        <w:rPr>
          <w:rFonts w:hint="eastAsia"/>
          <w:lang w:val="en-US" w:eastAsia="zh-CN"/>
        </w:rPr>
        <w:t>对于矩形柱钢组件框架结构，</w:t>
      </w:r>
      <w:r>
        <w:rPr>
          <w:rFonts w:hint="eastAsia"/>
        </w:rPr>
        <w:t>预制柱的轴压比不宜超过</w:t>
      </w:r>
      <w:r>
        <w:t>表5.</w:t>
      </w:r>
      <w:r>
        <w:rPr>
          <w:rFonts w:hint="eastAsia"/>
          <w:lang w:val="en-US" w:eastAsia="zh-CN"/>
        </w:rPr>
        <w:t>2.30</w:t>
      </w:r>
      <w:r>
        <w:t>的规定；建造于Ⅳ类场地且较高的高层建筑，柱轴压比限值应适当减小。</w:t>
      </w:r>
    </w:p>
    <w:p w14:paraId="7983396C">
      <w:pPr>
        <w:pStyle w:val="45"/>
        <w:rPr>
          <w:color w:val="auto"/>
        </w:rPr>
      </w:pPr>
      <w:r>
        <w:rPr>
          <w:rFonts w:hint="eastAsia"/>
          <w:color w:val="auto"/>
        </w:rPr>
        <w:t>表5.</w:t>
      </w:r>
      <w:r>
        <w:rPr>
          <w:rFonts w:hint="eastAsia"/>
          <w:color w:val="auto"/>
          <w:lang w:val="en-US" w:eastAsia="zh-CN"/>
        </w:rPr>
        <w:t>2</w:t>
      </w:r>
      <w:r>
        <w:rPr>
          <w:rFonts w:hint="eastAsia"/>
          <w:color w:val="auto"/>
        </w:rPr>
        <w:t>.</w:t>
      </w:r>
      <w:r>
        <w:rPr>
          <w:rFonts w:hint="eastAsia"/>
          <w:color w:val="auto"/>
          <w:lang w:val="en-US" w:eastAsia="zh-CN"/>
        </w:rPr>
        <w:t>30</w:t>
      </w:r>
      <w:r>
        <w:rPr>
          <w:rFonts w:hint="eastAsia"/>
          <w:color w:val="auto"/>
        </w:rPr>
        <w:t xml:space="preserve">  </w:t>
      </w:r>
      <w:r>
        <w:rPr>
          <w:rFonts w:hint="eastAsia"/>
          <w:color w:val="auto"/>
          <w:lang w:val="en-US" w:eastAsia="zh-CN"/>
        </w:rPr>
        <w:t>矩形预制</w:t>
      </w:r>
      <w:r>
        <w:rPr>
          <w:rFonts w:hint="eastAsia"/>
          <w:color w:val="auto"/>
        </w:rPr>
        <w:t>柱轴压比限值</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1461"/>
        <w:gridCol w:w="1465"/>
        <w:gridCol w:w="1465"/>
        <w:gridCol w:w="1480"/>
      </w:tblGrid>
      <w:tr w14:paraId="49C7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pct"/>
            <w:vAlign w:val="center"/>
          </w:tcPr>
          <w:p w14:paraId="1093BDF1">
            <w:pPr>
              <w:pStyle w:val="47"/>
              <w:rPr>
                <w:color w:val="auto"/>
              </w:rPr>
            </w:pPr>
            <w:r>
              <w:rPr>
                <w:rFonts w:hint="eastAsia"/>
                <w:color w:val="auto"/>
              </w:rPr>
              <w:t>抗震等级</w:t>
            </w:r>
          </w:p>
        </w:tc>
        <w:tc>
          <w:tcPr>
            <w:tcW w:w="858" w:type="pct"/>
            <w:vAlign w:val="center"/>
          </w:tcPr>
          <w:p w14:paraId="1D7A8ADE">
            <w:pPr>
              <w:pStyle w:val="47"/>
              <w:rPr>
                <w:color w:val="auto"/>
              </w:rPr>
            </w:pPr>
            <w:r>
              <w:rPr>
                <w:rFonts w:hint="eastAsia"/>
                <w:color w:val="auto"/>
              </w:rPr>
              <w:t>一</w:t>
            </w:r>
          </w:p>
        </w:tc>
        <w:tc>
          <w:tcPr>
            <w:tcW w:w="860" w:type="pct"/>
            <w:vAlign w:val="center"/>
          </w:tcPr>
          <w:p w14:paraId="51920D28">
            <w:pPr>
              <w:pStyle w:val="47"/>
              <w:rPr>
                <w:color w:val="auto"/>
              </w:rPr>
            </w:pPr>
            <w:r>
              <w:rPr>
                <w:rFonts w:hint="eastAsia"/>
                <w:color w:val="auto"/>
              </w:rPr>
              <w:t>二</w:t>
            </w:r>
          </w:p>
        </w:tc>
        <w:tc>
          <w:tcPr>
            <w:tcW w:w="860" w:type="pct"/>
            <w:vAlign w:val="center"/>
          </w:tcPr>
          <w:p w14:paraId="4ED065AE">
            <w:pPr>
              <w:pStyle w:val="47"/>
              <w:rPr>
                <w:color w:val="auto"/>
              </w:rPr>
            </w:pPr>
            <w:r>
              <w:rPr>
                <w:rFonts w:hint="eastAsia"/>
                <w:color w:val="auto"/>
              </w:rPr>
              <w:t>三</w:t>
            </w:r>
          </w:p>
        </w:tc>
        <w:tc>
          <w:tcPr>
            <w:tcW w:w="869" w:type="pct"/>
            <w:vAlign w:val="center"/>
          </w:tcPr>
          <w:p w14:paraId="0324896F">
            <w:pPr>
              <w:pStyle w:val="47"/>
              <w:rPr>
                <w:color w:val="auto"/>
              </w:rPr>
            </w:pPr>
            <w:r>
              <w:rPr>
                <w:rFonts w:hint="eastAsia"/>
                <w:color w:val="auto"/>
              </w:rPr>
              <w:t>四</w:t>
            </w:r>
          </w:p>
        </w:tc>
      </w:tr>
      <w:tr w14:paraId="6B9D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1" w:type="pct"/>
            <w:vAlign w:val="center"/>
          </w:tcPr>
          <w:p w14:paraId="79AC218D">
            <w:pPr>
              <w:pStyle w:val="47"/>
              <w:rPr>
                <w:color w:val="auto"/>
              </w:rPr>
            </w:pPr>
            <w:r>
              <w:rPr>
                <w:rFonts w:hint="eastAsia"/>
                <w:color w:val="auto"/>
                <w:lang w:val="en-US" w:eastAsia="zh-CN"/>
              </w:rPr>
              <w:t>轴压比</w:t>
            </w:r>
          </w:p>
        </w:tc>
        <w:tc>
          <w:tcPr>
            <w:tcW w:w="858" w:type="pct"/>
            <w:vAlign w:val="center"/>
          </w:tcPr>
          <w:p w14:paraId="45803419">
            <w:pPr>
              <w:pStyle w:val="47"/>
              <w:rPr>
                <w:color w:val="auto"/>
              </w:rPr>
            </w:pPr>
            <w:r>
              <w:rPr>
                <w:rFonts w:hint="eastAsia"/>
                <w:color w:val="auto"/>
              </w:rPr>
              <w:t>0.65</w:t>
            </w:r>
          </w:p>
        </w:tc>
        <w:tc>
          <w:tcPr>
            <w:tcW w:w="860" w:type="pct"/>
            <w:vAlign w:val="center"/>
          </w:tcPr>
          <w:p w14:paraId="33C81799">
            <w:pPr>
              <w:pStyle w:val="47"/>
              <w:rPr>
                <w:color w:val="auto"/>
              </w:rPr>
            </w:pPr>
            <w:r>
              <w:rPr>
                <w:rFonts w:hint="eastAsia"/>
                <w:color w:val="auto"/>
              </w:rPr>
              <w:t>0.75</w:t>
            </w:r>
          </w:p>
        </w:tc>
        <w:tc>
          <w:tcPr>
            <w:tcW w:w="860" w:type="pct"/>
            <w:vAlign w:val="center"/>
          </w:tcPr>
          <w:p w14:paraId="768C81D6">
            <w:pPr>
              <w:pStyle w:val="47"/>
              <w:rPr>
                <w:color w:val="auto"/>
              </w:rPr>
            </w:pPr>
            <w:r>
              <w:rPr>
                <w:rFonts w:hint="eastAsia"/>
                <w:color w:val="auto"/>
              </w:rPr>
              <w:t>0.85</w:t>
            </w:r>
          </w:p>
        </w:tc>
        <w:tc>
          <w:tcPr>
            <w:tcW w:w="869" w:type="pct"/>
            <w:vAlign w:val="center"/>
          </w:tcPr>
          <w:p w14:paraId="1EF7CE1D">
            <w:pPr>
              <w:pStyle w:val="47"/>
              <w:rPr>
                <w:color w:val="auto"/>
              </w:rPr>
            </w:pPr>
            <w:r>
              <w:rPr>
                <w:rFonts w:hint="eastAsia"/>
                <w:color w:val="auto"/>
              </w:rPr>
              <w:t>0.90</w:t>
            </w:r>
          </w:p>
        </w:tc>
      </w:tr>
    </w:tbl>
    <w:p w14:paraId="41F26D08">
      <w:pPr>
        <w:keepNext w:val="0"/>
        <w:keepLines w:val="0"/>
        <w:pageBreakBefore w:val="0"/>
        <w:widowControl w:val="0"/>
        <w:kinsoku/>
        <w:wordWrap/>
        <w:overflowPunct/>
        <w:topLinePunct w:val="0"/>
        <w:autoSpaceDE/>
        <w:autoSpaceDN/>
        <w:bidi w:val="0"/>
        <w:adjustRightInd w:val="0"/>
        <w:snapToGrid w:val="0"/>
        <w:ind w:left="735" w:leftChars="0" w:hanging="735" w:hangingChars="350"/>
        <w:textAlignment w:val="auto"/>
        <w:rPr>
          <w:rFonts w:hint="eastAsia"/>
          <w:color w:val="auto"/>
          <w:sz w:val="21"/>
          <w:szCs w:val="21"/>
        </w:rPr>
      </w:pPr>
      <w:r>
        <w:rPr>
          <w:rFonts w:hint="eastAsia"/>
          <w:color w:val="auto"/>
          <w:sz w:val="21"/>
          <w:szCs w:val="21"/>
        </w:rPr>
        <w:t>注</w:t>
      </w:r>
      <w:r>
        <w:rPr>
          <w:rFonts w:hint="eastAsia"/>
          <w:color w:val="auto"/>
          <w:sz w:val="21"/>
          <w:szCs w:val="21"/>
          <w:lang w:eastAsia="zh-CN"/>
        </w:rPr>
        <w:t>：</w:t>
      </w:r>
      <w:r>
        <w:rPr>
          <w:rFonts w:hint="eastAsia"/>
          <w:color w:val="auto"/>
          <w:sz w:val="21"/>
          <w:szCs w:val="21"/>
        </w:rPr>
        <w:t>1 轴压比指柱组合的轴压力设计值与柱的全截面面积和混凝土轴心抗压强度设计值乘积</w:t>
      </w:r>
    </w:p>
    <w:p w14:paraId="54FCDFDD">
      <w:pPr>
        <w:ind w:firstLine="630" w:firstLineChars="300"/>
        <w:rPr>
          <w:color w:val="auto"/>
          <w:sz w:val="21"/>
          <w:szCs w:val="21"/>
        </w:rPr>
      </w:pPr>
      <w:r>
        <w:rPr>
          <w:rFonts w:hint="eastAsia"/>
          <w:color w:val="auto"/>
          <w:sz w:val="21"/>
          <w:szCs w:val="21"/>
        </w:rPr>
        <w:t>之比值；</w:t>
      </w:r>
    </w:p>
    <w:p w14:paraId="71AA7468">
      <w:pPr>
        <w:ind w:left="628" w:leftChars="174" w:hanging="210" w:hangingChars="100"/>
        <w:rPr>
          <w:color w:val="auto"/>
          <w:sz w:val="21"/>
          <w:szCs w:val="21"/>
        </w:rPr>
      </w:pPr>
      <w:r>
        <w:rPr>
          <w:rFonts w:hint="eastAsia"/>
          <w:color w:val="auto"/>
          <w:sz w:val="21"/>
          <w:szCs w:val="21"/>
        </w:rPr>
        <w:t>2 表内限值适用于剪跨比大于2、混凝土强度等级不高于C60的柱；剪跨比不大于2的柱，轴压比限值应降低0.05；</w:t>
      </w:r>
    </w:p>
    <w:p w14:paraId="763B4D9B">
      <w:pPr>
        <w:ind w:left="628" w:leftChars="174" w:hanging="210" w:hangingChars="100"/>
      </w:pPr>
      <w:r>
        <w:rPr>
          <w:rFonts w:hint="eastAsia"/>
          <w:color w:val="auto"/>
          <w:sz w:val="21"/>
          <w:szCs w:val="21"/>
        </w:rPr>
        <w:t>3 当沿柱采用井字复合箍，箍筋间距不大于100mm、肢距不大于200mm、直径不小于12mm，轴压比限值可增加0.10；</w:t>
      </w:r>
    </w:p>
    <w:p w14:paraId="1A27A311">
      <w:pPr>
        <w:rPr>
          <w:rFonts w:hint="eastAsia"/>
          <w:color w:val="auto"/>
          <w:sz w:val="21"/>
          <w:szCs w:val="21"/>
        </w:rPr>
      </w:pPr>
      <w:r>
        <w:rPr>
          <w:rFonts w:hint="eastAsia"/>
          <w:color w:val="auto"/>
          <w:sz w:val="21"/>
          <w:szCs w:val="21"/>
          <w:lang w:val="en-US" w:eastAsia="zh-CN"/>
        </w:rPr>
        <w:t>4</w:t>
      </w:r>
      <w:r>
        <w:rPr>
          <w:rFonts w:hint="eastAsia"/>
          <w:color w:val="auto"/>
          <w:sz w:val="21"/>
          <w:szCs w:val="21"/>
        </w:rPr>
        <w:t xml:space="preserve"> 调整后的柱轴压比限值不应大于1.05。</w:t>
      </w:r>
    </w:p>
    <w:p w14:paraId="33C07336">
      <w:pPr>
        <w:rPr>
          <w:rFonts w:hint="eastAsia"/>
          <w:color w:val="auto"/>
          <w:sz w:val="21"/>
          <w:szCs w:val="21"/>
        </w:rPr>
      </w:pPr>
    </w:p>
    <w:p w14:paraId="4059AC4D">
      <w:pPr>
        <w:pStyle w:val="42"/>
      </w:pPr>
      <w:r>
        <w:rPr>
          <w:rFonts w:hint="eastAsia"/>
          <w:lang w:val="en-US" w:eastAsia="zh-CN"/>
        </w:rPr>
        <w:t>对于异形柱钢组件框架结构，</w:t>
      </w:r>
      <w:r>
        <w:rPr>
          <w:rFonts w:hint="eastAsia"/>
        </w:rPr>
        <w:t>预制柱的轴压比不宜超过</w:t>
      </w:r>
      <w:r>
        <w:t>表5.</w:t>
      </w:r>
      <w:r>
        <w:rPr>
          <w:rFonts w:hint="eastAsia"/>
          <w:lang w:val="en-US" w:eastAsia="zh-CN"/>
        </w:rPr>
        <w:t>2.31</w:t>
      </w:r>
      <w:r>
        <w:t>的规定</w:t>
      </w:r>
      <w:r>
        <w:rPr>
          <w:rFonts w:hint="eastAsia"/>
          <w:lang w:eastAsia="zh-CN"/>
        </w:rPr>
        <w:t>。</w:t>
      </w:r>
    </w:p>
    <w:p w14:paraId="3F9BBF36">
      <w:pPr>
        <w:pStyle w:val="45"/>
        <w:rPr>
          <w:color w:val="auto"/>
        </w:rPr>
      </w:pPr>
      <w:r>
        <w:rPr>
          <w:rFonts w:hint="eastAsia"/>
          <w:color w:val="auto"/>
        </w:rPr>
        <w:t>表5.</w:t>
      </w:r>
      <w:r>
        <w:rPr>
          <w:rFonts w:hint="eastAsia"/>
          <w:color w:val="auto"/>
          <w:lang w:val="en-US" w:eastAsia="zh-CN"/>
        </w:rPr>
        <w:t>2</w:t>
      </w:r>
      <w:r>
        <w:rPr>
          <w:rFonts w:hint="eastAsia"/>
          <w:color w:val="auto"/>
        </w:rPr>
        <w:t>.</w:t>
      </w:r>
      <w:r>
        <w:rPr>
          <w:rFonts w:hint="eastAsia"/>
          <w:color w:val="auto"/>
          <w:lang w:val="en-US" w:eastAsia="zh-CN"/>
        </w:rPr>
        <w:t>31</w:t>
      </w:r>
      <w:r>
        <w:rPr>
          <w:rFonts w:hint="eastAsia"/>
          <w:color w:val="auto"/>
        </w:rPr>
        <w:t xml:space="preserve">  </w:t>
      </w:r>
      <w:r>
        <w:rPr>
          <w:rFonts w:hint="eastAsia"/>
          <w:color w:val="auto"/>
          <w:lang w:val="en-US" w:eastAsia="zh-CN"/>
        </w:rPr>
        <w:t>异形预制</w:t>
      </w:r>
      <w:r>
        <w:rPr>
          <w:rFonts w:hint="eastAsia"/>
          <w:color w:val="auto"/>
        </w:rPr>
        <w:t>柱轴压比限值</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1461"/>
        <w:gridCol w:w="1465"/>
        <w:gridCol w:w="1465"/>
        <w:gridCol w:w="1480"/>
      </w:tblGrid>
      <w:tr w14:paraId="0DDD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pct"/>
            <w:vMerge w:val="restart"/>
            <w:vAlign w:val="center"/>
          </w:tcPr>
          <w:p w14:paraId="05648EBA">
            <w:pPr>
              <w:pStyle w:val="47"/>
              <w:rPr>
                <w:color w:val="auto"/>
              </w:rPr>
            </w:pPr>
            <w:r>
              <w:rPr>
                <w:rFonts w:hint="eastAsia"/>
                <w:color w:val="auto"/>
                <w:lang w:val="en-US" w:eastAsia="zh-CN"/>
              </w:rPr>
              <w:t>截面形式</w:t>
            </w:r>
          </w:p>
        </w:tc>
        <w:tc>
          <w:tcPr>
            <w:tcW w:w="3447" w:type="pct"/>
            <w:gridSpan w:val="4"/>
            <w:vAlign w:val="center"/>
          </w:tcPr>
          <w:p w14:paraId="4D88DEA5">
            <w:pPr>
              <w:pStyle w:val="47"/>
              <w:rPr>
                <w:rFonts w:hint="eastAsia"/>
                <w:color w:val="auto"/>
              </w:rPr>
            </w:pPr>
            <w:r>
              <w:rPr>
                <w:rFonts w:hint="eastAsia"/>
                <w:color w:val="auto"/>
              </w:rPr>
              <w:t>抗震等级</w:t>
            </w:r>
          </w:p>
        </w:tc>
      </w:tr>
      <w:tr w14:paraId="3F21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pct"/>
            <w:vMerge w:val="continue"/>
            <w:vAlign w:val="center"/>
          </w:tcPr>
          <w:p w14:paraId="544A07A1">
            <w:pPr>
              <w:pStyle w:val="47"/>
              <w:rPr>
                <w:color w:val="auto"/>
              </w:rPr>
            </w:pPr>
          </w:p>
        </w:tc>
        <w:tc>
          <w:tcPr>
            <w:tcW w:w="858" w:type="pct"/>
            <w:vAlign w:val="center"/>
          </w:tcPr>
          <w:p w14:paraId="12BDBDCD">
            <w:pPr>
              <w:pStyle w:val="47"/>
              <w:rPr>
                <w:color w:val="auto"/>
              </w:rPr>
            </w:pPr>
            <w:r>
              <w:rPr>
                <w:rFonts w:hint="eastAsia"/>
                <w:color w:val="auto"/>
              </w:rPr>
              <w:t>一</w:t>
            </w:r>
          </w:p>
        </w:tc>
        <w:tc>
          <w:tcPr>
            <w:tcW w:w="860" w:type="pct"/>
            <w:vAlign w:val="center"/>
          </w:tcPr>
          <w:p w14:paraId="3F64B63C">
            <w:pPr>
              <w:pStyle w:val="47"/>
              <w:rPr>
                <w:color w:val="auto"/>
              </w:rPr>
            </w:pPr>
            <w:r>
              <w:rPr>
                <w:rFonts w:hint="eastAsia"/>
                <w:color w:val="auto"/>
              </w:rPr>
              <w:t>二</w:t>
            </w:r>
          </w:p>
        </w:tc>
        <w:tc>
          <w:tcPr>
            <w:tcW w:w="860" w:type="pct"/>
            <w:vAlign w:val="center"/>
          </w:tcPr>
          <w:p w14:paraId="466FD093">
            <w:pPr>
              <w:pStyle w:val="47"/>
              <w:rPr>
                <w:color w:val="auto"/>
              </w:rPr>
            </w:pPr>
            <w:r>
              <w:rPr>
                <w:rFonts w:hint="eastAsia"/>
                <w:color w:val="auto"/>
              </w:rPr>
              <w:t>三</w:t>
            </w:r>
          </w:p>
        </w:tc>
        <w:tc>
          <w:tcPr>
            <w:tcW w:w="867" w:type="pct"/>
            <w:vAlign w:val="center"/>
          </w:tcPr>
          <w:p w14:paraId="1C0BC561">
            <w:pPr>
              <w:pStyle w:val="47"/>
              <w:rPr>
                <w:color w:val="auto"/>
              </w:rPr>
            </w:pPr>
            <w:r>
              <w:rPr>
                <w:rFonts w:hint="eastAsia"/>
                <w:color w:val="auto"/>
              </w:rPr>
              <w:t>四</w:t>
            </w:r>
          </w:p>
        </w:tc>
      </w:tr>
      <w:tr w14:paraId="1279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pct"/>
            <w:vAlign w:val="center"/>
          </w:tcPr>
          <w:p w14:paraId="60F4476C">
            <w:pPr>
              <w:pStyle w:val="47"/>
              <w:rPr>
                <w:rFonts w:hint="default" w:eastAsia="宋体"/>
                <w:color w:val="auto"/>
                <w:lang w:val="en-US" w:eastAsia="zh-CN"/>
              </w:rPr>
            </w:pPr>
            <w:r>
              <w:rPr>
                <w:rFonts w:hint="eastAsia"/>
                <w:color w:val="auto"/>
                <w:lang w:val="en-US" w:eastAsia="zh-CN"/>
              </w:rPr>
              <w:t>L形</w:t>
            </w:r>
          </w:p>
        </w:tc>
        <w:tc>
          <w:tcPr>
            <w:tcW w:w="858" w:type="pct"/>
            <w:vAlign w:val="center"/>
          </w:tcPr>
          <w:p w14:paraId="66B9D9E8">
            <w:pPr>
              <w:pStyle w:val="47"/>
              <w:rPr>
                <w:rFonts w:hint="eastAsia" w:eastAsia="宋体"/>
                <w:color w:val="auto"/>
                <w:lang w:eastAsia="zh-CN"/>
              </w:rPr>
            </w:pPr>
            <w:r>
              <w:rPr>
                <w:rFonts w:hint="eastAsia"/>
                <w:color w:val="auto"/>
                <w:lang w:eastAsia="zh-CN"/>
              </w:rPr>
              <w:t>—</w:t>
            </w:r>
          </w:p>
        </w:tc>
        <w:tc>
          <w:tcPr>
            <w:tcW w:w="860" w:type="pct"/>
            <w:vAlign w:val="center"/>
          </w:tcPr>
          <w:p w14:paraId="5F614119">
            <w:pPr>
              <w:pStyle w:val="47"/>
              <w:rPr>
                <w:rFonts w:hint="default" w:eastAsia="宋体"/>
                <w:color w:val="auto"/>
                <w:lang w:val="en-US" w:eastAsia="zh-CN"/>
              </w:rPr>
            </w:pPr>
            <w:r>
              <w:rPr>
                <w:rFonts w:hint="eastAsia"/>
                <w:color w:val="auto"/>
                <w:lang w:val="en-US" w:eastAsia="zh-CN"/>
              </w:rPr>
              <w:t>0.50</w:t>
            </w:r>
          </w:p>
        </w:tc>
        <w:tc>
          <w:tcPr>
            <w:tcW w:w="860" w:type="pct"/>
            <w:vAlign w:val="center"/>
          </w:tcPr>
          <w:p w14:paraId="084292EB">
            <w:pPr>
              <w:pStyle w:val="47"/>
              <w:rPr>
                <w:rFonts w:hint="default" w:eastAsia="宋体"/>
                <w:color w:val="auto"/>
                <w:lang w:val="en-US" w:eastAsia="zh-CN"/>
              </w:rPr>
            </w:pPr>
            <w:r>
              <w:rPr>
                <w:rFonts w:hint="eastAsia"/>
                <w:color w:val="auto"/>
                <w:lang w:val="en-US" w:eastAsia="zh-CN"/>
              </w:rPr>
              <w:t>0.60</w:t>
            </w:r>
          </w:p>
        </w:tc>
        <w:tc>
          <w:tcPr>
            <w:tcW w:w="867" w:type="pct"/>
            <w:vAlign w:val="center"/>
          </w:tcPr>
          <w:p w14:paraId="2235C795">
            <w:pPr>
              <w:pStyle w:val="47"/>
              <w:rPr>
                <w:rFonts w:hint="default" w:eastAsia="宋体"/>
                <w:color w:val="auto"/>
                <w:lang w:val="en-US" w:eastAsia="zh-CN"/>
              </w:rPr>
            </w:pPr>
            <w:r>
              <w:rPr>
                <w:rFonts w:hint="eastAsia"/>
                <w:color w:val="auto"/>
                <w:lang w:val="en-US" w:eastAsia="zh-CN"/>
              </w:rPr>
              <w:t>0.70</w:t>
            </w:r>
          </w:p>
        </w:tc>
      </w:tr>
      <w:tr w14:paraId="17F6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pct"/>
            <w:vAlign w:val="center"/>
          </w:tcPr>
          <w:p w14:paraId="6B341D22">
            <w:pPr>
              <w:pStyle w:val="47"/>
              <w:rPr>
                <w:rFonts w:hint="eastAsia"/>
                <w:color w:val="auto"/>
                <w:lang w:val="en-US" w:eastAsia="zh-CN"/>
              </w:rPr>
            </w:pPr>
            <w:r>
              <w:rPr>
                <w:rFonts w:hint="eastAsia"/>
                <w:color w:val="auto"/>
                <w:lang w:val="en-US" w:eastAsia="zh-CN"/>
              </w:rPr>
              <w:t>T形</w:t>
            </w:r>
          </w:p>
        </w:tc>
        <w:tc>
          <w:tcPr>
            <w:tcW w:w="858" w:type="pct"/>
            <w:shd w:val="clear" w:color="auto" w:fill="auto"/>
            <w:vAlign w:val="center"/>
          </w:tcPr>
          <w:p w14:paraId="02A20573">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eastAsia="zh-CN"/>
              </w:rPr>
              <w:t>—</w:t>
            </w:r>
          </w:p>
        </w:tc>
        <w:tc>
          <w:tcPr>
            <w:tcW w:w="860" w:type="pct"/>
            <w:shd w:val="clear" w:color="auto" w:fill="auto"/>
            <w:vAlign w:val="center"/>
          </w:tcPr>
          <w:p w14:paraId="755F8B73">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olor w:val="auto"/>
                <w:lang w:val="en-US" w:eastAsia="zh-CN"/>
              </w:rPr>
              <w:t>0.55</w:t>
            </w:r>
          </w:p>
        </w:tc>
        <w:tc>
          <w:tcPr>
            <w:tcW w:w="860" w:type="pct"/>
            <w:shd w:val="clear" w:color="auto" w:fill="auto"/>
            <w:vAlign w:val="center"/>
          </w:tcPr>
          <w:p w14:paraId="00926402">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olor w:val="auto"/>
                <w:lang w:val="en-US" w:eastAsia="zh-CN"/>
              </w:rPr>
              <w:t>0.65</w:t>
            </w:r>
          </w:p>
        </w:tc>
        <w:tc>
          <w:tcPr>
            <w:tcW w:w="867" w:type="pct"/>
            <w:shd w:val="clear" w:color="auto" w:fill="auto"/>
            <w:vAlign w:val="center"/>
          </w:tcPr>
          <w:p w14:paraId="13EF916F">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olor w:val="auto"/>
                <w:lang w:val="en-US" w:eastAsia="zh-CN"/>
              </w:rPr>
              <w:t>0.75</w:t>
            </w:r>
          </w:p>
        </w:tc>
      </w:tr>
    </w:tbl>
    <w:p w14:paraId="551C0119">
      <w:pPr>
        <w:ind w:firstLine="0" w:firstLineChars="0"/>
        <w:rPr>
          <w:color w:val="auto"/>
          <w:sz w:val="21"/>
          <w:szCs w:val="21"/>
        </w:rPr>
      </w:pPr>
      <w:r>
        <w:rPr>
          <w:rFonts w:hint="eastAsia"/>
          <w:color w:val="auto"/>
          <w:sz w:val="21"/>
          <w:szCs w:val="21"/>
        </w:rPr>
        <w:t>注</w:t>
      </w:r>
      <w:r>
        <w:rPr>
          <w:rFonts w:hint="eastAsia"/>
          <w:color w:val="auto"/>
          <w:sz w:val="21"/>
          <w:szCs w:val="21"/>
          <w:lang w:eastAsia="zh-CN"/>
        </w:rPr>
        <w:t>：</w:t>
      </w:r>
      <w:r>
        <w:rPr>
          <w:rFonts w:hint="eastAsia"/>
          <w:color w:val="auto"/>
          <w:sz w:val="21"/>
          <w:szCs w:val="21"/>
        </w:rPr>
        <w:t>1 剪跨比</w:t>
      </w:r>
      <w:r>
        <w:rPr>
          <w:rFonts w:hint="eastAsia"/>
          <w:color w:val="auto"/>
          <w:sz w:val="21"/>
          <w:szCs w:val="21"/>
          <w:lang w:val="en-US" w:eastAsia="zh-CN"/>
        </w:rPr>
        <w:t>不</w:t>
      </w:r>
      <w:r>
        <w:rPr>
          <w:rFonts w:hint="eastAsia"/>
          <w:color w:val="auto"/>
          <w:sz w:val="21"/>
          <w:szCs w:val="21"/>
        </w:rPr>
        <w:t>大于2</w:t>
      </w:r>
      <w:r>
        <w:rPr>
          <w:rFonts w:hint="eastAsia"/>
          <w:color w:val="auto"/>
          <w:sz w:val="21"/>
          <w:szCs w:val="21"/>
          <w:lang w:val="en-US" w:eastAsia="zh-CN"/>
        </w:rPr>
        <w:t>的异形柱，</w:t>
      </w:r>
      <w:r>
        <w:rPr>
          <w:rFonts w:hint="eastAsia"/>
          <w:color w:val="auto"/>
          <w:sz w:val="21"/>
          <w:szCs w:val="21"/>
        </w:rPr>
        <w:t>轴压比限值</w:t>
      </w:r>
      <w:r>
        <w:rPr>
          <w:rFonts w:hint="eastAsia"/>
          <w:color w:val="auto"/>
          <w:sz w:val="21"/>
          <w:szCs w:val="21"/>
          <w:lang w:val="en-US" w:eastAsia="zh-CN"/>
        </w:rPr>
        <w:t>应按表内相应数值减少0.05</w:t>
      </w:r>
      <w:r>
        <w:rPr>
          <w:rFonts w:hint="eastAsia"/>
          <w:color w:val="auto"/>
          <w:sz w:val="21"/>
          <w:szCs w:val="21"/>
        </w:rPr>
        <w:t>；</w:t>
      </w:r>
    </w:p>
    <w:p w14:paraId="533916C0">
      <w:pPr>
        <w:ind w:firstLine="420" w:firstLineChars="200"/>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 </w:t>
      </w:r>
      <w:r>
        <w:rPr>
          <w:rFonts w:hint="eastAsia"/>
          <w:color w:val="auto"/>
          <w:sz w:val="21"/>
          <w:szCs w:val="21"/>
          <w:lang w:val="en-US" w:eastAsia="zh-CN"/>
        </w:rPr>
        <w:t>纵向受力钢筋采用500MPa级钢筋时，轴压比限值应按表内相应数值减少0.05。</w:t>
      </w:r>
    </w:p>
    <w:p w14:paraId="76C1FC59">
      <w:pPr>
        <w:ind w:firstLine="420" w:firstLineChars="200"/>
        <w:rPr>
          <w:rFonts w:hint="eastAsia" w:eastAsia="宋体"/>
          <w:color w:val="auto"/>
          <w:sz w:val="21"/>
          <w:szCs w:val="21"/>
          <w:lang w:val="en-US" w:eastAsia="zh-CN"/>
        </w:rPr>
      </w:pPr>
    </w:p>
    <w:p w14:paraId="70CC98E1">
      <w:pPr>
        <w:pStyle w:val="42"/>
      </w:pPr>
      <w:r>
        <w:rPr>
          <w:rFonts w:hint="eastAsia"/>
          <w:color w:val="auto"/>
        </w:rPr>
        <w:t>预制</w:t>
      </w:r>
      <w:r>
        <w:rPr>
          <w:rFonts w:hint="eastAsia"/>
          <w:color w:val="auto"/>
          <w:lang w:eastAsia="zh-CN"/>
        </w:rPr>
        <w:t>柱</w:t>
      </w:r>
      <w:r>
        <w:rPr>
          <w:rFonts w:hint="eastAsia"/>
          <w:color w:val="auto"/>
          <w:lang w:val="en-US" w:eastAsia="zh-CN"/>
        </w:rPr>
        <w:t>应按混凝土柱身进行正截面承载力和斜截面受剪承载力计算，其中</w:t>
      </w:r>
      <w:r>
        <w:rPr>
          <w:rFonts w:hint="eastAsia"/>
          <w:lang w:val="en-US" w:eastAsia="zh-CN"/>
        </w:rPr>
        <w:t>矩形柱的承载力计算</w:t>
      </w:r>
      <w:r>
        <w:rPr>
          <w:rFonts w:hint="eastAsia"/>
          <w:color w:val="auto"/>
        </w:rPr>
        <w:t>应符合现行国家标准</w:t>
      </w:r>
      <w:r>
        <w:rPr>
          <w:rFonts w:hint="eastAsia"/>
          <w:color w:val="auto"/>
          <w:lang w:eastAsia="zh-CN"/>
        </w:rPr>
        <w:t>《混凝土结构设计标准》GB/T 50010</w:t>
      </w:r>
      <w:r>
        <w:rPr>
          <w:rFonts w:hint="eastAsia"/>
          <w:color w:val="auto"/>
        </w:rPr>
        <w:t>的有关规定</w:t>
      </w:r>
      <w:r>
        <w:rPr>
          <w:rFonts w:hint="eastAsia"/>
          <w:color w:val="auto"/>
          <w:lang w:eastAsia="zh-CN"/>
        </w:rPr>
        <w:t>，</w:t>
      </w:r>
      <w:r>
        <w:rPr>
          <w:rFonts w:hint="eastAsia"/>
          <w:color w:val="auto"/>
          <w:lang w:val="en-US" w:eastAsia="zh-CN"/>
        </w:rPr>
        <w:t>异形柱的承载力计算应符合现行行业标准</w:t>
      </w:r>
      <w:r>
        <w:rPr>
          <w:rFonts w:hint="eastAsia"/>
          <w:color w:val="auto"/>
          <w:lang w:eastAsia="zh-CN"/>
        </w:rPr>
        <w:t>《混凝土</w:t>
      </w:r>
      <w:r>
        <w:rPr>
          <w:rFonts w:hint="eastAsia"/>
          <w:color w:val="auto"/>
          <w:lang w:val="en-US" w:eastAsia="zh-CN"/>
        </w:rPr>
        <w:t>异形柱结构技术规程</w:t>
      </w:r>
      <w:r>
        <w:rPr>
          <w:rFonts w:hint="eastAsia"/>
          <w:color w:val="auto"/>
          <w:lang w:eastAsia="zh-CN"/>
        </w:rPr>
        <w:t>》</w:t>
      </w:r>
      <w:r>
        <w:rPr>
          <w:rFonts w:hint="eastAsia"/>
          <w:color w:val="auto"/>
          <w:lang w:val="en-US" w:eastAsia="zh-CN"/>
        </w:rPr>
        <w:t>JGJ 149</w:t>
      </w:r>
      <w:r>
        <w:rPr>
          <w:rFonts w:hint="eastAsia"/>
          <w:color w:val="auto"/>
        </w:rPr>
        <w:t>的有关规定</w:t>
      </w:r>
      <w:r>
        <w:rPr>
          <w:rFonts w:hint="eastAsia"/>
          <w:color w:val="auto"/>
          <w:lang w:eastAsia="zh-CN"/>
        </w:rPr>
        <w:t>。</w:t>
      </w:r>
    </w:p>
    <w:p w14:paraId="30372BAB">
      <w:pPr>
        <w:numPr>
          <w:ilvl w:val="2"/>
          <w:numId w:val="2"/>
        </w:numPr>
        <w:ind w:firstLineChars="0"/>
        <w:outlineLvl w:val="2"/>
        <w:rPr>
          <w:color w:val="auto"/>
        </w:rPr>
      </w:pPr>
      <w:r>
        <w:rPr>
          <w:rFonts w:hint="eastAsia"/>
          <w:color w:val="auto"/>
        </w:rPr>
        <w:t>考虑地震作用组合的柱端弯矩设计值应符合下列规定：</w:t>
      </w:r>
    </w:p>
    <w:p w14:paraId="114A2DEC">
      <w:pPr>
        <w:pStyle w:val="43"/>
        <w:tabs>
          <w:tab w:val="left" w:pos="420"/>
        </w:tabs>
        <w:ind w:firstLine="480"/>
        <w:rPr>
          <w:color w:val="auto"/>
        </w:rPr>
      </w:pPr>
      <w:r>
        <w:rPr>
          <w:rFonts w:hint="eastAsia"/>
          <w:color w:val="auto"/>
          <w:lang w:val="en-US" w:eastAsia="zh-CN"/>
        </w:rPr>
        <w:t>节点上、下柱端弯矩设计值应按下列公式计算：</w:t>
      </w:r>
    </w:p>
    <w:p w14:paraId="70443AB2">
      <w:pPr>
        <w:pStyle w:val="43"/>
        <w:numPr>
          <w:ilvl w:val="3"/>
          <w:numId w:val="0"/>
        </w:numPr>
        <w:tabs>
          <w:tab w:val="left" w:pos="420"/>
        </w:tabs>
        <w:ind w:left="482"/>
        <w:rPr>
          <w:color w:val="000000"/>
        </w:rPr>
      </w:pPr>
      <w:r>
        <w:rPr>
          <w:rFonts w:hint="eastAsia"/>
          <w:color w:val="000000"/>
        </w:rPr>
        <w:t>一级抗震等级</w:t>
      </w:r>
    </w:p>
    <w:p w14:paraId="47E054CD">
      <w:pPr>
        <w:ind w:firstLine="480"/>
        <w:jc w:val="right"/>
        <w:rPr>
          <w:color w:val="000000"/>
        </w:rPr>
      </w:pPr>
      <w:r>
        <w:rPr>
          <w:color w:val="000000"/>
        </w:rPr>
        <w:tab/>
      </w:r>
      <w:r>
        <w:rPr>
          <w:color w:val="000000"/>
          <w:position w:val="-14"/>
        </w:rPr>
        <w:object>
          <v:shape id="_x0000_i1081" o:spt="75" type="#_x0000_t75" style="height:20pt;width:100pt;" o:ole="t" filled="f" o:preferrelative="t" stroked="f" coordsize="21600,21600">
            <v:path/>
            <v:fill on="f" focussize="0,0"/>
            <v:stroke on="f"/>
            <v:imagedata r:id="rId170" o:title=""/>
            <o:lock v:ext="edit" aspectratio="t"/>
            <w10:wrap type="none"/>
            <w10:anchorlock/>
          </v:shape>
          <o:OLEObject Type="Embed" ProgID="Equation.KSEE3" ShapeID="_x0000_i1081" DrawAspect="Content" ObjectID="_1468075781" r:id="rId169">
            <o:LockedField>false</o:LockedField>
          </o:OLEObject>
        </w:object>
      </w:r>
      <w:r>
        <w:rPr>
          <w:color w:val="000000"/>
        </w:rPr>
        <w:tab/>
      </w:r>
      <w:r>
        <w:rPr>
          <w:rFonts w:hint="eastAsia"/>
          <w:color w:val="000000"/>
        </w:rPr>
        <w:t xml:space="preserve">              （</w:t>
      </w:r>
      <w:r>
        <w:rPr>
          <w:rFonts w:hint="eastAsia"/>
          <w:color w:val="000000"/>
          <w:lang w:val="en-US" w:eastAsia="zh-CN"/>
        </w:rPr>
        <w:t>5.2.33</w:t>
      </w:r>
      <w:r>
        <w:rPr>
          <w:rFonts w:hint="eastAsia"/>
          <w:color w:val="000000"/>
        </w:rPr>
        <w:t>-1）</w:t>
      </w:r>
    </w:p>
    <w:p w14:paraId="3BAB3F35">
      <w:pPr>
        <w:pStyle w:val="43"/>
        <w:numPr>
          <w:ilvl w:val="3"/>
          <w:numId w:val="0"/>
        </w:numPr>
        <w:tabs>
          <w:tab w:val="left" w:pos="420"/>
        </w:tabs>
        <w:ind w:left="482"/>
        <w:rPr>
          <w:color w:val="000000"/>
        </w:rPr>
      </w:pPr>
      <w:r>
        <w:rPr>
          <w:rFonts w:hint="eastAsia"/>
          <w:color w:val="000000"/>
        </w:rPr>
        <w:t>二级抗震等级</w:t>
      </w:r>
    </w:p>
    <w:p w14:paraId="7C6F5696">
      <w:pPr>
        <w:ind w:firstLine="480"/>
        <w:jc w:val="right"/>
        <w:rPr>
          <w:color w:val="000000"/>
        </w:rPr>
      </w:pPr>
      <w:r>
        <w:rPr>
          <w:rFonts w:hint="eastAsia"/>
          <w:color w:val="000000"/>
        </w:rPr>
        <w:t xml:space="preserve">       </w:t>
      </w:r>
      <w:r>
        <w:rPr>
          <w:color w:val="000000"/>
        </w:rPr>
        <w:tab/>
      </w:r>
      <w:r>
        <w:rPr>
          <w:color w:val="000000"/>
          <w:position w:val="-14"/>
        </w:rPr>
        <w:object>
          <v:shape id="_x0000_i1082" o:spt="75" type="#_x0000_t75" style="height:20pt;width:94pt;" o:ole="t" filled="f" o:preferrelative="t" stroked="f" coordsize="21600,21600">
            <v:path/>
            <v:fill on="f" focussize="0,0"/>
            <v:stroke on="f"/>
            <v:imagedata r:id="rId172" o:title=""/>
            <o:lock v:ext="edit" aspectratio="t"/>
            <w10:wrap type="none"/>
            <w10:anchorlock/>
          </v:shape>
          <o:OLEObject Type="Embed" ProgID="Equation.KSEE3" ShapeID="_x0000_i1082" DrawAspect="Content" ObjectID="_1468075782" r:id="rId171">
            <o:LockedField>false</o:LockedField>
          </o:OLEObject>
        </w:object>
      </w:r>
      <w:r>
        <w:rPr>
          <w:color w:val="000000"/>
        </w:rPr>
        <w:tab/>
      </w:r>
      <w:r>
        <w:rPr>
          <w:rFonts w:hint="eastAsia"/>
          <w:color w:val="000000"/>
        </w:rPr>
        <w:t xml:space="preserve">              （</w:t>
      </w:r>
      <w:r>
        <w:rPr>
          <w:rFonts w:hint="eastAsia"/>
          <w:color w:val="000000"/>
          <w:lang w:val="en-US" w:eastAsia="zh-CN"/>
        </w:rPr>
        <w:t>5.2.33</w:t>
      </w:r>
      <w:r>
        <w:rPr>
          <w:rFonts w:hint="eastAsia"/>
          <w:color w:val="000000"/>
        </w:rPr>
        <w:t>-</w:t>
      </w:r>
      <w:r>
        <w:rPr>
          <w:rFonts w:hint="eastAsia"/>
          <w:color w:val="000000"/>
          <w:lang w:val="en-US" w:eastAsia="zh-CN"/>
        </w:rPr>
        <w:t>2</w:t>
      </w:r>
      <w:r>
        <w:rPr>
          <w:rFonts w:hint="eastAsia"/>
          <w:color w:val="000000"/>
        </w:rPr>
        <w:t>）</w:t>
      </w:r>
    </w:p>
    <w:p w14:paraId="05796C33">
      <w:pPr>
        <w:pStyle w:val="43"/>
        <w:numPr>
          <w:ilvl w:val="3"/>
          <w:numId w:val="0"/>
        </w:numPr>
        <w:tabs>
          <w:tab w:val="left" w:pos="420"/>
        </w:tabs>
        <w:ind w:left="482"/>
        <w:rPr>
          <w:color w:val="000000"/>
        </w:rPr>
      </w:pPr>
      <w:r>
        <w:rPr>
          <w:rFonts w:hint="eastAsia"/>
          <w:color w:val="000000"/>
        </w:rPr>
        <w:t>三级抗震等级</w:t>
      </w:r>
    </w:p>
    <w:p w14:paraId="180BC7DE">
      <w:pPr>
        <w:ind w:firstLine="480"/>
        <w:jc w:val="right"/>
        <w:rPr>
          <w:color w:val="000000"/>
        </w:rPr>
      </w:pPr>
      <w:r>
        <w:rPr>
          <w:color w:val="000000"/>
        </w:rPr>
        <w:tab/>
      </w:r>
      <w:r>
        <w:rPr>
          <w:color w:val="000000"/>
          <w:position w:val="-14"/>
        </w:rPr>
        <w:object>
          <v:shape id="_x0000_i1083" o:spt="75" type="#_x0000_t75" style="height:20pt;width:94pt;" o:ole="t" filled="f" o:preferrelative="t" stroked="f" coordsize="21600,21600">
            <v:path/>
            <v:fill on="f" focussize="0,0"/>
            <v:stroke on="f"/>
            <v:imagedata r:id="rId174" o:title=""/>
            <o:lock v:ext="edit" aspectratio="t"/>
            <w10:wrap type="none"/>
            <w10:anchorlock/>
          </v:shape>
          <o:OLEObject Type="Embed" ProgID="Equation.KSEE3" ShapeID="_x0000_i1083" DrawAspect="Content" ObjectID="_1468075783" r:id="rId173">
            <o:LockedField>false</o:LockedField>
          </o:OLEObject>
        </w:object>
      </w:r>
      <w:r>
        <w:rPr>
          <w:color w:val="000000"/>
        </w:rPr>
        <w:tab/>
      </w:r>
      <w:r>
        <w:rPr>
          <w:rFonts w:hint="eastAsia"/>
          <w:color w:val="000000"/>
        </w:rPr>
        <w:t xml:space="preserve">              （</w:t>
      </w:r>
      <w:r>
        <w:rPr>
          <w:rFonts w:hint="eastAsia"/>
          <w:color w:val="000000"/>
          <w:lang w:val="en-US" w:eastAsia="zh-CN"/>
        </w:rPr>
        <w:t>5.2.33</w:t>
      </w:r>
      <w:r>
        <w:rPr>
          <w:rFonts w:hint="eastAsia"/>
          <w:color w:val="000000"/>
        </w:rPr>
        <w:t>-</w:t>
      </w:r>
      <w:r>
        <w:rPr>
          <w:rFonts w:hint="eastAsia"/>
          <w:color w:val="000000"/>
          <w:lang w:val="en-US" w:eastAsia="zh-CN"/>
        </w:rPr>
        <w:t>3</w:t>
      </w:r>
      <w:r>
        <w:rPr>
          <w:rFonts w:hint="eastAsia"/>
          <w:color w:val="000000"/>
        </w:rPr>
        <w:t>）</w:t>
      </w:r>
    </w:p>
    <w:p w14:paraId="0454E2F6">
      <w:pPr>
        <w:pStyle w:val="43"/>
        <w:numPr>
          <w:ilvl w:val="3"/>
          <w:numId w:val="0"/>
        </w:numPr>
        <w:tabs>
          <w:tab w:val="left" w:pos="420"/>
        </w:tabs>
        <w:ind w:left="482"/>
        <w:rPr>
          <w:color w:val="000000"/>
        </w:rPr>
      </w:pPr>
      <w:r>
        <w:rPr>
          <w:rFonts w:hint="eastAsia"/>
          <w:color w:val="000000"/>
        </w:rPr>
        <w:t>四级抗震等级</w:t>
      </w:r>
    </w:p>
    <w:p w14:paraId="76EEDE43">
      <w:pPr>
        <w:ind w:firstLine="480"/>
        <w:jc w:val="right"/>
        <w:rPr>
          <w:color w:val="000000"/>
        </w:rPr>
      </w:pPr>
      <w:r>
        <w:rPr>
          <w:color w:val="000000"/>
        </w:rPr>
        <w:tab/>
      </w:r>
      <w:r>
        <w:rPr>
          <w:color w:val="000000"/>
          <w:position w:val="-14"/>
        </w:rPr>
        <w:object>
          <v:shape id="_x0000_i1084" o:spt="75" type="#_x0000_t75" style="height:20pt;width:94pt;" o:ole="t" filled="f" o:preferrelative="t" stroked="f" coordsize="21600,21600">
            <v:path/>
            <v:fill on="f" focussize="0,0"/>
            <v:stroke on="f"/>
            <v:imagedata r:id="rId176" o:title=""/>
            <o:lock v:ext="edit" aspectratio="t"/>
            <w10:wrap type="none"/>
            <w10:anchorlock/>
          </v:shape>
          <o:OLEObject Type="Embed" ProgID="Equation.KSEE3" ShapeID="_x0000_i1084" DrawAspect="Content" ObjectID="_1468075784" r:id="rId175">
            <o:LockedField>false</o:LockedField>
          </o:OLEObject>
        </w:object>
      </w:r>
      <w:r>
        <w:rPr>
          <w:color w:val="000000"/>
        </w:rPr>
        <w:tab/>
      </w:r>
      <w:r>
        <w:rPr>
          <w:rFonts w:hint="eastAsia"/>
          <w:color w:val="000000"/>
        </w:rPr>
        <w:t xml:space="preserve">              （</w:t>
      </w:r>
      <w:r>
        <w:rPr>
          <w:rFonts w:hint="eastAsia"/>
          <w:color w:val="000000"/>
          <w:lang w:val="en-US" w:eastAsia="zh-CN"/>
        </w:rPr>
        <w:t>5.2.33</w:t>
      </w:r>
      <w:r>
        <w:rPr>
          <w:rFonts w:hint="eastAsia"/>
          <w:color w:val="000000"/>
        </w:rPr>
        <w:t>-</w:t>
      </w:r>
      <w:r>
        <w:rPr>
          <w:rFonts w:hint="eastAsia"/>
          <w:color w:val="000000"/>
          <w:lang w:val="en-US" w:eastAsia="zh-CN"/>
        </w:rPr>
        <w:t>4</w:t>
      </w:r>
      <w:r>
        <w:rPr>
          <w:rFonts w:hint="eastAsia"/>
          <w:color w:val="000000"/>
        </w:rPr>
        <w:t>）</w:t>
      </w:r>
    </w:p>
    <w:tbl>
      <w:tblPr>
        <w:tblStyle w:val="30"/>
        <w:tblW w:w="8468" w:type="dxa"/>
        <w:tblInd w:w="0" w:type="dxa"/>
        <w:tblLayout w:type="autofit"/>
        <w:tblCellMar>
          <w:top w:w="0" w:type="dxa"/>
          <w:left w:w="0" w:type="dxa"/>
          <w:bottom w:w="0" w:type="dxa"/>
          <w:right w:w="0" w:type="dxa"/>
        </w:tblCellMar>
      </w:tblPr>
      <w:tblGrid>
        <w:gridCol w:w="707"/>
        <w:gridCol w:w="740"/>
        <w:gridCol w:w="480"/>
        <w:gridCol w:w="6541"/>
      </w:tblGrid>
      <w:tr w14:paraId="491DCA3A">
        <w:tblPrEx>
          <w:tblCellMar>
            <w:top w:w="0" w:type="dxa"/>
            <w:left w:w="0" w:type="dxa"/>
            <w:bottom w:w="0" w:type="dxa"/>
            <w:right w:w="0" w:type="dxa"/>
          </w:tblCellMar>
        </w:tblPrEx>
        <w:trPr>
          <w:trHeight w:val="245" w:hRule="atLeast"/>
        </w:trPr>
        <w:tc>
          <w:tcPr>
            <w:tcW w:w="707" w:type="dxa"/>
          </w:tcPr>
          <w:p w14:paraId="647581A7">
            <w:pPr>
              <w:ind w:firstLine="0" w:firstLineChars="0"/>
              <w:rPr>
                <w:i/>
                <w:color w:val="000000"/>
              </w:rPr>
            </w:pPr>
            <w:r>
              <w:rPr>
                <w:rFonts w:hint="eastAsia"/>
                <w:color w:val="000000"/>
              </w:rPr>
              <w:t>式中：</w:t>
            </w:r>
          </w:p>
        </w:tc>
        <w:tc>
          <w:tcPr>
            <w:tcW w:w="0" w:type="auto"/>
          </w:tcPr>
          <w:p w14:paraId="3CA7B01C">
            <w:pPr>
              <w:ind w:firstLine="0" w:firstLineChars="0"/>
              <w:jc w:val="right"/>
              <w:rPr>
                <w:color w:val="000000"/>
              </w:rPr>
            </w:pPr>
            <w:r>
              <w:rPr>
                <w:rFonts w:hint="eastAsia"/>
                <w:color w:val="000000"/>
                <w:position w:val="-14"/>
              </w:rPr>
              <w:object>
                <v:shape id="_x0000_i1085" o:spt="75" type="#_x0000_t75" style="height:20pt;width:37pt;" o:ole="t" filled="f" coordsize="21600,21600">
                  <v:path/>
                  <v:fill on="f" focussize="0,0"/>
                  <v:stroke/>
                  <v:imagedata r:id="rId178" o:title=""/>
                  <o:lock v:ext="edit" aspectratio="t"/>
                  <w10:wrap type="none"/>
                  <w10:anchorlock/>
                </v:shape>
                <o:OLEObject Type="Embed" ProgID="Equation.KSEE3" ShapeID="_x0000_i1085" DrawAspect="Content" ObjectID="_1468075785" r:id="rId177">
                  <o:LockedField>false</o:LockedField>
                </o:OLEObject>
              </w:object>
            </w:r>
          </w:p>
        </w:tc>
        <w:tc>
          <w:tcPr>
            <w:tcW w:w="0" w:type="auto"/>
          </w:tcPr>
          <w:p w14:paraId="39F7A163">
            <w:pPr>
              <w:ind w:firstLine="0" w:firstLineChars="0"/>
              <w:rPr>
                <w:color w:val="000000"/>
              </w:rPr>
            </w:pPr>
            <w:r>
              <w:rPr>
                <w:color w:val="000000"/>
              </w:rPr>
              <w:t>——</w:t>
            </w:r>
          </w:p>
        </w:tc>
        <w:tc>
          <w:tcPr>
            <w:tcW w:w="0" w:type="auto"/>
          </w:tcPr>
          <w:p w14:paraId="6BE8FD66">
            <w:pPr>
              <w:ind w:firstLine="0" w:firstLineChars="0"/>
              <w:rPr>
                <w:rFonts w:hint="eastAsia" w:eastAsia="宋体"/>
                <w:color w:val="000000"/>
                <w:lang w:val="en-US" w:eastAsia="zh-CN"/>
              </w:rPr>
            </w:pPr>
            <w:r>
              <w:rPr>
                <w:rFonts w:hint="eastAsia"/>
                <w:color w:val="000000"/>
              </w:rPr>
              <w:t>考虑地震作用组合的节点上、下柱端的弯矩设计值之和</w:t>
            </w:r>
            <w:r>
              <w:rPr>
                <w:rFonts w:hint="eastAsia" w:eastAsiaTheme="minorEastAsia"/>
                <w:color w:val="auto"/>
                <w:lang w:eastAsia="zh-CN"/>
              </w:rPr>
              <w:t>（</w:t>
            </w:r>
            <w:r>
              <w:rPr>
                <w:rFonts w:hint="eastAsia" w:eastAsiaTheme="minorEastAsia"/>
                <w:color w:val="auto"/>
                <w:lang w:val="en-US" w:eastAsia="zh-CN"/>
              </w:rPr>
              <w:t>N·mm</w:t>
            </w:r>
            <w:r>
              <w:rPr>
                <w:rFonts w:hint="eastAsia" w:eastAsiaTheme="minorEastAsia"/>
                <w:color w:val="auto"/>
                <w:lang w:eastAsia="zh-CN"/>
              </w:rPr>
              <w:t>）</w:t>
            </w:r>
            <w:r>
              <w:rPr>
                <w:rFonts w:hint="eastAsia"/>
                <w:color w:val="000000"/>
              </w:rPr>
              <w:t>；柱端弯矩设计值可按弹性分析分配</w:t>
            </w:r>
            <w:r>
              <w:rPr>
                <w:rFonts w:hint="eastAsia"/>
                <w:color w:val="000000"/>
                <w:lang w:eastAsia="zh-CN"/>
              </w:rPr>
              <w:t>。</w:t>
            </w:r>
          </w:p>
        </w:tc>
      </w:tr>
      <w:tr w14:paraId="2BF58520">
        <w:tblPrEx>
          <w:tblCellMar>
            <w:top w:w="0" w:type="dxa"/>
            <w:left w:w="0" w:type="dxa"/>
            <w:bottom w:w="0" w:type="dxa"/>
            <w:right w:w="0" w:type="dxa"/>
          </w:tblCellMar>
        </w:tblPrEx>
        <w:trPr>
          <w:trHeight w:val="245" w:hRule="atLeast"/>
        </w:trPr>
        <w:tc>
          <w:tcPr>
            <w:tcW w:w="707" w:type="dxa"/>
          </w:tcPr>
          <w:p w14:paraId="1E3A9C04">
            <w:pPr>
              <w:ind w:firstLine="0" w:firstLineChars="0"/>
              <w:rPr>
                <w:rFonts w:hint="eastAsia"/>
                <w:color w:val="000000"/>
              </w:rPr>
            </w:pPr>
          </w:p>
        </w:tc>
        <w:tc>
          <w:tcPr>
            <w:tcW w:w="0" w:type="auto"/>
          </w:tcPr>
          <w:p w14:paraId="4AD2CE9E">
            <w:pPr>
              <w:ind w:firstLine="0" w:firstLineChars="0"/>
              <w:jc w:val="right"/>
              <w:rPr>
                <w:rFonts w:hint="eastAsia"/>
                <w:color w:val="000000"/>
                <w:position w:val="-14"/>
              </w:rPr>
            </w:pPr>
          </w:p>
        </w:tc>
        <w:tc>
          <w:tcPr>
            <w:tcW w:w="0" w:type="auto"/>
          </w:tcPr>
          <w:p w14:paraId="16D1120E">
            <w:pPr>
              <w:ind w:firstLine="0" w:firstLineChars="0"/>
              <w:rPr>
                <w:color w:val="000000"/>
              </w:rPr>
            </w:pPr>
          </w:p>
        </w:tc>
        <w:tc>
          <w:tcPr>
            <w:tcW w:w="0" w:type="auto"/>
          </w:tcPr>
          <w:p w14:paraId="44533992">
            <w:pPr>
              <w:ind w:firstLine="0" w:firstLineChars="0"/>
              <w:rPr>
                <w:rFonts w:hint="eastAsia"/>
                <w:color w:val="000000"/>
              </w:rPr>
            </w:pPr>
          </w:p>
        </w:tc>
      </w:tr>
    </w:tbl>
    <w:p w14:paraId="427E996A">
      <w:pPr>
        <w:pStyle w:val="43"/>
        <w:tabs>
          <w:tab w:val="left" w:pos="420"/>
        </w:tabs>
        <w:ind w:firstLine="480"/>
        <w:rPr>
          <w:color w:val="auto"/>
        </w:rPr>
      </w:pPr>
      <w:r>
        <w:rPr>
          <w:rFonts w:hint="eastAsia"/>
          <w:color w:val="auto"/>
        </w:rPr>
        <w:t>底层预制柱下端截面考虑地震作用组合的弯矩设计值，一、二、三、四级应分别乘以增大系数1.7、1.5、1.3和1.2。底层预制柱的纵向钢筋应按上下端的不利情况配置。</w:t>
      </w:r>
    </w:p>
    <w:p w14:paraId="6F9EE0D3">
      <w:pPr>
        <w:pStyle w:val="43"/>
        <w:ind w:firstLine="480"/>
        <w:rPr>
          <w:rFonts w:hint="eastAsia"/>
          <w:color w:val="auto"/>
        </w:rPr>
      </w:pPr>
      <w:r>
        <w:rPr>
          <w:rFonts w:hint="eastAsia"/>
          <w:color w:val="auto"/>
        </w:rPr>
        <w:t>顶层预制柱和轴压比小于0.15的预制柱，其考虑地震作用组合的柱端弯矩设计值可不增大。</w:t>
      </w:r>
    </w:p>
    <w:p w14:paraId="42DDDE56">
      <w:pPr>
        <w:pStyle w:val="42"/>
        <w:rPr>
          <w:color w:val="auto"/>
        </w:rPr>
      </w:pPr>
      <w:r>
        <w:rPr>
          <w:rFonts w:hint="eastAsia"/>
          <w:color w:val="auto"/>
        </w:rPr>
        <w:t>预制柱考虑地震作用组合的剪力设计值应按下列公式计算：</w:t>
      </w:r>
    </w:p>
    <w:p w14:paraId="6F892219">
      <w:pPr>
        <w:pStyle w:val="43"/>
        <w:numPr>
          <w:ilvl w:val="3"/>
          <w:numId w:val="0"/>
        </w:numPr>
        <w:tabs>
          <w:tab w:val="left" w:pos="420"/>
        </w:tabs>
        <w:ind w:left="482"/>
        <w:rPr>
          <w:color w:val="auto"/>
        </w:rPr>
      </w:pPr>
      <w:r>
        <w:rPr>
          <w:rFonts w:hint="eastAsia"/>
          <w:color w:val="auto"/>
        </w:rPr>
        <w:t>一级抗震等级：</w:t>
      </w:r>
    </w:p>
    <w:p w14:paraId="6518B577">
      <w:pPr>
        <w:ind w:firstLine="480"/>
        <w:jc w:val="right"/>
        <w:rPr>
          <w:color w:val="auto"/>
        </w:rPr>
      </w:pPr>
      <w:r>
        <w:rPr>
          <w:color w:val="auto"/>
          <w:position w:val="-30"/>
        </w:rPr>
        <w:object>
          <v:shape id="_x0000_i1086" o:spt="75" type="#_x0000_t75" style="height:36pt;width:111pt;" o:ole="t" filled="f" o:preferrelative="t" stroked="f" coordsize="21600,21600">
            <v:path/>
            <v:fill on="f" focussize="0,0"/>
            <v:stroke on="f" joinstyle="miter"/>
            <v:imagedata r:id="rId180" o:title=""/>
            <o:lock v:ext="edit" aspectratio="t"/>
            <w10:wrap type="none"/>
            <w10:anchorlock/>
          </v:shape>
          <o:OLEObject Type="Embed" ProgID="Equation.3" ShapeID="_x0000_i1086" DrawAspect="Content" ObjectID="_1468075786" r:id="rId179">
            <o:LockedField>false</o:LockedField>
          </o:OLEObject>
        </w:object>
      </w:r>
      <w:r>
        <w:rPr>
          <w:rFonts w:hint="eastAsia"/>
          <w:color w:val="auto"/>
        </w:rPr>
        <w:t xml:space="preserve">              （</w:t>
      </w:r>
      <w:r>
        <w:rPr>
          <w:rFonts w:hint="eastAsia"/>
          <w:color w:val="000000"/>
          <w:lang w:val="en-US" w:eastAsia="zh-CN"/>
        </w:rPr>
        <w:t>5.2.34</w:t>
      </w:r>
      <w:r>
        <w:rPr>
          <w:rFonts w:hint="eastAsia"/>
          <w:color w:val="000000"/>
        </w:rPr>
        <w:t>-1</w:t>
      </w:r>
      <w:r>
        <w:rPr>
          <w:rFonts w:hint="eastAsia"/>
          <w:color w:val="auto"/>
        </w:rPr>
        <w:t>）</w:t>
      </w:r>
    </w:p>
    <w:p w14:paraId="406981C3">
      <w:pPr>
        <w:pStyle w:val="43"/>
        <w:numPr>
          <w:ilvl w:val="3"/>
          <w:numId w:val="0"/>
        </w:numPr>
        <w:tabs>
          <w:tab w:val="left" w:pos="420"/>
        </w:tabs>
        <w:ind w:left="482"/>
        <w:rPr>
          <w:color w:val="auto"/>
        </w:rPr>
      </w:pPr>
      <w:r>
        <w:rPr>
          <w:rFonts w:hint="eastAsia"/>
          <w:color w:val="auto"/>
        </w:rPr>
        <w:t>二级抗震等级：</w:t>
      </w:r>
    </w:p>
    <w:p w14:paraId="673357C1">
      <w:pPr>
        <w:ind w:firstLine="480"/>
        <w:jc w:val="right"/>
        <w:rPr>
          <w:color w:val="auto"/>
        </w:rPr>
      </w:pPr>
      <w:r>
        <w:rPr>
          <w:color w:val="auto"/>
          <w:position w:val="-30"/>
        </w:rPr>
        <w:object>
          <v:shape id="_x0000_i1087" o:spt="75" type="#_x0000_t75" style="height:36pt;width:100.9pt;" o:ole="t" filled="f" o:preferrelative="t" stroked="f" coordsize="21600,21600">
            <v:path/>
            <v:fill on="f" focussize="0,0"/>
            <v:stroke on="f" joinstyle="miter"/>
            <v:imagedata r:id="rId182" o:title=""/>
            <o:lock v:ext="edit" aspectratio="t"/>
            <w10:wrap type="none"/>
            <w10:anchorlock/>
          </v:shape>
          <o:OLEObject Type="Embed" ProgID="Equation.3" ShapeID="_x0000_i1087" DrawAspect="Content" ObjectID="_1468075787" r:id="rId181">
            <o:LockedField>false</o:LockedField>
          </o:OLEObject>
        </w:object>
      </w:r>
      <w:r>
        <w:rPr>
          <w:rFonts w:hint="eastAsia"/>
          <w:color w:val="auto"/>
        </w:rPr>
        <w:t xml:space="preserve">                （</w:t>
      </w:r>
      <w:r>
        <w:rPr>
          <w:rFonts w:hint="eastAsia"/>
          <w:color w:val="000000"/>
          <w:lang w:val="en-US" w:eastAsia="zh-CN"/>
        </w:rPr>
        <w:t>5.2.34</w:t>
      </w:r>
      <w:r>
        <w:rPr>
          <w:rFonts w:hint="eastAsia"/>
          <w:color w:val="000000"/>
        </w:rPr>
        <w:t>-</w:t>
      </w:r>
      <w:r>
        <w:rPr>
          <w:rFonts w:hint="eastAsia"/>
          <w:color w:val="000000"/>
          <w:lang w:val="en-US" w:eastAsia="zh-CN"/>
        </w:rPr>
        <w:t>2</w:t>
      </w:r>
      <w:r>
        <w:rPr>
          <w:rFonts w:hint="eastAsia"/>
          <w:color w:val="auto"/>
        </w:rPr>
        <w:t>）</w:t>
      </w:r>
    </w:p>
    <w:p w14:paraId="04EF591D">
      <w:pPr>
        <w:pStyle w:val="43"/>
        <w:numPr>
          <w:ilvl w:val="3"/>
          <w:numId w:val="0"/>
        </w:numPr>
        <w:tabs>
          <w:tab w:val="left" w:pos="420"/>
        </w:tabs>
        <w:ind w:left="482"/>
        <w:rPr>
          <w:color w:val="auto"/>
        </w:rPr>
      </w:pPr>
      <w:r>
        <w:rPr>
          <w:rFonts w:hint="eastAsia"/>
          <w:color w:val="auto"/>
        </w:rPr>
        <w:t>三级抗震等级</w:t>
      </w:r>
    </w:p>
    <w:p w14:paraId="36171A82">
      <w:pPr>
        <w:ind w:firstLine="480"/>
        <w:jc w:val="right"/>
        <w:rPr>
          <w:color w:val="auto"/>
        </w:rPr>
      </w:pPr>
      <w:r>
        <w:rPr>
          <w:color w:val="auto"/>
          <w:position w:val="-30"/>
        </w:rPr>
        <w:object>
          <v:shape id="_x0000_i1088" o:spt="75" type="#_x0000_t75" style="height:36pt;width:100.9pt;" o:ole="t" filled="f" o:preferrelative="t" stroked="f" coordsize="21600,21600">
            <v:path/>
            <v:fill on="f" focussize="0,0"/>
            <v:stroke on="f" joinstyle="miter"/>
            <v:imagedata r:id="rId184" o:title=""/>
            <o:lock v:ext="edit" aspectratio="t"/>
            <w10:wrap type="none"/>
            <w10:anchorlock/>
          </v:shape>
          <o:OLEObject Type="Embed" ProgID="Equation.3" ShapeID="_x0000_i1088" DrawAspect="Content" ObjectID="_1468075788" r:id="rId183">
            <o:LockedField>false</o:LockedField>
          </o:OLEObject>
        </w:object>
      </w:r>
      <w:r>
        <w:rPr>
          <w:rFonts w:hint="eastAsia"/>
          <w:color w:val="auto"/>
        </w:rPr>
        <w:t xml:space="preserve">                （</w:t>
      </w:r>
      <w:r>
        <w:rPr>
          <w:rFonts w:hint="eastAsia"/>
          <w:color w:val="000000"/>
          <w:lang w:val="en-US" w:eastAsia="zh-CN"/>
        </w:rPr>
        <w:t>5.2.34</w:t>
      </w:r>
      <w:r>
        <w:rPr>
          <w:rFonts w:hint="eastAsia"/>
          <w:color w:val="000000"/>
        </w:rPr>
        <w:t>-</w:t>
      </w:r>
      <w:r>
        <w:rPr>
          <w:rFonts w:hint="eastAsia"/>
          <w:color w:val="000000"/>
          <w:lang w:val="en-US" w:eastAsia="zh-CN"/>
        </w:rPr>
        <w:t>3</w:t>
      </w:r>
      <w:r>
        <w:rPr>
          <w:rFonts w:hint="eastAsia"/>
          <w:color w:val="auto"/>
        </w:rPr>
        <w:t>）</w:t>
      </w:r>
    </w:p>
    <w:p w14:paraId="722D4D71">
      <w:pPr>
        <w:pStyle w:val="43"/>
        <w:numPr>
          <w:ilvl w:val="3"/>
          <w:numId w:val="0"/>
        </w:numPr>
        <w:tabs>
          <w:tab w:val="left" w:pos="420"/>
        </w:tabs>
        <w:ind w:left="482"/>
        <w:rPr>
          <w:color w:val="auto"/>
        </w:rPr>
      </w:pPr>
      <w:r>
        <w:rPr>
          <w:rFonts w:hint="eastAsia"/>
          <w:color w:val="auto"/>
        </w:rPr>
        <w:t>四级抗震等级</w:t>
      </w:r>
    </w:p>
    <w:p w14:paraId="1C27810A">
      <w:pPr>
        <w:ind w:firstLine="480"/>
        <w:jc w:val="right"/>
        <w:rPr>
          <w:color w:val="auto"/>
        </w:rPr>
      </w:pPr>
      <w:r>
        <w:rPr>
          <w:color w:val="auto"/>
          <w:position w:val="-30"/>
        </w:rPr>
        <w:object>
          <v:shape id="_x0000_i1089" o:spt="75" type="#_x0000_t75" style="height:36pt;width:100.9pt;" o:ole="t" filled="f" o:preferrelative="t" stroked="f" coordsize="21600,21600">
            <v:path/>
            <v:fill on="f" focussize="0,0"/>
            <v:stroke on="f" joinstyle="miter"/>
            <v:imagedata r:id="rId186" o:title=""/>
            <o:lock v:ext="edit" aspectratio="t"/>
            <w10:wrap type="none"/>
            <w10:anchorlock/>
          </v:shape>
          <o:OLEObject Type="Embed" ProgID="Equation.3" ShapeID="_x0000_i1089" DrawAspect="Content" ObjectID="_1468075789" r:id="rId185">
            <o:LockedField>false</o:LockedField>
          </o:OLEObject>
        </w:object>
      </w:r>
      <w:r>
        <w:rPr>
          <w:rFonts w:hint="eastAsia"/>
          <w:color w:val="auto"/>
        </w:rPr>
        <w:t xml:space="preserve">                （</w:t>
      </w:r>
      <w:r>
        <w:rPr>
          <w:rFonts w:hint="eastAsia"/>
          <w:color w:val="000000"/>
          <w:lang w:val="en-US" w:eastAsia="zh-CN"/>
        </w:rPr>
        <w:t>5.2.34</w:t>
      </w:r>
      <w:r>
        <w:rPr>
          <w:rFonts w:hint="eastAsia"/>
          <w:color w:val="000000"/>
        </w:rPr>
        <w:t>-</w:t>
      </w:r>
      <w:r>
        <w:rPr>
          <w:rFonts w:hint="eastAsia"/>
          <w:color w:val="000000"/>
          <w:lang w:val="en-US" w:eastAsia="zh-CN"/>
        </w:rPr>
        <w:t>4</w:t>
      </w:r>
      <w:r>
        <w:rPr>
          <w:rFonts w:hint="eastAsia"/>
          <w:color w:val="auto"/>
        </w:rPr>
        <w:t>）</w:t>
      </w:r>
    </w:p>
    <w:tbl>
      <w:tblPr>
        <w:tblStyle w:val="30"/>
        <w:tblW w:w="0" w:type="auto"/>
        <w:tblInd w:w="0" w:type="dxa"/>
        <w:tblLayout w:type="autofit"/>
        <w:tblCellMar>
          <w:top w:w="0" w:type="dxa"/>
          <w:left w:w="0" w:type="dxa"/>
          <w:bottom w:w="0" w:type="dxa"/>
          <w:right w:w="0" w:type="dxa"/>
        </w:tblCellMar>
      </w:tblPr>
      <w:tblGrid>
        <w:gridCol w:w="709"/>
        <w:gridCol w:w="1247"/>
        <w:gridCol w:w="480"/>
        <w:gridCol w:w="5864"/>
      </w:tblGrid>
      <w:tr w14:paraId="0273E675">
        <w:tblPrEx>
          <w:tblCellMar>
            <w:top w:w="0" w:type="dxa"/>
            <w:left w:w="0" w:type="dxa"/>
            <w:bottom w:w="0" w:type="dxa"/>
            <w:right w:w="0" w:type="dxa"/>
          </w:tblCellMar>
        </w:tblPrEx>
        <w:trPr>
          <w:trHeight w:val="245" w:hRule="atLeast"/>
        </w:trPr>
        <w:tc>
          <w:tcPr>
            <w:tcW w:w="709" w:type="dxa"/>
          </w:tcPr>
          <w:p w14:paraId="217EBCE6">
            <w:pPr>
              <w:ind w:firstLine="0" w:firstLineChars="0"/>
              <w:rPr>
                <w:i/>
                <w:color w:val="auto"/>
              </w:rPr>
            </w:pPr>
            <w:r>
              <w:rPr>
                <w:rFonts w:hint="eastAsia"/>
                <w:color w:val="auto"/>
              </w:rPr>
              <w:t>式中：</w:t>
            </w:r>
          </w:p>
        </w:tc>
        <w:tc>
          <w:tcPr>
            <w:tcW w:w="1247" w:type="dxa"/>
          </w:tcPr>
          <w:p w14:paraId="4AACAD2C">
            <w:pPr>
              <w:ind w:firstLine="0" w:firstLineChars="0"/>
              <w:jc w:val="right"/>
              <w:rPr>
                <w:color w:val="auto"/>
              </w:rPr>
            </w:pPr>
            <w:r>
              <w:rPr>
                <w:rFonts w:hint="eastAsia"/>
                <w:color w:val="auto"/>
                <w:position w:val="-12"/>
              </w:rPr>
              <w:object>
                <v:shape id="_x0000_i1090" o:spt="75" type="#_x0000_t75" style="height:18pt;width:16.15pt;" o:ole="t" filled="f" o:preferrelative="t" stroked="f" coordsize="21600,21600">
                  <v:path/>
                  <v:fill on="f" focussize="0,0"/>
                  <v:stroke on="f" joinstyle="miter"/>
                  <v:imagedata r:id="rId188" o:title=""/>
                  <o:lock v:ext="edit" aspectratio="t"/>
                  <w10:wrap type="none"/>
                  <w10:anchorlock/>
                </v:shape>
                <o:OLEObject Type="Embed" ProgID="Equation.3" ShapeID="_x0000_i1090" DrawAspect="Content" ObjectID="_1468075790" r:id="rId187">
                  <o:LockedField>false</o:LockedField>
                </o:OLEObject>
              </w:object>
            </w:r>
          </w:p>
        </w:tc>
        <w:tc>
          <w:tcPr>
            <w:tcW w:w="480" w:type="dxa"/>
          </w:tcPr>
          <w:p w14:paraId="751C743D">
            <w:pPr>
              <w:ind w:firstLine="0" w:firstLineChars="0"/>
              <w:rPr>
                <w:color w:val="auto"/>
              </w:rPr>
            </w:pPr>
            <w:r>
              <w:rPr>
                <w:color w:val="auto"/>
              </w:rPr>
              <w:t>——</w:t>
            </w:r>
          </w:p>
        </w:tc>
        <w:tc>
          <w:tcPr>
            <w:tcW w:w="5864" w:type="dxa"/>
          </w:tcPr>
          <w:p w14:paraId="1D3C3BEB">
            <w:pPr>
              <w:ind w:firstLine="0" w:firstLineChars="0"/>
              <w:rPr>
                <w:color w:val="auto"/>
              </w:rPr>
            </w:pPr>
            <w:r>
              <w:rPr>
                <w:rFonts w:hint="eastAsia"/>
                <w:color w:val="auto"/>
              </w:rPr>
              <w:t>混凝土柱身端部截面考虑地震作用组合的剪力设计值（N）；</w:t>
            </w:r>
          </w:p>
        </w:tc>
      </w:tr>
      <w:tr w14:paraId="33CC835E">
        <w:tblPrEx>
          <w:tblCellMar>
            <w:top w:w="0" w:type="dxa"/>
            <w:left w:w="0" w:type="dxa"/>
            <w:bottom w:w="0" w:type="dxa"/>
            <w:right w:w="0" w:type="dxa"/>
          </w:tblCellMar>
        </w:tblPrEx>
        <w:trPr>
          <w:trHeight w:val="245" w:hRule="atLeast"/>
        </w:trPr>
        <w:tc>
          <w:tcPr>
            <w:tcW w:w="709" w:type="dxa"/>
          </w:tcPr>
          <w:p w14:paraId="5E85C72C">
            <w:pPr>
              <w:ind w:firstLine="0" w:firstLineChars="0"/>
              <w:rPr>
                <w:color w:val="auto"/>
              </w:rPr>
            </w:pPr>
          </w:p>
        </w:tc>
        <w:tc>
          <w:tcPr>
            <w:tcW w:w="1247" w:type="dxa"/>
          </w:tcPr>
          <w:p w14:paraId="6876C347">
            <w:pPr>
              <w:ind w:firstLine="0" w:firstLineChars="0"/>
              <w:rPr>
                <w:color w:val="auto"/>
              </w:rPr>
            </w:pPr>
            <w:r>
              <w:rPr>
                <w:color w:val="auto"/>
                <w:position w:val="-12"/>
              </w:rPr>
              <w:object>
                <v:shape id="_x0000_i1091" o:spt="75" type="#_x0000_t75" style="height:19.5pt;width:24.4pt;" o:ole="t" filled="f" o:preferrelative="t" stroked="f" coordsize="21600,21600">
                  <v:path/>
                  <v:fill on="f" focussize="0,0"/>
                  <v:stroke on="f" joinstyle="miter"/>
                  <v:imagedata r:id="rId190" o:title=""/>
                  <o:lock v:ext="edit" aspectratio="t"/>
                  <w10:wrap type="none"/>
                  <w10:anchorlock/>
                </v:shape>
                <o:OLEObject Type="Embed" ProgID="Equation.DSMT4" ShapeID="_x0000_i1091" DrawAspect="Content" ObjectID="_1468075791" r:id="rId189">
                  <o:LockedField>false</o:LockedField>
                </o:OLEObject>
              </w:object>
            </w:r>
            <w:r>
              <w:rPr>
                <w:rFonts w:hint="eastAsia"/>
                <w:color w:val="auto"/>
              </w:rPr>
              <w:t>、</w:t>
            </w:r>
            <w:r>
              <w:rPr>
                <w:color w:val="auto"/>
                <w:position w:val="-12"/>
              </w:rPr>
              <w:object>
                <v:shape id="_x0000_i1092" o:spt="75" type="#_x0000_t75" style="height:19.5pt;width:24.4pt;" o:ole="t" filled="f" o:preferrelative="t" stroked="f" coordsize="21600,21600">
                  <v:path/>
                  <v:fill on="f" focussize="0,0"/>
                  <v:stroke on="f" joinstyle="miter"/>
                  <v:imagedata r:id="rId192" o:title=""/>
                  <o:lock v:ext="edit" aspectratio="t"/>
                  <w10:wrap type="none"/>
                  <w10:anchorlock/>
                </v:shape>
                <o:OLEObject Type="Embed" ProgID="Equation.DSMT4" ShapeID="_x0000_i1092" DrawAspect="Content" ObjectID="_1468075792" r:id="rId191">
                  <o:LockedField>false</o:LockedField>
                </o:OLEObject>
              </w:object>
            </w:r>
          </w:p>
        </w:tc>
        <w:tc>
          <w:tcPr>
            <w:tcW w:w="480" w:type="dxa"/>
          </w:tcPr>
          <w:p w14:paraId="3231E2A4">
            <w:pPr>
              <w:ind w:firstLine="0" w:firstLineChars="0"/>
              <w:rPr>
                <w:color w:val="auto"/>
              </w:rPr>
            </w:pPr>
            <w:r>
              <w:rPr>
                <w:color w:val="auto"/>
              </w:rPr>
              <w:t>——</w:t>
            </w:r>
          </w:p>
        </w:tc>
        <w:tc>
          <w:tcPr>
            <w:tcW w:w="5864" w:type="dxa"/>
          </w:tcPr>
          <w:p w14:paraId="08353F3F">
            <w:pPr>
              <w:ind w:firstLine="0" w:firstLineChars="0"/>
              <w:rPr>
                <w:color w:val="auto"/>
              </w:rPr>
            </w:pPr>
            <w:r>
              <w:rPr>
                <w:rFonts w:hint="eastAsia"/>
                <w:color w:val="auto"/>
              </w:rPr>
              <w:t>分别为混凝土柱身上、下端顺时针或逆时针方向</w:t>
            </w:r>
            <w:r>
              <w:rPr>
                <w:rFonts w:hint="eastAsia"/>
                <w:color w:val="auto"/>
                <w:lang w:eastAsia="zh-CN"/>
              </w:rPr>
              <w:t>，按</w:t>
            </w:r>
            <w:r>
              <w:rPr>
                <w:rFonts w:hint="eastAsia"/>
                <w:color w:val="auto"/>
              </w:rPr>
              <w:t>实配钢筋面积</w:t>
            </w:r>
            <w:r>
              <w:rPr>
                <w:rFonts w:hint="eastAsia"/>
                <w:color w:val="auto"/>
                <w:lang w:eastAsia="zh-CN"/>
              </w:rPr>
              <w:t>和</w:t>
            </w:r>
            <w:r>
              <w:rPr>
                <w:rFonts w:hint="eastAsia"/>
                <w:color w:val="auto"/>
              </w:rPr>
              <w:t>材料强度标准值并考虑承载力抗震调整系数</w:t>
            </w:r>
            <w:r>
              <w:rPr>
                <w:rFonts w:hint="eastAsia"/>
                <w:color w:val="auto"/>
                <w:lang w:eastAsia="zh-CN"/>
              </w:rPr>
              <w:t>计算的</w:t>
            </w:r>
            <w:r>
              <w:rPr>
                <w:rFonts w:hint="eastAsia"/>
                <w:color w:val="auto"/>
              </w:rPr>
              <w:t>正截面抗震受弯承载力所对应的弯矩值（N·mm）。</w:t>
            </w:r>
            <w:r>
              <w:rPr>
                <w:rFonts w:hint="eastAsia"/>
                <w:color w:val="auto"/>
                <w:lang w:eastAsia="zh-CN"/>
              </w:rPr>
              <w:t>计算时轴力取</w:t>
            </w:r>
            <w:r>
              <w:rPr>
                <w:rFonts w:hint="eastAsia"/>
                <w:color w:val="auto"/>
              </w:rPr>
              <w:t>重力荷载代表值产生的轴向压力设计值</w:t>
            </w:r>
            <w:r>
              <w:rPr>
                <w:rFonts w:hint="eastAsia"/>
                <w:color w:val="auto"/>
                <w:lang w:eastAsia="zh-CN"/>
              </w:rPr>
              <w:t>并考虑承载力抗震调整系数</w:t>
            </w:r>
            <w:r>
              <w:rPr>
                <w:rFonts w:hint="eastAsia"/>
                <w:color w:val="auto"/>
              </w:rPr>
              <w:t>；</w:t>
            </w:r>
          </w:p>
        </w:tc>
      </w:tr>
      <w:tr w14:paraId="1B7BAFD9">
        <w:tblPrEx>
          <w:tblCellMar>
            <w:top w:w="0" w:type="dxa"/>
            <w:left w:w="0" w:type="dxa"/>
            <w:bottom w:w="0" w:type="dxa"/>
            <w:right w:w="0" w:type="dxa"/>
          </w:tblCellMar>
        </w:tblPrEx>
        <w:trPr>
          <w:trHeight w:val="245" w:hRule="atLeast"/>
        </w:trPr>
        <w:tc>
          <w:tcPr>
            <w:tcW w:w="709" w:type="dxa"/>
          </w:tcPr>
          <w:p w14:paraId="44C09D22">
            <w:pPr>
              <w:ind w:firstLine="0" w:firstLineChars="0"/>
              <w:rPr>
                <w:color w:val="auto"/>
              </w:rPr>
            </w:pPr>
          </w:p>
        </w:tc>
        <w:tc>
          <w:tcPr>
            <w:tcW w:w="1247" w:type="dxa"/>
          </w:tcPr>
          <w:p w14:paraId="49D923FD">
            <w:pPr>
              <w:ind w:firstLine="0" w:firstLineChars="0"/>
              <w:jc w:val="right"/>
              <w:rPr>
                <w:color w:val="auto"/>
              </w:rPr>
            </w:pPr>
            <w:r>
              <w:rPr>
                <w:rFonts w:hint="eastAsia"/>
                <w:color w:val="auto"/>
                <w:position w:val="-12"/>
              </w:rPr>
              <w:object>
                <v:shape id="_x0000_i1093" o:spt="75" type="#_x0000_t75" style="height:19.15pt;width:22.15pt;" o:ole="t" filled="f" o:preferrelative="t" stroked="f" coordsize="21600,21600">
                  <v:path/>
                  <v:fill on="f" focussize="0,0"/>
                  <v:stroke on="f" joinstyle="miter"/>
                  <v:imagedata r:id="rId194" o:title=""/>
                  <o:lock v:ext="edit" aspectratio="t"/>
                  <w10:wrap type="none"/>
                  <w10:anchorlock/>
                </v:shape>
                <o:OLEObject Type="Embed" ProgID="Equation.3" ShapeID="_x0000_i1093" DrawAspect="Content" ObjectID="_1468075793" r:id="rId193">
                  <o:LockedField>false</o:LockedField>
                </o:OLEObject>
              </w:object>
            </w:r>
            <w:r>
              <w:rPr>
                <w:rFonts w:hint="eastAsia"/>
                <w:color w:val="auto"/>
              </w:rPr>
              <w:t>、</w:t>
            </w:r>
            <w:r>
              <w:rPr>
                <w:rFonts w:hint="eastAsia"/>
                <w:color w:val="auto"/>
                <w:position w:val="-12"/>
              </w:rPr>
              <w:object>
                <v:shape id="_x0000_i1094" o:spt="75" type="#_x0000_t75" style="height:19.15pt;width:22.15pt;" o:ole="t" filled="f" o:preferrelative="t" stroked="f" coordsize="21600,21600">
                  <v:path/>
                  <v:fill on="f" focussize="0,0"/>
                  <v:stroke on="f" joinstyle="miter"/>
                  <v:imagedata r:id="rId196" o:title=""/>
                  <o:lock v:ext="edit" aspectratio="t"/>
                  <w10:wrap type="none"/>
                  <w10:anchorlock/>
                </v:shape>
                <o:OLEObject Type="Embed" ProgID="Equation.3" ShapeID="_x0000_i1094" DrawAspect="Content" ObjectID="_1468075794" r:id="rId195">
                  <o:LockedField>false</o:LockedField>
                </o:OLEObject>
              </w:object>
            </w:r>
          </w:p>
        </w:tc>
        <w:tc>
          <w:tcPr>
            <w:tcW w:w="480" w:type="dxa"/>
          </w:tcPr>
          <w:p w14:paraId="5D019BBE">
            <w:pPr>
              <w:ind w:firstLine="0" w:firstLineChars="0"/>
              <w:rPr>
                <w:color w:val="auto"/>
              </w:rPr>
            </w:pPr>
            <w:r>
              <w:rPr>
                <w:color w:val="auto"/>
              </w:rPr>
              <w:t>——</w:t>
            </w:r>
          </w:p>
        </w:tc>
        <w:tc>
          <w:tcPr>
            <w:tcW w:w="5864" w:type="dxa"/>
          </w:tcPr>
          <w:p w14:paraId="34D518D6">
            <w:pPr>
              <w:ind w:firstLine="0" w:firstLineChars="0"/>
              <w:rPr>
                <w:color w:val="auto"/>
              </w:rPr>
            </w:pPr>
            <w:r>
              <w:rPr>
                <w:rFonts w:hint="eastAsia"/>
                <w:color w:val="auto"/>
              </w:rPr>
              <w:t>分别为混凝土柱身上、下端顺时针或逆时针方向考虑地震作用组合的弯矩设计值（N·mm），应符合本规程第</w:t>
            </w:r>
            <w:r>
              <w:rPr>
                <w:rFonts w:hint="eastAsia"/>
                <w:color w:val="auto"/>
                <w:lang w:val="en-US" w:eastAsia="zh-CN"/>
              </w:rPr>
              <w:t>5.2.33</w:t>
            </w:r>
            <w:r>
              <w:rPr>
                <w:rFonts w:hint="eastAsia"/>
                <w:color w:val="auto"/>
              </w:rPr>
              <w:t>条的规定；</w:t>
            </w:r>
          </w:p>
        </w:tc>
      </w:tr>
      <w:tr w14:paraId="3A960638">
        <w:tblPrEx>
          <w:tblCellMar>
            <w:top w:w="0" w:type="dxa"/>
            <w:left w:w="0" w:type="dxa"/>
            <w:bottom w:w="0" w:type="dxa"/>
            <w:right w:w="0" w:type="dxa"/>
          </w:tblCellMar>
        </w:tblPrEx>
        <w:trPr>
          <w:trHeight w:val="245" w:hRule="atLeast"/>
        </w:trPr>
        <w:tc>
          <w:tcPr>
            <w:tcW w:w="709" w:type="dxa"/>
          </w:tcPr>
          <w:p w14:paraId="717CC8C3">
            <w:pPr>
              <w:ind w:firstLine="0" w:firstLineChars="0"/>
              <w:rPr>
                <w:color w:val="auto"/>
              </w:rPr>
            </w:pPr>
          </w:p>
        </w:tc>
        <w:tc>
          <w:tcPr>
            <w:tcW w:w="1247" w:type="dxa"/>
          </w:tcPr>
          <w:p w14:paraId="66EBF3BD">
            <w:pPr>
              <w:ind w:firstLine="0" w:firstLineChars="0"/>
              <w:jc w:val="right"/>
              <w:rPr>
                <w:color w:val="auto"/>
              </w:rPr>
            </w:pPr>
            <w:r>
              <w:rPr>
                <w:color w:val="auto"/>
                <w:position w:val="-12"/>
              </w:rPr>
              <w:object>
                <v:shape id="_x0000_i1095" o:spt="75" type="#_x0000_t75" style="height:18.4pt;width:18.4pt;" o:ole="t" filled="f" o:preferrelative="t" stroked="f" coordsize="21600,21600">
                  <v:path/>
                  <v:fill on="f" focussize="0,0"/>
                  <v:stroke on="f" joinstyle="miter"/>
                  <v:imagedata r:id="rId198" o:title=""/>
                  <o:lock v:ext="edit" aspectratio="t"/>
                  <w10:wrap type="none"/>
                  <w10:anchorlock/>
                </v:shape>
                <o:OLEObject Type="Embed" ProgID="Equation.DSMT4" ShapeID="_x0000_i1095" DrawAspect="Content" ObjectID="_1468075795" r:id="rId197">
                  <o:LockedField>false</o:LockedField>
                </o:OLEObject>
              </w:object>
            </w:r>
          </w:p>
        </w:tc>
        <w:tc>
          <w:tcPr>
            <w:tcW w:w="480" w:type="dxa"/>
          </w:tcPr>
          <w:p w14:paraId="79173E07">
            <w:pPr>
              <w:ind w:firstLine="0" w:firstLineChars="0"/>
              <w:rPr>
                <w:color w:val="auto"/>
              </w:rPr>
            </w:pPr>
            <w:r>
              <w:rPr>
                <w:color w:val="auto"/>
              </w:rPr>
              <w:t>——</w:t>
            </w:r>
          </w:p>
        </w:tc>
        <w:tc>
          <w:tcPr>
            <w:tcW w:w="5864" w:type="dxa"/>
          </w:tcPr>
          <w:p w14:paraId="60D648D2">
            <w:pPr>
              <w:ind w:firstLine="0" w:firstLineChars="0"/>
              <w:rPr>
                <w:color w:val="auto"/>
              </w:rPr>
            </w:pPr>
            <w:r>
              <w:rPr>
                <w:rFonts w:hint="eastAsia"/>
                <w:color w:val="auto"/>
              </w:rPr>
              <w:t>柱的净高</w:t>
            </w:r>
            <w:r>
              <w:rPr>
                <w:rFonts w:hint="eastAsia"/>
                <w:color w:val="auto"/>
                <w:lang w:val="en-US" w:eastAsia="zh-CN"/>
              </w:rPr>
              <w:t>度</w:t>
            </w:r>
            <w:r>
              <w:rPr>
                <w:rFonts w:hint="eastAsia"/>
                <w:color w:val="auto"/>
              </w:rPr>
              <w:t>。</w:t>
            </w:r>
          </w:p>
        </w:tc>
      </w:tr>
    </w:tbl>
    <w:p w14:paraId="2DF77D8B">
      <w:pPr>
        <w:pStyle w:val="42"/>
        <w:rPr>
          <w:color w:val="auto"/>
        </w:rPr>
      </w:pPr>
      <w:r>
        <w:rPr>
          <w:rFonts w:hint="eastAsia"/>
          <w:color w:val="auto"/>
        </w:rPr>
        <w:t>一</w:t>
      </w:r>
      <w:r>
        <w:rPr>
          <w:rFonts w:hint="eastAsia"/>
          <w:color w:val="auto"/>
          <w:lang w:val="en-US" w:eastAsia="zh-CN"/>
        </w:rPr>
        <w:t>级</w:t>
      </w:r>
      <w:r>
        <w:rPr>
          <w:rFonts w:hint="eastAsia"/>
          <w:color w:val="auto"/>
        </w:rPr>
        <w:t>、二</w:t>
      </w:r>
      <w:r>
        <w:rPr>
          <w:rFonts w:hint="eastAsia"/>
          <w:color w:val="auto"/>
          <w:lang w:val="en-US" w:eastAsia="zh-CN"/>
        </w:rPr>
        <w:t>级</w:t>
      </w:r>
      <w:r>
        <w:rPr>
          <w:rFonts w:hint="eastAsia"/>
          <w:color w:val="auto"/>
        </w:rPr>
        <w:t>、三</w:t>
      </w:r>
      <w:r>
        <w:rPr>
          <w:rFonts w:hint="eastAsia"/>
          <w:color w:val="auto"/>
          <w:lang w:val="en-US" w:eastAsia="zh-CN"/>
        </w:rPr>
        <w:t>级</w:t>
      </w:r>
      <w:r>
        <w:rPr>
          <w:rFonts w:hint="eastAsia"/>
          <w:color w:val="auto"/>
        </w:rPr>
        <w:t>、四级钢组件框架结构的角柱，按本规程第5.</w:t>
      </w:r>
      <w:r>
        <w:rPr>
          <w:rFonts w:hint="eastAsia"/>
          <w:color w:val="auto"/>
          <w:lang w:val="en-US" w:eastAsia="zh-CN"/>
        </w:rPr>
        <w:t>2</w:t>
      </w:r>
      <w:r>
        <w:rPr>
          <w:color w:val="auto"/>
        </w:rPr>
        <w:t>.</w:t>
      </w:r>
      <w:r>
        <w:rPr>
          <w:rFonts w:hint="eastAsia"/>
          <w:color w:val="auto"/>
          <w:lang w:val="en-US" w:eastAsia="zh-CN"/>
        </w:rPr>
        <w:t>33</w:t>
      </w:r>
      <w:r>
        <w:rPr>
          <w:rFonts w:hint="eastAsia"/>
          <w:color w:val="auto"/>
        </w:rPr>
        <w:t>条和第5.</w:t>
      </w:r>
      <w:r>
        <w:rPr>
          <w:rFonts w:hint="eastAsia"/>
          <w:color w:val="auto"/>
          <w:lang w:val="en-US" w:eastAsia="zh-CN"/>
        </w:rPr>
        <w:t>2</w:t>
      </w:r>
      <w:r>
        <w:rPr>
          <w:color w:val="auto"/>
        </w:rPr>
        <w:t>.</w:t>
      </w:r>
      <w:r>
        <w:rPr>
          <w:rFonts w:hint="eastAsia"/>
          <w:color w:val="auto"/>
          <w:lang w:val="en-US" w:eastAsia="zh-CN"/>
        </w:rPr>
        <w:t>34</w:t>
      </w:r>
      <w:r>
        <w:rPr>
          <w:rFonts w:hint="eastAsia"/>
          <w:color w:val="auto"/>
        </w:rPr>
        <w:t>条规定调整后的组合弯矩设计值、剪力设计值应乘以不小于1.10的增大系数。</w:t>
      </w:r>
    </w:p>
    <w:p w14:paraId="3E54F5C5">
      <w:pPr>
        <w:pStyle w:val="42"/>
        <w:rPr>
          <w:color w:val="auto"/>
        </w:rPr>
      </w:pPr>
      <w:r>
        <w:rPr>
          <w:rFonts w:hint="eastAsia"/>
          <w:lang w:val="en-US" w:eastAsia="zh-CN"/>
        </w:rPr>
        <w:t>当采用B型柱侧钢组</w:t>
      </w:r>
      <w:r>
        <w:rPr>
          <w:rFonts w:hint="eastAsia"/>
        </w:rPr>
        <w:t>件</w:t>
      </w:r>
      <w:r>
        <w:rPr>
          <w:rFonts w:hint="eastAsia"/>
          <w:lang w:val="en-US" w:eastAsia="zh-CN"/>
        </w:rPr>
        <w:t>时，节点域连接钢筋的受拉承载力设计值</w:t>
      </w:r>
      <w:r>
        <w:rPr>
          <w:rFonts w:hint="eastAsia"/>
        </w:rPr>
        <w:t>应符合</w:t>
      </w:r>
      <w:r>
        <w:rPr>
          <w:rFonts w:hint="eastAsia"/>
          <w:lang w:val="en-US" w:eastAsia="zh-CN"/>
        </w:rPr>
        <w:t>下式要求</w:t>
      </w:r>
      <w:r>
        <w:rPr>
          <w:rFonts w:hint="eastAsia"/>
          <w:lang w:eastAsia="zh-CN"/>
        </w:rPr>
        <w:t>：</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4"/>
        <w:gridCol w:w="819"/>
        <w:gridCol w:w="697"/>
        <w:gridCol w:w="4740"/>
        <w:gridCol w:w="1426"/>
      </w:tblGrid>
      <w:tr w14:paraId="56AEC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3" w:type="dxa"/>
            <w:gridSpan w:val="2"/>
            <w:vAlign w:val="center"/>
          </w:tcPr>
          <w:p w14:paraId="09526C83">
            <w:pPr>
              <w:pStyle w:val="43"/>
              <w:numPr>
                <w:ilvl w:val="3"/>
                <w:numId w:val="0"/>
              </w:numPr>
              <w:ind w:left="0" w:leftChars="0" w:firstLine="0" w:firstLineChars="0"/>
              <w:jc w:val="center"/>
              <w:rPr>
                <w:color w:val="auto"/>
              </w:rPr>
            </w:pPr>
          </w:p>
        </w:tc>
        <w:tc>
          <w:tcPr>
            <w:tcW w:w="5437" w:type="dxa"/>
            <w:gridSpan w:val="2"/>
            <w:vAlign w:val="center"/>
          </w:tcPr>
          <w:p w14:paraId="6AEC0330">
            <w:pPr>
              <w:pStyle w:val="43"/>
              <w:numPr>
                <w:ilvl w:val="3"/>
                <w:numId w:val="0"/>
              </w:numPr>
              <w:ind w:left="0" w:leftChars="0" w:firstLine="0" w:firstLineChars="0"/>
              <w:jc w:val="center"/>
              <w:rPr>
                <w:color w:val="auto"/>
              </w:rPr>
            </w:pPr>
            <w:r>
              <w:rPr>
                <w:color w:val="auto"/>
                <w:position w:val="-14"/>
              </w:rPr>
              <w:object>
                <v:shape id="_x0000_i1096" o:spt="75" type="#_x0000_t75" style="height:19.45pt;width:82.6pt;" o:ole="t" filled="f" o:preferrelative="t" stroked="f" coordsize="21600,21600">
                  <v:path/>
                  <v:fill on="f" focussize="0,0"/>
                  <v:stroke on="f"/>
                  <v:imagedata r:id="rId200" o:title=""/>
                  <o:lock v:ext="edit" aspectratio="t"/>
                  <w10:wrap type="none"/>
                  <w10:anchorlock/>
                </v:shape>
                <o:OLEObject Type="Embed" ProgID="Equation.DSMT4" ShapeID="_x0000_i1096" DrawAspect="Content" ObjectID="_1468075796" r:id="rId199">
                  <o:LockedField>false</o:LockedField>
                </o:OLEObject>
              </w:object>
            </w:r>
          </w:p>
        </w:tc>
        <w:tc>
          <w:tcPr>
            <w:tcW w:w="1426" w:type="dxa"/>
            <w:vAlign w:val="center"/>
          </w:tcPr>
          <w:p w14:paraId="7EF871BE">
            <w:pPr>
              <w:pStyle w:val="43"/>
              <w:numPr>
                <w:ilvl w:val="3"/>
                <w:numId w:val="0"/>
              </w:numPr>
              <w:ind w:left="0" w:leftChars="0" w:firstLine="0" w:firstLineChars="0"/>
              <w:jc w:val="right"/>
              <w:rPr>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2.36</w:t>
            </w:r>
            <w:r>
              <w:rPr>
                <w:rFonts w:hint="eastAsia"/>
                <w:color w:val="auto"/>
              </w:rPr>
              <w:t>）</w:t>
            </w:r>
          </w:p>
        </w:tc>
      </w:tr>
      <w:tr w14:paraId="0D4B1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20CA0460">
            <w:pPr>
              <w:ind w:firstLine="0" w:firstLineChars="0"/>
              <w:jc w:val="center"/>
              <w:rPr>
                <w:rFonts w:hint="eastAsia"/>
                <w:color w:val="auto"/>
              </w:rPr>
            </w:pPr>
            <w:r>
              <w:rPr>
                <w:rFonts w:hint="eastAsia"/>
                <w:color w:val="auto"/>
              </w:rPr>
              <w:t>式中：</w:t>
            </w:r>
          </w:p>
        </w:tc>
        <w:tc>
          <w:tcPr>
            <w:tcW w:w="819" w:type="dxa"/>
            <w:vAlign w:val="top"/>
          </w:tcPr>
          <w:p w14:paraId="6B10431B">
            <w:pPr>
              <w:ind w:firstLine="0" w:firstLineChars="0"/>
              <w:jc w:val="right"/>
              <w:rPr>
                <w:rFonts w:hint="default" w:ascii="Times New Roman" w:hAnsi="Times New Roman" w:cs="Times New Roman" w:eastAsiaTheme="minorEastAsia"/>
                <w:color w:val="auto"/>
                <w:kern w:val="2"/>
                <w:sz w:val="24"/>
                <w:vertAlign w:val="subscript"/>
                <w:lang w:val="en-US" w:eastAsia="zh-CN" w:bidi="ar-SA"/>
              </w:rPr>
            </w:pPr>
            <w:r>
              <w:rPr>
                <w:color w:val="auto"/>
                <w:position w:val="-14"/>
              </w:rPr>
              <w:object>
                <v:shape id="_x0000_i1097" o:spt="75" type="#_x0000_t75" style="height:19.55pt;width:19pt;" o:ole="t" filled="f" o:preferrelative="t" stroked="f" coordsize="21600,21600">
                  <v:path/>
                  <v:fill on="f" focussize="0,0"/>
                  <v:stroke on="f"/>
                  <v:imagedata r:id="rId202" o:title=""/>
                  <o:lock v:ext="edit" aspectratio="t"/>
                  <w10:wrap type="none"/>
                  <w10:anchorlock/>
                </v:shape>
                <o:OLEObject Type="Embed" ProgID="Equation.DSMT4" ShapeID="_x0000_i1097" DrawAspect="Content" ObjectID="_1468075797" r:id="rId201">
                  <o:LockedField>false</o:LockedField>
                </o:OLEObject>
              </w:object>
            </w:r>
          </w:p>
        </w:tc>
        <w:tc>
          <w:tcPr>
            <w:tcW w:w="697" w:type="dxa"/>
            <w:vAlign w:val="top"/>
          </w:tcPr>
          <w:p w14:paraId="7B1F6415">
            <w:pPr>
              <w:ind w:firstLine="0" w:firstLineChars="0"/>
              <w:jc w:val="center"/>
              <w:rPr>
                <w:rFonts w:ascii="Times New Roman" w:hAnsi="Times New Roman" w:cs="Times New Roman" w:eastAsiaTheme="minorEastAsia"/>
                <w:color w:val="auto"/>
                <w:kern w:val="2"/>
                <w:sz w:val="24"/>
                <w:lang w:val="en-US" w:eastAsia="zh-CN" w:bidi="ar-SA"/>
              </w:rPr>
            </w:pPr>
            <w:r>
              <w:rPr>
                <w:rFonts w:eastAsiaTheme="minorEastAsia"/>
                <w:color w:val="auto"/>
                <w:szCs w:val="24"/>
              </w:rPr>
              <w:t>——</w:t>
            </w:r>
          </w:p>
        </w:tc>
        <w:tc>
          <w:tcPr>
            <w:tcW w:w="6166" w:type="dxa"/>
            <w:gridSpan w:val="2"/>
            <w:vAlign w:val="center"/>
          </w:tcPr>
          <w:p w14:paraId="72188E2B">
            <w:pPr>
              <w:ind w:firstLine="0" w:firstLineChars="0"/>
              <w:rPr>
                <w:rFonts w:hint="eastAsia" w:ascii="Times New Roman" w:hAnsi="Times New Roman" w:cs="Times New Roman" w:eastAsiaTheme="minorEastAsia"/>
                <w:color w:val="auto"/>
                <w:kern w:val="2"/>
                <w:sz w:val="24"/>
                <w:lang w:val="en-US" w:eastAsia="zh-CN" w:bidi="ar-SA"/>
              </w:rPr>
            </w:pPr>
            <w:r>
              <w:rPr>
                <w:rFonts w:hint="eastAsia" w:eastAsiaTheme="minorEastAsia"/>
                <w:color w:val="auto"/>
                <w:lang w:val="en-US" w:eastAsia="zh-CN"/>
              </w:rPr>
              <w:t>节点域连接钢筋的抗拉强度设计值</w:t>
            </w:r>
            <w:r>
              <w:rPr>
                <w:rFonts w:hint="eastAsia"/>
                <w:color w:val="auto"/>
              </w:rPr>
              <w:t>（N</w:t>
            </w:r>
            <w:r>
              <w:rPr>
                <w:rFonts w:hint="eastAsia"/>
                <w:color w:val="auto"/>
                <w:lang w:val="en-US" w:eastAsia="zh-CN"/>
              </w:rPr>
              <w:t>/</w:t>
            </w:r>
            <w:r>
              <w:rPr>
                <w:rFonts w:hint="eastAsia"/>
                <w:color w:val="auto"/>
              </w:rPr>
              <w:t>mm</w:t>
            </w:r>
            <w:r>
              <w:rPr>
                <w:rFonts w:hint="eastAsia"/>
                <w:color w:val="auto"/>
                <w:vertAlign w:val="superscript"/>
                <w:lang w:val="en-US" w:eastAsia="zh-CN"/>
              </w:rPr>
              <w:t>2</w:t>
            </w:r>
            <w:r>
              <w:rPr>
                <w:rFonts w:hint="eastAsia"/>
                <w:color w:val="auto"/>
              </w:rPr>
              <w:t>）</w:t>
            </w:r>
            <w:r>
              <w:rPr>
                <w:rFonts w:hint="eastAsia" w:eastAsiaTheme="minorEastAsia"/>
                <w:color w:val="auto"/>
                <w:lang w:eastAsia="zh-CN"/>
              </w:rPr>
              <w:t>；</w:t>
            </w:r>
          </w:p>
        </w:tc>
      </w:tr>
      <w:tr w14:paraId="3211E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00FA01B6">
            <w:pPr>
              <w:ind w:firstLine="0" w:firstLineChars="0"/>
              <w:jc w:val="center"/>
              <w:rPr>
                <w:color w:val="auto"/>
              </w:rPr>
            </w:pPr>
          </w:p>
        </w:tc>
        <w:tc>
          <w:tcPr>
            <w:tcW w:w="819" w:type="dxa"/>
            <w:vAlign w:val="top"/>
          </w:tcPr>
          <w:p w14:paraId="6721DE5B">
            <w:pPr>
              <w:ind w:firstLine="0" w:firstLineChars="0"/>
              <w:jc w:val="right"/>
              <w:rPr>
                <w:rFonts w:hint="default" w:eastAsia="宋体"/>
                <w:color w:val="auto"/>
                <w:position w:val="-12"/>
                <w:vertAlign w:val="subscript"/>
                <w:lang w:val="en-US" w:eastAsia="zh-CN"/>
              </w:rPr>
            </w:pPr>
            <w:r>
              <w:rPr>
                <w:color w:val="auto"/>
                <w:position w:val="-14"/>
              </w:rPr>
              <w:object>
                <v:shape id="_x0000_i1098" o:spt="75" type="#_x0000_t75" style="height:19.55pt;width:17pt;" o:ole="t" filled="f" o:preferrelative="t" stroked="f" coordsize="21600,21600">
                  <v:path/>
                  <v:fill on="f" focussize="0,0"/>
                  <v:stroke on="f"/>
                  <v:imagedata r:id="rId204" o:title=""/>
                  <o:lock v:ext="edit" aspectratio="t"/>
                  <w10:wrap type="none"/>
                  <w10:anchorlock/>
                </v:shape>
                <o:OLEObject Type="Embed" ProgID="Equation.DSMT4" ShapeID="_x0000_i1098" DrawAspect="Content" ObjectID="_1468075798" r:id="rId203">
                  <o:LockedField>false</o:LockedField>
                </o:OLEObject>
              </w:object>
            </w:r>
          </w:p>
        </w:tc>
        <w:tc>
          <w:tcPr>
            <w:tcW w:w="697" w:type="dxa"/>
            <w:vAlign w:val="top"/>
          </w:tcPr>
          <w:p w14:paraId="4A3850AA">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166" w:type="dxa"/>
            <w:gridSpan w:val="2"/>
            <w:vAlign w:val="center"/>
          </w:tcPr>
          <w:p w14:paraId="5351B9E4">
            <w:pPr>
              <w:ind w:firstLine="0" w:firstLineChars="0"/>
              <w:rPr>
                <w:rFonts w:hint="eastAsia" w:ascii="Times New Roman" w:hAnsi="Times New Roman" w:cs="Times New Roman" w:eastAsiaTheme="minorEastAsia"/>
                <w:color w:val="auto"/>
                <w:kern w:val="2"/>
                <w:sz w:val="24"/>
                <w:lang w:val="en-US" w:eastAsia="zh-CN" w:bidi="ar-SA"/>
              </w:rPr>
            </w:pPr>
            <w:r>
              <w:rPr>
                <w:rFonts w:hint="eastAsia" w:eastAsiaTheme="minorEastAsia"/>
                <w:color w:val="auto"/>
                <w:lang w:val="en-US" w:eastAsia="zh-CN"/>
              </w:rPr>
              <w:t>节点域连接钢筋的截面面积</w:t>
            </w:r>
            <w:r>
              <w:rPr>
                <w:rFonts w:hint="eastAsia" w:eastAsiaTheme="minorEastAsia"/>
                <w:color w:val="auto"/>
                <w:lang w:eastAsia="zh-CN"/>
              </w:rPr>
              <w:t>（</w:t>
            </w:r>
            <w:r>
              <w:rPr>
                <w:rFonts w:hint="eastAsia" w:eastAsiaTheme="minorEastAsia"/>
                <w:color w:val="auto"/>
                <w:lang w:val="en-US" w:eastAsia="zh-CN"/>
              </w:rPr>
              <w:t>mm</w:t>
            </w:r>
            <w:r>
              <w:rPr>
                <w:rFonts w:hint="eastAsia" w:eastAsiaTheme="minorEastAsia"/>
                <w:color w:val="auto"/>
                <w:vertAlign w:val="superscript"/>
                <w:lang w:val="en-US" w:eastAsia="zh-CN"/>
              </w:rPr>
              <w:t>2</w:t>
            </w:r>
            <w:r>
              <w:rPr>
                <w:rFonts w:hint="eastAsia" w:eastAsiaTheme="minorEastAsia"/>
                <w:color w:val="auto"/>
                <w:lang w:eastAsia="zh-CN"/>
              </w:rPr>
              <w:t>）；</w:t>
            </w:r>
          </w:p>
        </w:tc>
      </w:tr>
      <w:tr w14:paraId="00472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7E95DBEF">
            <w:pPr>
              <w:ind w:firstLine="0" w:firstLineChars="0"/>
              <w:jc w:val="center"/>
              <w:rPr>
                <w:color w:val="auto"/>
              </w:rPr>
            </w:pPr>
          </w:p>
        </w:tc>
        <w:tc>
          <w:tcPr>
            <w:tcW w:w="819" w:type="dxa"/>
            <w:vAlign w:val="top"/>
          </w:tcPr>
          <w:p w14:paraId="06E71B5F">
            <w:pPr>
              <w:ind w:firstLine="0" w:firstLineChars="0"/>
              <w:jc w:val="right"/>
              <w:rPr>
                <w:rFonts w:hint="default" w:ascii="Times New Roman" w:hAnsi="Times New Roman" w:cs="Times New Roman" w:eastAsiaTheme="minorEastAsia"/>
                <w:color w:val="auto"/>
                <w:kern w:val="2"/>
                <w:sz w:val="24"/>
                <w:vertAlign w:val="subscript"/>
                <w:lang w:val="en-US" w:eastAsia="zh-CN" w:bidi="ar-SA"/>
              </w:rPr>
            </w:pPr>
            <w:r>
              <w:rPr>
                <w:color w:val="auto"/>
                <w:position w:val="-14"/>
              </w:rPr>
              <w:object>
                <v:shape id="_x0000_i1099" o:spt="75" type="#_x0000_t75" style="height:19.4pt;width:13.9pt;" o:ole="t" filled="f" o:preferrelative="t" stroked="f" coordsize="21600,21600">
                  <v:path/>
                  <v:fill on="f" focussize="0,0"/>
                  <v:stroke on="f" joinstyle="miter"/>
                  <v:imagedata r:id="rId39" o:title=""/>
                  <o:lock v:ext="edit" aspectratio="t"/>
                  <w10:wrap type="none"/>
                  <w10:anchorlock/>
                </v:shape>
                <o:OLEObject Type="Embed" ProgID="Equation.DSMT4" ShapeID="_x0000_i1099" DrawAspect="Content" ObjectID="_1468075799" r:id="rId205">
                  <o:LockedField>false</o:LockedField>
                </o:OLEObject>
              </w:object>
            </w:r>
          </w:p>
        </w:tc>
        <w:tc>
          <w:tcPr>
            <w:tcW w:w="697" w:type="dxa"/>
            <w:vAlign w:val="top"/>
          </w:tcPr>
          <w:p w14:paraId="323DF677">
            <w:pPr>
              <w:ind w:firstLine="0" w:firstLineChars="0"/>
              <w:jc w:val="center"/>
              <w:rPr>
                <w:rFonts w:ascii="Times New Roman" w:hAnsi="Times New Roman" w:cs="Times New Roman" w:eastAsiaTheme="minorEastAsia"/>
                <w:color w:val="auto"/>
                <w:kern w:val="2"/>
                <w:sz w:val="24"/>
                <w:lang w:val="en-US" w:eastAsia="zh-CN" w:bidi="ar-SA"/>
              </w:rPr>
            </w:pPr>
            <w:r>
              <w:rPr>
                <w:rFonts w:eastAsiaTheme="minorEastAsia"/>
                <w:color w:val="auto"/>
                <w:szCs w:val="24"/>
              </w:rPr>
              <w:t>——</w:t>
            </w:r>
          </w:p>
        </w:tc>
        <w:tc>
          <w:tcPr>
            <w:tcW w:w="6166" w:type="dxa"/>
            <w:gridSpan w:val="2"/>
            <w:vAlign w:val="center"/>
          </w:tcPr>
          <w:p w14:paraId="6AC88C99">
            <w:pPr>
              <w:ind w:firstLine="0" w:firstLineChars="0"/>
              <w:rPr>
                <w:rFonts w:hint="eastAsia" w:ascii="Times New Roman" w:hAnsi="Times New Roman" w:cs="Times New Roman" w:eastAsiaTheme="minorEastAsia"/>
                <w:color w:val="auto"/>
                <w:kern w:val="2"/>
                <w:sz w:val="24"/>
                <w:lang w:val="en-US" w:eastAsia="zh-CN" w:bidi="ar-SA"/>
              </w:rPr>
            </w:pPr>
            <w:r>
              <w:rPr>
                <w:rFonts w:hint="eastAsia" w:eastAsiaTheme="minorEastAsia"/>
                <w:color w:val="auto"/>
              </w:rPr>
              <w:t>钢筋抗拉强度</w:t>
            </w:r>
            <w:r>
              <w:rPr>
                <w:rFonts w:hint="eastAsia" w:eastAsiaTheme="minorEastAsia"/>
                <w:color w:val="auto"/>
                <w:lang w:val="en-US" w:eastAsia="zh-CN"/>
              </w:rPr>
              <w:t>设计值</w:t>
            </w:r>
            <w:r>
              <w:rPr>
                <w:rFonts w:hint="eastAsia"/>
                <w:color w:val="auto"/>
              </w:rPr>
              <w:t>（N</w:t>
            </w:r>
            <w:r>
              <w:rPr>
                <w:rFonts w:hint="eastAsia"/>
                <w:color w:val="auto"/>
                <w:lang w:val="en-US" w:eastAsia="zh-CN"/>
              </w:rPr>
              <w:t>/</w:t>
            </w:r>
            <w:r>
              <w:rPr>
                <w:rFonts w:hint="eastAsia"/>
                <w:color w:val="auto"/>
              </w:rPr>
              <w:t>mm</w:t>
            </w:r>
            <w:r>
              <w:rPr>
                <w:rFonts w:hint="eastAsia"/>
                <w:color w:val="auto"/>
                <w:vertAlign w:val="superscript"/>
                <w:lang w:val="en-US" w:eastAsia="zh-CN"/>
              </w:rPr>
              <w:t>2</w:t>
            </w:r>
            <w:r>
              <w:rPr>
                <w:rFonts w:hint="eastAsia"/>
                <w:color w:val="auto"/>
              </w:rPr>
              <w:t>）</w:t>
            </w:r>
            <w:r>
              <w:rPr>
                <w:rFonts w:hint="eastAsia" w:eastAsiaTheme="minorEastAsia"/>
                <w:color w:val="auto"/>
                <w:lang w:eastAsia="zh-CN"/>
              </w:rPr>
              <w:t>；</w:t>
            </w:r>
          </w:p>
        </w:tc>
      </w:tr>
      <w:tr w14:paraId="6B3B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668E9495">
            <w:pPr>
              <w:ind w:firstLine="0" w:firstLineChars="0"/>
              <w:jc w:val="center"/>
              <w:rPr>
                <w:color w:val="auto"/>
              </w:rPr>
            </w:pPr>
          </w:p>
        </w:tc>
        <w:tc>
          <w:tcPr>
            <w:tcW w:w="819" w:type="dxa"/>
            <w:vAlign w:val="top"/>
          </w:tcPr>
          <w:p w14:paraId="041E6161">
            <w:pPr>
              <w:ind w:firstLine="0" w:firstLineChars="0"/>
              <w:jc w:val="right"/>
              <w:rPr>
                <w:rFonts w:hint="default" w:eastAsia="宋体"/>
                <w:color w:val="auto"/>
                <w:position w:val="-16"/>
                <w:lang w:val="en-US" w:eastAsia="zh-CN"/>
              </w:rPr>
            </w:pPr>
            <w:r>
              <w:rPr>
                <w:color w:val="auto"/>
                <w:position w:val="-12"/>
              </w:rPr>
              <w:object>
                <v:shape id="_x0000_i1100" o:spt="75" type="#_x0000_t75" style="height:18.45pt;width:17.95pt;" o:ole="t" filled="f" o:preferrelative="t" stroked="f" coordsize="21600,21600">
                  <v:path/>
                  <v:fill on="f" focussize="0,0"/>
                  <v:stroke on="f"/>
                  <v:imagedata r:id="rId207" o:title=""/>
                  <o:lock v:ext="edit" aspectratio="t"/>
                  <w10:wrap type="none"/>
                  <w10:anchorlock/>
                </v:shape>
                <o:OLEObject Type="Embed" ProgID="Equation.DSMT4" ShapeID="_x0000_i1100" DrawAspect="Content" ObjectID="_1468075800" r:id="rId206">
                  <o:LockedField>false</o:LockedField>
                </o:OLEObject>
              </w:object>
            </w:r>
          </w:p>
        </w:tc>
        <w:tc>
          <w:tcPr>
            <w:tcW w:w="697" w:type="dxa"/>
            <w:vAlign w:val="top"/>
          </w:tcPr>
          <w:p w14:paraId="4F5104D2">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166" w:type="dxa"/>
            <w:gridSpan w:val="2"/>
            <w:vAlign w:val="center"/>
          </w:tcPr>
          <w:p w14:paraId="360F9AFC">
            <w:pPr>
              <w:ind w:firstLine="0" w:firstLineChars="0"/>
              <w:rPr>
                <w:rFonts w:hint="default" w:ascii="Times New Roman" w:hAnsi="Times New Roman" w:cs="Times New Roman" w:eastAsiaTheme="minorEastAsia"/>
                <w:color w:val="auto"/>
                <w:kern w:val="2"/>
                <w:sz w:val="24"/>
                <w:lang w:val="en-US" w:eastAsia="zh-CN" w:bidi="ar-SA"/>
              </w:rPr>
            </w:pPr>
            <w:r>
              <w:rPr>
                <w:rFonts w:hint="eastAsia" w:eastAsiaTheme="minorEastAsia"/>
                <w:color w:val="auto"/>
                <w:lang w:eastAsia="zh-CN"/>
              </w:rPr>
              <w:t>与</w:t>
            </w:r>
            <w:r>
              <w:rPr>
                <w:rFonts w:hint="eastAsia" w:eastAsiaTheme="minorEastAsia"/>
                <w:color w:val="auto"/>
                <w:lang w:val="en-US" w:eastAsia="zh-CN"/>
              </w:rPr>
              <w:t>节点域连接钢筋对应的被连接预制梁</w:t>
            </w:r>
            <w:r>
              <w:rPr>
                <w:rFonts w:hint="eastAsia" w:eastAsiaTheme="minorEastAsia"/>
                <w:color w:val="auto"/>
                <w:lang w:eastAsia="zh-CN"/>
              </w:rPr>
              <w:t>纵</w:t>
            </w:r>
            <w:r>
              <w:rPr>
                <w:rFonts w:hint="eastAsia" w:eastAsiaTheme="minorEastAsia"/>
                <w:color w:val="auto"/>
                <w:lang w:val="en-US" w:eastAsia="zh-CN"/>
              </w:rPr>
              <w:t>向受力钢</w:t>
            </w:r>
            <w:r>
              <w:rPr>
                <w:rFonts w:hint="eastAsia" w:eastAsiaTheme="minorEastAsia"/>
                <w:color w:val="auto"/>
                <w:lang w:eastAsia="zh-CN"/>
              </w:rPr>
              <w:t>筋</w:t>
            </w:r>
            <w:r>
              <w:rPr>
                <w:rFonts w:hint="eastAsia" w:eastAsiaTheme="minorEastAsia"/>
                <w:color w:val="auto"/>
                <w:lang w:val="en-US" w:eastAsia="zh-CN"/>
              </w:rPr>
              <w:t>截面面积</w:t>
            </w:r>
            <w:r>
              <w:rPr>
                <w:rFonts w:hint="eastAsia" w:eastAsiaTheme="minorEastAsia"/>
                <w:color w:val="auto"/>
                <w:lang w:eastAsia="zh-CN"/>
              </w:rPr>
              <w:t>（</w:t>
            </w:r>
            <w:r>
              <w:rPr>
                <w:rFonts w:hint="eastAsia" w:eastAsiaTheme="minorEastAsia"/>
                <w:color w:val="auto"/>
                <w:lang w:val="en-US" w:eastAsia="zh-CN"/>
              </w:rPr>
              <w:t>mm</w:t>
            </w:r>
            <w:r>
              <w:rPr>
                <w:rFonts w:hint="eastAsia" w:eastAsiaTheme="minorEastAsia"/>
                <w:color w:val="auto"/>
                <w:vertAlign w:val="superscript"/>
                <w:lang w:val="en-US" w:eastAsia="zh-CN"/>
              </w:rPr>
              <w:t>2</w:t>
            </w:r>
            <w:r>
              <w:rPr>
                <w:rFonts w:hint="eastAsia" w:eastAsiaTheme="minorEastAsia"/>
                <w:color w:val="auto"/>
                <w:lang w:eastAsia="zh-CN"/>
              </w:rPr>
              <w:t>）；</w:t>
            </w:r>
          </w:p>
        </w:tc>
      </w:tr>
      <w:tr w14:paraId="29C9E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shd w:val="clear" w:color="auto" w:fill="auto"/>
            <w:vAlign w:val="top"/>
          </w:tcPr>
          <w:p w14:paraId="2C0303C8">
            <w:pPr>
              <w:ind w:firstLine="0" w:firstLineChars="0"/>
              <w:jc w:val="center"/>
              <w:rPr>
                <w:rFonts w:ascii="Times New Roman" w:hAnsi="Times New Roman" w:eastAsia="宋体" w:cs="Times New Roman"/>
                <w:color w:val="auto"/>
                <w:kern w:val="2"/>
                <w:sz w:val="24"/>
                <w:lang w:val="en-US" w:eastAsia="zh-CN" w:bidi="ar-SA"/>
              </w:rPr>
            </w:pPr>
          </w:p>
        </w:tc>
        <w:tc>
          <w:tcPr>
            <w:tcW w:w="819" w:type="dxa"/>
            <w:shd w:val="clear" w:color="auto" w:fill="auto"/>
            <w:vAlign w:val="top"/>
          </w:tcPr>
          <w:p w14:paraId="4E47B38D">
            <w:pPr>
              <w:ind w:firstLine="0" w:firstLineChars="0"/>
              <w:jc w:val="right"/>
              <w:rPr>
                <w:rFonts w:hint="default" w:ascii="Times New Roman" w:hAnsi="Times New Roman" w:eastAsia="宋体" w:cs="Times New Roman"/>
                <w:color w:val="auto"/>
                <w:kern w:val="2"/>
                <w:position w:val="-16"/>
                <w:sz w:val="24"/>
                <w:lang w:val="en-US" w:eastAsia="zh-CN" w:bidi="ar-SA"/>
              </w:rPr>
            </w:pPr>
            <w:r>
              <w:rPr>
                <w:rFonts w:hint="default" w:ascii="Times New Roman" w:hAnsi="Times New Roman" w:cs="Times New Roman"/>
                <w:i/>
                <w:iCs/>
                <w:color w:val="auto"/>
                <w:position w:val="-16"/>
                <w:lang w:eastAsia="zh-CN"/>
              </w:rPr>
              <w:t>η</w:t>
            </w:r>
            <w:r>
              <w:rPr>
                <w:rFonts w:hint="eastAsia" w:cs="Times New Roman"/>
                <w:i w:val="0"/>
                <w:iCs w:val="0"/>
                <w:color w:val="auto"/>
                <w:position w:val="-16"/>
                <w:vertAlign w:val="subscript"/>
                <w:lang w:val="en-US" w:eastAsia="zh-CN"/>
              </w:rPr>
              <w:t>bs</w:t>
            </w:r>
          </w:p>
        </w:tc>
        <w:tc>
          <w:tcPr>
            <w:tcW w:w="697" w:type="dxa"/>
            <w:shd w:val="clear" w:color="auto" w:fill="auto"/>
            <w:vAlign w:val="top"/>
          </w:tcPr>
          <w:p w14:paraId="5F148923">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166" w:type="dxa"/>
            <w:gridSpan w:val="2"/>
            <w:shd w:val="clear" w:color="auto" w:fill="auto"/>
            <w:vAlign w:val="center"/>
          </w:tcPr>
          <w:p w14:paraId="1060DAA9">
            <w:pPr>
              <w:ind w:firstLine="0" w:firstLineChars="0"/>
              <w:rPr>
                <w:rFonts w:hint="eastAsia" w:ascii="Times New Roman" w:hAnsi="Times New Roman" w:cs="Times New Roman" w:eastAsiaTheme="minorEastAsia"/>
                <w:color w:val="auto"/>
                <w:kern w:val="2"/>
                <w:sz w:val="24"/>
                <w:lang w:val="en-US" w:eastAsia="zh-CN" w:bidi="ar-SA"/>
              </w:rPr>
            </w:pPr>
            <w:r>
              <w:rPr>
                <w:rFonts w:hint="eastAsia"/>
                <w:color w:val="auto"/>
              </w:rPr>
              <w:t>连接</w:t>
            </w:r>
            <w:r>
              <w:rPr>
                <w:rFonts w:hint="eastAsia"/>
                <w:color w:val="auto"/>
                <w:lang w:eastAsia="zh-CN"/>
              </w:rPr>
              <w:t>增大</w:t>
            </w:r>
            <w:r>
              <w:rPr>
                <w:rFonts w:hint="eastAsia"/>
                <w:color w:val="auto"/>
              </w:rPr>
              <w:t>系数</w:t>
            </w:r>
            <w:r>
              <w:rPr>
                <w:rFonts w:hint="eastAsia" w:eastAsiaTheme="minorEastAsia"/>
                <w:color w:val="auto"/>
              </w:rPr>
              <w:t>，一</w:t>
            </w:r>
            <w:r>
              <w:rPr>
                <w:rFonts w:hint="eastAsia" w:eastAsiaTheme="minorEastAsia"/>
                <w:color w:val="auto"/>
                <w:lang w:val="en-US" w:eastAsia="zh-CN"/>
              </w:rPr>
              <w:t>级</w:t>
            </w:r>
            <w:r>
              <w:rPr>
                <w:rFonts w:hint="eastAsia" w:eastAsiaTheme="minorEastAsia"/>
                <w:color w:val="auto"/>
              </w:rPr>
              <w:t>、</w:t>
            </w:r>
            <w:r>
              <w:rPr>
                <w:rFonts w:hint="eastAsia"/>
                <w:color w:val="auto"/>
              </w:rPr>
              <w:t>二</w:t>
            </w:r>
            <w:r>
              <w:rPr>
                <w:rFonts w:hint="eastAsia" w:eastAsiaTheme="minorEastAsia"/>
                <w:color w:val="auto"/>
                <w:lang w:val="en-US" w:eastAsia="zh-CN"/>
              </w:rPr>
              <w:t>级</w:t>
            </w:r>
            <w:r>
              <w:rPr>
                <w:rFonts w:hint="eastAsia"/>
                <w:color w:val="auto"/>
              </w:rPr>
              <w:t>、三</w:t>
            </w:r>
            <w:r>
              <w:rPr>
                <w:rFonts w:hint="eastAsia" w:eastAsiaTheme="minorEastAsia"/>
                <w:color w:val="auto"/>
                <w:lang w:val="en-US" w:eastAsia="zh-CN"/>
              </w:rPr>
              <w:t>级</w:t>
            </w:r>
            <w:r>
              <w:rPr>
                <w:rFonts w:hint="eastAsia"/>
                <w:color w:val="auto"/>
              </w:rPr>
              <w:t>、四级可分别取1.</w:t>
            </w:r>
            <w:r>
              <w:rPr>
                <w:rFonts w:hint="eastAsia"/>
                <w:color w:val="auto"/>
                <w:lang w:val="en-US" w:eastAsia="zh-CN"/>
              </w:rPr>
              <w:t>2</w:t>
            </w:r>
            <w:r>
              <w:rPr>
                <w:rFonts w:hint="eastAsia" w:eastAsiaTheme="minorEastAsia"/>
                <w:color w:val="auto"/>
              </w:rPr>
              <w:t>、</w:t>
            </w:r>
            <w:r>
              <w:rPr>
                <w:rFonts w:hint="eastAsia"/>
                <w:color w:val="auto"/>
              </w:rPr>
              <w:t>1.</w:t>
            </w:r>
            <w:r>
              <w:rPr>
                <w:rFonts w:hint="eastAsia"/>
                <w:color w:val="auto"/>
                <w:lang w:val="en-US" w:eastAsia="zh-CN"/>
              </w:rPr>
              <w:t>1</w:t>
            </w:r>
            <w:r>
              <w:rPr>
                <w:rFonts w:hint="eastAsia" w:eastAsiaTheme="minorEastAsia"/>
                <w:color w:val="auto"/>
              </w:rPr>
              <w:t>、</w:t>
            </w:r>
            <w:r>
              <w:rPr>
                <w:rFonts w:hint="eastAsia"/>
                <w:color w:val="auto"/>
              </w:rPr>
              <w:t>1.</w:t>
            </w:r>
            <w:r>
              <w:rPr>
                <w:rFonts w:hint="eastAsia"/>
                <w:color w:val="auto"/>
                <w:lang w:val="en-US" w:eastAsia="zh-CN"/>
              </w:rPr>
              <w:t>0</w:t>
            </w:r>
            <w:r>
              <w:rPr>
                <w:rFonts w:hint="eastAsia" w:eastAsiaTheme="minorEastAsia"/>
                <w:color w:val="auto"/>
              </w:rPr>
              <w:t>、</w:t>
            </w:r>
            <w:r>
              <w:rPr>
                <w:rFonts w:hint="eastAsia"/>
                <w:color w:val="auto"/>
              </w:rPr>
              <w:t>1.</w:t>
            </w:r>
            <w:r>
              <w:rPr>
                <w:rFonts w:hint="eastAsia"/>
                <w:color w:val="auto"/>
                <w:lang w:val="en-US" w:eastAsia="zh-CN"/>
              </w:rPr>
              <w:t>0。</w:t>
            </w:r>
          </w:p>
        </w:tc>
      </w:tr>
    </w:tbl>
    <w:p w14:paraId="60027F28">
      <w:pPr>
        <w:pStyle w:val="42"/>
      </w:pPr>
      <w:r>
        <w:rPr>
          <w:rFonts w:hint="eastAsia"/>
          <w:lang w:val="en-US" w:eastAsia="zh-CN"/>
        </w:rPr>
        <w:t>柱端钢组</w:t>
      </w:r>
      <w:r>
        <w:rPr>
          <w:rFonts w:hint="eastAsia"/>
        </w:rPr>
        <w:t>件</w:t>
      </w:r>
      <w:r>
        <w:rPr>
          <w:rFonts w:hint="eastAsia"/>
          <w:lang w:val="en-US" w:eastAsia="zh-CN"/>
        </w:rPr>
        <w:t>的承载力</w:t>
      </w:r>
      <w:r>
        <w:rPr>
          <w:rFonts w:hint="eastAsia"/>
        </w:rPr>
        <w:t>应符合下列规定</w:t>
      </w:r>
      <w:r>
        <w:rPr>
          <w:rFonts w:hint="eastAsia"/>
          <w:lang w:eastAsia="zh-CN"/>
        </w:rPr>
        <w:t>：</w:t>
      </w:r>
    </w:p>
    <w:p w14:paraId="224E8912">
      <w:pPr>
        <w:pStyle w:val="43"/>
        <w:tabs>
          <w:tab w:val="left" w:pos="420"/>
        </w:tabs>
        <w:ind w:firstLine="480"/>
        <w:rPr>
          <w:rFonts w:hint="eastAsia"/>
          <w:lang w:val="en-US" w:eastAsia="zh-CN"/>
        </w:rPr>
      </w:pPr>
      <w:r>
        <w:rPr>
          <w:rFonts w:hint="eastAsia"/>
          <w:lang w:val="en-US" w:eastAsia="zh-CN"/>
        </w:rPr>
        <w:t>底板的厚度</w:t>
      </w:r>
      <w:r>
        <w:rPr>
          <w:rFonts w:hint="eastAsia"/>
          <w:i/>
          <w:iCs/>
          <w:lang w:val="en-US" w:eastAsia="zh-CN"/>
        </w:rPr>
        <w:t>t</w:t>
      </w:r>
      <w:r>
        <w:rPr>
          <w:rFonts w:hint="eastAsia"/>
          <w:i w:val="0"/>
          <w:iCs w:val="0"/>
          <w:vertAlign w:val="subscript"/>
          <w:lang w:val="en-US" w:eastAsia="zh-CN"/>
        </w:rPr>
        <w:t>b</w:t>
      </w:r>
      <w:r>
        <w:rPr>
          <w:rFonts w:hint="eastAsia"/>
          <w:lang w:val="en-US" w:eastAsia="zh-CN"/>
        </w:rPr>
        <w:t>应满足下式要求：</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4"/>
        <w:gridCol w:w="819"/>
        <w:gridCol w:w="697"/>
        <w:gridCol w:w="4740"/>
        <w:gridCol w:w="1426"/>
      </w:tblGrid>
      <w:tr w14:paraId="1AAC5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gridSpan w:val="2"/>
            <w:vAlign w:val="center"/>
          </w:tcPr>
          <w:p w14:paraId="7BDF4F2D">
            <w:pPr>
              <w:pStyle w:val="43"/>
              <w:numPr>
                <w:ilvl w:val="3"/>
                <w:numId w:val="0"/>
              </w:numPr>
              <w:jc w:val="center"/>
              <w:rPr>
                <w:color w:val="auto"/>
              </w:rPr>
            </w:pPr>
          </w:p>
        </w:tc>
        <w:tc>
          <w:tcPr>
            <w:tcW w:w="3192" w:type="pct"/>
            <w:gridSpan w:val="2"/>
            <w:vAlign w:val="center"/>
          </w:tcPr>
          <w:p w14:paraId="6EC5BC2B">
            <w:pPr>
              <w:pStyle w:val="43"/>
              <w:numPr>
                <w:ilvl w:val="3"/>
                <w:numId w:val="0"/>
              </w:numPr>
              <w:jc w:val="center"/>
              <w:rPr>
                <w:color w:val="auto"/>
              </w:rPr>
            </w:pPr>
            <w:r>
              <w:rPr>
                <w:color w:val="auto"/>
                <w:position w:val="-16"/>
              </w:rPr>
              <w:object>
                <v:shape id="_x0000_i1101" o:spt="75" type="#_x0000_t75" style="height:22.5pt;width:83.5pt;" o:ole="t" filled="f" o:preferrelative="t" stroked="f" coordsize="21600,21600">
                  <v:path/>
                  <v:fill on="f" focussize="0,0"/>
                  <v:stroke on="f"/>
                  <v:imagedata r:id="rId209" o:title=""/>
                  <o:lock v:ext="edit" aspectratio="t"/>
                  <w10:wrap type="none"/>
                  <w10:anchorlock/>
                </v:shape>
                <o:OLEObject Type="Embed" ProgID="Equation.DSMT4" ShapeID="_x0000_i1101" DrawAspect="Content" ObjectID="_1468075801" r:id="rId208">
                  <o:LockedField>false</o:LockedField>
                </o:OLEObject>
              </w:object>
            </w:r>
          </w:p>
        </w:tc>
        <w:tc>
          <w:tcPr>
            <w:tcW w:w="837" w:type="pct"/>
            <w:vAlign w:val="center"/>
          </w:tcPr>
          <w:p w14:paraId="78B1706A">
            <w:pPr>
              <w:pStyle w:val="43"/>
              <w:numPr>
                <w:ilvl w:val="3"/>
                <w:numId w:val="0"/>
              </w:numPr>
              <w:jc w:val="right"/>
              <w:rPr>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2.37-1</w:t>
            </w:r>
            <w:r>
              <w:rPr>
                <w:rFonts w:hint="eastAsia"/>
                <w:color w:val="auto"/>
              </w:rPr>
              <w:t>）</w:t>
            </w:r>
          </w:p>
        </w:tc>
      </w:tr>
      <w:tr w14:paraId="6743F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89" w:type="pct"/>
          </w:tcPr>
          <w:p w14:paraId="66E7928B">
            <w:pPr>
              <w:ind w:firstLine="0" w:firstLineChars="0"/>
              <w:jc w:val="center"/>
              <w:rPr>
                <w:color w:val="auto"/>
              </w:rPr>
            </w:pPr>
            <w:r>
              <w:rPr>
                <w:rFonts w:hint="eastAsia"/>
                <w:color w:val="auto"/>
              </w:rPr>
              <w:t>式中：</w:t>
            </w:r>
          </w:p>
        </w:tc>
        <w:tc>
          <w:tcPr>
            <w:tcW w:w="480" w:type="pct"/>
          </w:tcPr>
          <w:p w14:paraId="414AB386">
            <w:pPr>
              <w:ind w:firstLine="0" w:firstLineChars="0"/>
              <w:jc w:val="right"/>
              <w:rPr>
                <w:rFonts w:eastAsiaTheme="minorEastAsia"/>
                <w:color w:val="auto"/>
                <w:vertAlign w:val="subscript"/>
              </w:rPr>
            </w:pPr>
            <w:r>
              <w:rPr>
                <w:color w:val="auto"/>
                <w:position w:val="-14"/>
              </w:rPr>
              <w:object>
                <v:shape id="_x0000_i1102" o:spt="75" type="#_x0000_t75" style="height:19.5pt;width:31.9pt;" o:ole="t" filled="f" o:preferrelative="t" stroked="f" coordsize="21600,21600">
                  <v:path/>
                  <v:fill on="f" focussize="0,0"/>
                  <v:stroke on="f" joinstyle="miter"/>
                  <v:imagedata r:id="rId211" o:title=""/>
                  <o:lock v:ext="edit" aspectratio="t"/>
                  <w10:wrap type="none"/>
                  <w10:anchorlock/>
                </v:shape>
                <o:OLEObject Type="Embed" ProgID="Equation.DSMT4" ShapeID="_x0000_i1102" DrawAspect="Content" ObjectID="_1468075802" r:id="rId210">
                  <o:LockedField>false</o:LockedField>
                </o:OLEObject>
              </w:object>
            </w:r>
          </w:p>
        </w:tc>
        <w:tc>
          <w:tcPr>
            <w:tcW w:w="409" w:type="pct"/>
          </w:tcPr>
          <w:p w14:paraId="28EFA8C9">
            <w:pPr>
              <w:ind w:firstLine="0" w:firstLineChars="0"/>
              <w:jc w:val="center"/>
              <w:rPr>
                <w:rFonts w:eastAsiaTheme="minorEastAsia"/>
                <w:color w:val="auto"/>
              </w:rPr>
            </w:pPr>
            <w:r>
              <w:rPr>
                <w:rFonts w:eastAsiaTheme="minorEastAsia"/>
                <w:color w:val="auto"/>
                <w:szCs w:val="24"/>
              </w:rPr>
              <w:t>——</w:t>
            </w:r>
          </w:p>
        </w:tc>
        <w:tc>
          <w:tcPr>
            <w:tcW w:w="3620" w:type="pct"/>
            <w:gridSpan w:val="2"/>
            <w:vAlign w:val="center"/>
          </w:tcPr>
          <w:p w14:paraId="19FAB78E">
            <w:pPr>
              <w:ind w:firstLine="0" w:firstLineChars="0"/>
              <w:rPr>
                <w:rFonts w:hint="eastAsia" w:eastAsiaTheme="minorEastAsia"/>
                <w:color w:val="auto"/>
                <w:lang w:eastAsia="zh-CN"/>
              </w:rPr>
            </w:pPr>
            <w:r>
              <w:rPr>
                <w:rFonts w:hint="eastAsia" w:eastAsiaTheme="minorEastAsia"/>
                <w:color w:val="auto"/>
              </w:rPr>
              <w:t>按单个</w:t>
            </w:r>
            <w:r>
              <w:rPr>
                <w:rFonts w:hint="eastAsia" w:eastAsiaTheme="minorEastAsia"/>
                <w:color w:val="auto"/>
                <w:lang w:val="en-US" w:eastAsia="zh-CN"/>
              </w:rPr>
              <w:t>钢筋</w:t>
            </w:r>
            <w:r>
              <w:rPr>
                <w:rFonts w:hint="eastAsia" w:eastAsiaTheme="minorEastAsia"/>
                <w:color w:val="auto"/>
              </w:rPr>
              <w:t>的受拉承载力设计值均布到</w:t>
            </w:r>
            <w:r>
              <w:rPr>
                <w:rFonts w:hint="eastAsia" w:eastAsiaTheme="minorEastAsia"/>
                <w:color w:val="auto"/>
                <w:lang w:val="en-US" w:eastAsia="zh-CN"/>
              </w:rPr>
              <w:t>底</w:t>
            </w:r>
            <w:r>
              <w:rPr>
                <w:rFonts w:hint="eastAsia" w:eastAsiaTheme="minorEastAsia"/>
                <w:color w:val="auto"/>
              </w:rPr>
              <w:t>板对应区域计算的单位板宽最大弯矩（N</w:t>
            </w:r>
            <w:r>
              <w:rPr>
                <w:rFonts w:hint="eastAsia" w:eastAsiaTheme="minorEastAsia"/>
                <w:color w:val="auto"/>
                <w:lang w:val="en-US" w:eastAsia="zh-CN"/>
              </w:rPr>
              <w:t>·mm</w:t>
            </w:r>
            <w:r>
              <w:rPr>
                <w:rFonts w:hint="eastAsia" w:eastAsiaTheme="minorEastAsia"/>
                <w:color w:val="auto"/>
              </w:rPr>
              <w:t>）</w:t>
            </w:r>
            <w:r>
              <w:rPr>
                <w:rFonts w:hint="eastAsia" w:eastAsiaTheme="minorEastAsia"/>
                <w:color w:val="auto"/>
                <w:lang w:eastAsia="zh-CN"/>
              </w:rPr>
              <w:t>。对分体式</w:t>
            </w:r>
            <w:r>
              <w:rPr>
                <w:rFonts w:hint="eastAsia"/>
                <w:lang w:val="en-US" w:eastAsia="zh-CN"/>
              </w:rPr>
              <w:t>柱端钢组</w:t>
            </w:r>
            <w:r>
              <w:rPr>
                <w:rFonts w:hint="eastAsia"/>
              </w:rPr>
              <w:t>件</w:t>
            </w:r>
            <w:r>
              <w:rPr>
                <w:rFonts w:hint="eastAsia" w:eastAsiaTheme="minorEastAsia"/>
                <w:color w:val="auto"/>
                <w:lang w:eastAsia="zh-CN"/>
              </w:rPr>
              <w:t>按两边简支的弹性板近似计算弯矩；对整体式</w:t>
            </w:r>
            <w:r>
              <w:rPr>
                <w:rFonts w:hint="eastAsia"/>
                <w:lang w:val="en-US" w:eastAsia="zh-CN"/>
              </w:rPr>
              <w:t>柱端钢组</w:t>
            </w:r>
            <w:r>
              <w:rPr>
                <w:rFonts w:hint="eastAsia"/>
              </w:rPr>
              <w:t>件</w:t>
            </w:r>
            <w:r>
              <w:rPr>
                <w:rFonts w:hint="eastAsia" w:eastAsiaTheme="minorEastAsia"/>
                <w:color w:val="auto"/>
                <w:lang w:eastAsia="zh-CN"/>
              </w:rPr>
              <w:t>的角部区格，按</w:t>
            </w:r>
            <w:r>
              <w:rPr>
                <w:rFonts w:hint="eastAsia" w:eastAsiaTheme="minorEastAsia"/>
                <w:color w:val="auto"/>
                <w:lang w:val="en-US" w:eastAsia="zh-CN"/>
              </w:rPr>
              <w:t>邻</w:t>
            </w:r>
            <w:r>
              <w:rPr>
                <w:rFonts w:hint="eastAsia" w:eastAsiaTheme="minorEastAsia"/>
                <w:color w:val="auto"/>
                <w:lang w:eastAsia="zh-CN"/>
              </w:rPr>
              <w:t>边固结的弹性板近似计算弯矩；对</w:t>
            </w:r>
            <w:r>
              <w:rPr>
                <w:rFonts w:hint="eastAsia"/>
                <w:lang w:val="en-US" w:eastAsia="zh-CN"/>
              </w:rPr>
              <w:t>柱端钢组</w:t>
            </w:r>
            <w:r>
              <w:rPr>
                <w:rFonts w:hint="eastAsia"/>
              </w:rPr>
              <w:t>件</w:t>
            </w:r>
            <w:r>
              <w:rPr>
                <w:rFonts w:hint="eastAsia" w:eastAsiaTheme="minorEastAsia"/>
                <w:color w:val="auto"/>
                <w:lang w:eastAsia="zh-CN"/>
              </w:rPr>
              <w:t>的中间区格，按两边沿加劲板边固结、</w:t>
            </w:r>
            <w:r>
              <w:rPr>
                <w:rFonts w:hint="eastAsia" w:eastAsiaTheme="minorEastAsia"/>
                <w:color w:val="auto"/>
                <w:lang w:val="en-US" w:eastAsia="zh-CN"/>
              </w:rPr>
              <w:t>另</w:t>
            </w:r>
            <w:r>
              <w:rPr>
                <w:rFonts w:hint="eastAsia" w:eastAsiaTheme="minorEastAsia"/>
                <w:color w:val="auto"/>
                <w:lang w:eastAsia="zh-CN"/>
              </w:rPr>
              <w:t>一边沿侧板边铰接弹性板近似计算（图</w:t>
            </w:r>
            <w:r>
              <w:rPr>
                <w:rFonts w:hint="eastAsia" w:eastAsiaTheme="minorEastAsia"/>
                <w:color w:val="auto"/>
                <w:lang w:val="en-US" w:eastAsia="zh-CN"/>
              </w:rPr>
              <w:t>5.2.37-1</w:t>
            </w:r>
            <w:r>
              <w:rPr>
                <w:rFonts w:hint="eastAsia" w:eastAsiaTheme="minorEastAsia"/>
                <w:color w:val="auto"/>
                <w:lang w:eastAsia="zh-CN"/>
              </w:rPr>
              <w:t>）。</w:t>
            </w:r>
          </w:p>
        </w:tc>
      </w:tr>
      <w:tr w14:paraId="40034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89" w:type="pct"/>
          </w:tcPr>
          <w:p w14:paraId="1B9BE452">
            <w:pPr>
              <w:ind w:firstLine="0" w:firstLineChars="0"/>
              <w:jc w:val="center"/>
              <w:rPr>
                <w:color w:val="auto"/>
              </w:rPr>
            </w:pPr>
          </w:p>
        </w:tc>
        <w:tc>
          <w:tcPr>
            <w:tcW w:w="480" w:type="pct"/>
          </w:tcPr>
          <w:p w14:paraId="1B2D497A">
            <w:pPr>
              <w:ind w:firstLine="0" w:firstLineChars="0"/>
              <w:jc w:val="right"/>
              <w:rPr>
                <w:rFonts w:hint="default" w:eastAsia="宋体"/>
                <w:color w:val="auto"/>
                <w:position w:val="-12"/>
                <w:vertAlign w:val="subscript"/>
                <w:lang w:val="en-US" w:eastAsia="zh-CN"/>
              </w:rPr>
            </w:pPr>
            <w:r>
              <w:rPr>
                <w:rFonts w:hint="eastAsia"/>
                <w:i/>
                <w:iCs/>
                <w:color w:val="auto"/>
                <w:position w:val="-12"/>
                <w:lang w:val="en-US" w:eastAsia="zh-CN"/>
              </w:rPr>
              <w:t>f</w:t>
            </w:r>
            <w:r>
              <w:rPr>
                <w:rFonts w:hint="eastAsia"/>
                <w:color w:val="auto"/>
                <w:position w:val="-12"/>
                <w:vertAlign w:val="subscript"/>
                <w:lang w:val="en-US" w:eastAsia="zh-CN"/>
              </w:rPr>
              <w:t>a</w:t>
            </w:r>
          </w:p>
        </w:tc>
        <w:tc>
          <w:tcPr>
            <w:tcW w:w="409" w:type="pct"/>
            <w:vAlign w:val="top"/>
          </w:tcPr>
          <w:p w14:paraId="7193BF95">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620" w:type="pct"/>
            <w:gridSpan w:val="2"/>
            <w:vAlign w:val="center"/>
          </w:tcPr>
          <w:p w14:paraId="25D0B3A8">
            <w:pPr>
              <w:ind w:firstLine="0" w:firstLineChars="0"/>
              <w:rPr>
                <w:rFonts w:hint="eastAsia" w:ascii="Times New Roman" w:hAnsi="Times New Roman" w:cs="Times New Roman" w:eastAsiaTheme="minorEastAsia"/>
                <w:color w:val="auto"/>
                <w:kern w:val="2"/>
                <w:sz w:val="24"/>
                <w:lang w:val="en-US" w:eastAsia="zh-CN" w:bidi="ar-SA"/>
              </w:rPr>
            </w:pPr>
            <w:r>
              <w:rPr>
                <w:rFonts w:hint="eastAsia" w:eastAsiaTheme="minorEastAsia"/>
                <w:color w:val="auto"/>
                <w:lang w:eastAsia="zh-CN"/>
              </w:rPr>
              <w:t>钢板的抗拉强度设计值</w:t>
            </w:r>
            <w:r>
              <w:rPr>
                <w:rFonts w:hint="eastAsia"/>
                <w:color w:val="auto"/>
              </w:rPr>
              <w:t>（N</w:t>
            </w:r>
            <w:r>
              <w:rPr>
                <w:rFonts w:hint="eastAsia"/>
                <w:color w:val="auto"/>
                <w:lang w:val="en-US" w:eastAsia="zh-CN"/>
              </w:rPr>
              <w:t>/</w:t>
            </w:r>
            <w:r>
              <w:rPr>
                <w:rFonts w:hint="eastAsia"/>
                <w:color w:val="auto"/>
              </w:rPr>
              <w:t>mm</w:t>
            </w:r>
            <w:r>
              <w:rPr>
                <w:rFonts w:hint="eastAsia"/>
                <w:color w:val="auto"/>
                <w:vertAlign w:val="superscript"/>
                <w:lang w:val="en-US" w:eastAsia="zh-CN"/>
              </w:rPr>
              <w:t>2</w:t>
            </w:r>
            <w:r>
              <w:rPr>
                <w:rFonts w:hint="eastAsia"/>
                <w:color w:val="auto"/>
              </w:rPr>
              <w:t>）</w:t>
            </w:r>
            <w:r>
              <w:rPr>
                <w:rFonts w:hint="eastAsia" w:eastAsiaTheme="minorEastAsia"/>
                <w:color w:val="auto"/>
              </w:rPr>
              <w:t>。</w:t>
            </w:r>
          </w:p>
        </w:tc>
      </w:tr>
    </w:tbl>
    <w:p w14:paraId="74627DDA">
      <w:pPr>
        <w:pStyle w:val="43"/>
        <w:tabs>
          <w:tab w:val="left" w:pos="420"/>
        </w:tabs>
        <w:ind w:firstLine="480"/>
        <w:rPr>
          <w:rFonts w:hint="eastAsia"/>
          <w:lang w:val="en-US" w:eastAsia="zh-CN"/>
        </w:rPr>
      </w:pPr>
      <w:r>
        <w:rPr>
          <w:rFonts w:hint="eastAsia"/>
          <w:lang w:val="en-US" w:eastAsia="zh-CN"/>
        </w:rPr>
        <w:t>侧板尺寸应满足下式要求：</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4"/>
        <w:gridCol w:w="819"/>
        <w:gridCol w:w="697"/>
        <w:gridCol w:w="4740"/>
        <w:gridCol w:w="1426"/>
      </w:tblGrid>
      <w:tr w14:paraId="1959A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3" w:type="dxa"/>
            <w:gridSpan w:val="2"/>
            <w:vAlign w:val="center"/>
          </w:tcPr>
          <w:p w14:paraId="3F5A6D40">
            <w:pPr>
              <w:pStyle w:val="43"/>
              <w:numPr>
                <w:ilvl w:val="3"/>
                <w:numId w:val="0"/>
              </w:numPr>
              <w:ind w:left="0" w:leftChars="0" w:firstLine="0" w:firstLineChars="0"/>
              <w:jc w:val="center"/>
              <w:rPr>
                <w:color w:val="auto"/>
              </w:rPr>
            </w:pPr>
          </w:p>
        </w:tc>
        <w:tc>
          <w:tcPr>
            <w:tcW w:w="5437" w:type="dxa"/>
            <w:gridSpan w:val="2"/>
            <w:vAlign w:val="center"/>
          </w:tcPr>
          <w:p w14:paraId="7F530D25">
            <w:pPr>
              <w:pStyle w:val="43"/>
              <w:numPr>
                <w:ilvl w:val="3"/>
                <w:numId w:val="0"/>
              </w:numPr>
              <w:ind w:left="0" w:leftChars="0" w:firstLine="0" w:firstLineChars="0"/>
              <w:jc w:val="center"/>
              <w:rPr>
                <w:color w:val="auto"/>
              </w:rPr>
            </w:pPr>
            <w:r>
              <w:rPr>
                <w:color w:val="auto"/>
                <w:position w:val="-14"/>
              </w:rPr>
              <w:object>
                <v:shape id="_x0000_i1103" o:spt="75" type="#_x0000_t75" style="height:19.45pt;width:77.65pt;" o:ole="t" filled="f" o:preferrelative="t" stroked="f" coordsize="21600,21600">
                  <v:path/>
                  <v:fill on="f" focussize="0,0"/>
                  <v:stroke on="f"/>
                  <v:imagedata r:id="rId213" o:title=""/>
                  <o:lock v:ext="edit" aspectratio="t"/>
                  <w10:wrap type="none"/>
                  <w10:anchorlock/>
                </v:shape>
                <o:OLEObject Type="Embed" ProgID="Equation.DSMT4" ShapeID="_x0000_i1103" DrawAspect="Content" ObjectID="_1468075803" r:id="rId212">
                  <o:LockedField>false</o:LockedField>
                </o:OLEObject>
              </w:object>
            </w:r>
          </w:p>
        </w:tc>
        <w:tc>
          <w:tcPr>
            <w:tcW w:w="1426" w:type="dxa"/>
            <w:vAlign w:val="center"/>
          </w:tcPr>
          <w:p w14:paraId="3A299EAB">
            <w:pPr>
              <w:pStyle w:val="43"/>
              <w:numPr>
                <w:ilvl w:val="3"/>
                <w:numId w:val="0"/>
              </w:numPr>
              <w:ind w:left="0" w:leftChars="0" w:firstLine="0" w:firstLineChars="0"/>
              <w:jc w:val="right"/>
              <w:rPr>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2.37-2</w:t>
            </w:r>
            <w:r>
              <w:rPr>
                <w:rFonts w:hint="eastAsia"/>
                <w:color w:val="auto"/>
              </w:rPr>
              <w:t>）</w:t>
            </w:r>
          </w:p>
        </w:tc>
      </w:tr>
      <w:tr w14:paraId="5B3C1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58855494">
            <w:pPr>
              <w:ind w:firstLine="0" w:firstLineChars="0"/>
              <w:jc w:val="center"/>
              <w:rPr>
                <w:color w:val="auto"/>
              </w:rPr>
            </w:pPr>
            <w:r>
              <w:rPr>
                <w:rFonts w:hint="eastAsia"/>
                <w:color w:val="auto"/>
              </w:rPr>
              <w:t>式中：</w:t>
            </w:r>
          </w:p>
        </w:tc>
        <w:tc>
          <w:tcPr>
            <w:tcW w:w="819" w:type="dxa"/>
            <w:vAlign w:val="top"/>
          </w:tcPr>
          <w:p w14:paraId="331618E3">
            <w:pPr>
              <w:ind w:firstLine="0" w:firstLineChars="0"/>
              <w:jc w:val="right"/>
              <w:rPr>
                <w:rFonts w:hint="default" w:eastAsiaTheme="minorEastAsia"/>
                <w:color w:val="auto"/>
                <w:vertAlign w:val="subscript"/>
                <w:lang w:val="en-US" w:eastAsia="zh-CN"/>
              </w:rPr>
            </w:pPr>
            <w:r>
              <w:rPr>
                <w:rFonts w:hint="eastAsia" w:eastAsiaTheme="minorEastAsia"/>
                <w:i/>
                <w:iCs/>
                <w:color w:val="auto"/>
                <w:vertAlign w:val="baseline"/>
                <w:lang w:val="en-US" w:eastAsia="zh-CN"/>
              </w:rPr>
              <w:t>b</w:t>
            </w:r>
            <w:r>
              <w:rPr>
                <w:rFonts w:hint="eastAsia" w:eastAsiaTheme="minorEastAsia"/>
                <w:color w:val="auto"/>
                <w:vertAlign w:val="subscript"/>
                <w:lang w:val="en-US" w:eastAsia="zh-CN"/>
              </w:rPr>
              <w:t>s</w:t>
            </w:r>
          </w:p>
        </w:tc>
        <w:tc>
          <w:tcPr>
            <w:tcW w:w="697" w:type="dxa"/>
            <w:vAlign w:val="top"/>
          </w:tcPr>
          <w:p w14:paraId="346DD0EC">
            <w:pPr>
              <w:ind w:firstLine="0" w:firstLineChars="0"/>
              <w:jc w:val="center"/>
              <w:rPr>
                <w:rFonts w:eastAsiaTheme="minorEastAsia"/>
                <w:color w:val="auto"/>
              </w:rPr>
            </w:pPr>
            <w:r>
              <w:rPr>
                <w:rFonts w:eastAsiaTheme="minorEastAsia"/>
                <w:color w:val="auto"/>
                <w:szCs w:val="24"/>
              </w:rPr>
              <w:t>——</w:t>
            </w:r>
          </w:p>
        </w:tc>
        <w:tc>
          <w:tcPr>
            <w:tcW w:w="6166" w:type="dxa"/>
            <w:gridSpan w:val="2"/>
            <w:vAlign w:val="center"/>
          </w:tcPr>
          <w:p w14:paraId="5D57C186">
            <w:pPr>
              <w:ind w:firstLine="0" w:firstLineChars="0"/>
              <w:rPr>
                <w:rFonts w:hint="eastAsia" w:eastAsiaTheme="minorEastAsia"/>
                <w:color w:val="auto"/>
                <w:lang w:eastAsia="zh-CN"/>
              </w:rPr>
            </w:pPr>
            <w:r>
              <w:rPr>
                <w:rFonts w:hint="eastAsia" w:eastAsiaTheme="minorEastAsia"/>
                <w:color w:val="auto"/>
                <w:lang w:eastAsia="zh-CN"/>
              </w:rPr>
              <w:t>侧板宽度（</w:t>
            </w:r>
            <w:r>
              <w:rPr>
                <w:rFonts w:hint="eastAsia" w:eastAsiaTheme="minorEastAsia"/>
                <w:color w:val="auto"/>
                <w:lang w:val="en-US" w:eastAsia="zh-CN"/>
              </w:rPr>
              <w:t>mm</w:t>
            </w:r>
            <w:r>
              <w:rPr>
                <w:rFonts w:hint="eastAsia" w:eastAsiaTheme="minorEastAsia"/>
                <w:color w:val="auto"/>
                <w:lang w:eastAsia="zh-CN"/>
              </w:rPr>
              <w:t>）；</w:t>
            </w:r>
          </w:p>
        </w:tc>
      </w:tr>
      <w:tr w14:paraId="4F3C4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7EDA051A">
            <w:pPr>
              <w:ind w:firstLine="0" w:firstLineChars="0"/>
              <w:jc w:val="center"/>
              <w:rPr>
                <w:rFonts w:hint="eastAsia"/>
                <w:color w:val="auto"/>
              </w:rPr>
            </w:pPr>
          </w:p>
        </w:tc>
        <w:tc>
          <w:tcPr>
            <w:tcW w:w="819" w:type="dxa"/>
            <w:vAlign w:val="top"/>
          </w:tcPr>
          <w:p w14:paraId="6B486AAB">
            <w:pPr>
              <w:ind w:firstLine="0" w:firstLineChars="0"/>
              <w:jc w:val="right"/>
              <w:rPr>
                <w:rFonts w:hint="eastAsia" w:ascii="Times New Roman" w:hAnsi="Times New Roman" w:cs="Times New Roman" w:eastAsiaTheme="minorEastAsia"/>
                <w:color w:val="auto"/>
                <w:kern w:val="2"/>
                <w:sz w:val="24"/>
                <w:vertAlign w:val="subscript"/>
                <w:lang w:val="en-US" w:eastAsia="zh-CN" w:bidi="ar-SA"/>
              </w:rPr>
            </w:pPr>
            <w:r>
              <w:rPr>
                <w:rFonts w:hint="eastAsia" w:eastAsiaTheme="minorEastAsia"/>
                <w:i/>
                <w:iCs/>
                <w:color w:val="auto"/>
                <w:vertAlign w:val="baseline"/>
                <w:lang w:val="en-US" w:eastAsia="zh-CN"/>
              </w:rPr>
              <w:t>t</w:t>
            </w:r>
            <w:r>
              <w:rPr>
                <w:rFonts w:hint="eastAsia" w:eastAsiaTheme="minorEastAsia"/>
                <w:color w:val="auto"/>
                <w:vertAlign w:val="subscript"/>
                <w:lang w:val="en-US" w:eastAsia="zh-CN"/>
              </w:rPr>
              <w:t>s</w:t>
            </w:r>
          </w:p>
        </w:tc>
        <w:tc>
          <w:tcPr>
            <w:tcW w:w="697" w:type="dxa"/>
            <w:vAlign w:val="top"/>
          </w:tcPr>
          <w:p w14:paraId="645E6D39">
            <w:pPr>
              <w:ind w:firstLine="0" w:firstLineChars="0"/>
              <w:jc w:val="center"/>
              <w:rPr>
                <w:rFonts w:ascii="Times New Roman" w:hAnsi="Times New Roman" w:cs="Times New Roman" w:eastAsiaTheme="minorEastAsia"/>
                <w:color w:val="auto"/>
                <w:kern w:val="2"/>
                <w:sz w:val="24"/>
                <w:lang w:val="en-US" w:eastAsia="zh-CN" w:bidi="ar-SA"/>
              </w:rPr>
            </w:pPr>
            <w:r>
              <w:rPr>
                <w:rFonts w:eastAsiaTheme="minorEastAsia"/>
                <w:color w:val="auto"/>
                <w:szCs w:val="24"/>
              </w:rPr>
              <w:t>——</w:t>
            </w:r>
          </w:p>
        </w:tc>
        <w:tc>
          <w:tcPr>
            <w:tcW w:w="6166" w:type="dxa"/>
            <w:gridSpan w:val="2"/>
            <w:vAlign w:val="center"/>
          </w:tcPr>
          <w:p w14:paraId="62D48102">
            <w:pPr>
              <w:ind w:firstLine="0" w:firstLineChars="0"/>
              <w:rPr>
                <w:rFonts w:hint="eastAsia" w:ascii="Times New Roman" w:hAnsi="Times New Roman" w:cs="Times New Roman" w:eastAsiaTheme="minorEastAsia"/>
                <w:color w:val="auto"/>
                <w:kern w:val="2"/>
                <w:sz w:val="24"/>
                <w:lang w:val="en-US" w:eastAsia="zh-CN" w:bidi="ar-SA"/>
              </w:rPr>
            </w:pPr>
            <w:r>
              <w:rPr>
                <w:rFonts w:hint="eastAsia" w:eastAsiaTheme="minorEastAsia"/>
                <w:color w:val="auto"/>
                <w:lang w:eastAsia="zh-CN"/>
              </w:rPr>
              <w:t>侧板厚度（</w:t>
            </w:r>
            <w:r>
              <w:rPr>
                <w:rFonts w:hint="eastAsia" w:eastAsiaTheme="minorEastAsia"/>
                <w:color w:val="auto"/>
                <w:lang w:val="en-US" w:eastAsia="zh-CN"/>
              </w:rPr>
              <w:t>mm</w:t>
            </w:r>
            <w:r>
              <w:rPr>
                <w:rFonts w:hint="eastAsia" w:eastAsiaTheme="minorEastAsia"/>
                <w:color w:val="auto"/>
                <w:lang w:eastAsia="zh-CN"/>
              </w:rPr>
              <w:t>）；</w:t>
            </w:r>
          </w:p>
        </w:tc>
      </w:tr>
      <w:tr w14:paraId="3A35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041CE6F8">
            <w:pPr>
              <w:ind w:firstLine="0" w:firstLineChars="0"/>
              <w:jc w:val="center"/>
              <w:rPr>
                <w:color w:val="auto"/>
              </w:rPr>
            </w:pPr>
          </w:p>
        </w:tc>
        <w:tc>
          <w:tcPr>
            <w:tcW w:w="819" w:type="dxa"/>
            <w:vAlign w:val="top"/>
          </w:tcPr>
          <w:p w14:paraId="07BBB528">
            <w:pPr>
              <w:ind w:firstLine="0" w:firstLineChars="0"/>
              <w:jc w:val="right"/>
              <w:rPr>
                <w:rFonts w:hint="default" w:eastAsia="宋体"/>
                <w:color w:val="auto"/>
                <w:position w:val="-12"/>
                <w:vertAlign w:val="subscript"/>
                <w:lang w:val="en-US" w:eastAsia="zh-CN"/>
              </w:rPr>
            </w:pPr>
            <w:r>
              <w:rPr>
                <w:color w:val="auto"/>
                <w:position w:val="-12"/>
              </w:rPr>
              <w:object>
                <v:shape id="_x0000_i1104" o:spt="75" type="#_x0000_t75" style="height:18.45pt;width:16.95pt;" o:ole="t" filled="f" o:preferrelative="t" stroked="f" coordsize="21600,21600">
                  <v:path/>
                  <v:fill on="f" focussize="0,0"/>
                  <v:stroke on="f"/>
                  <v:imagedata r:id="rId215" o:title=""/>
                  <o:lock v:ext="edit" aspectratio="t"/>
                  <w10:wrap type="none"/>
                  <w10:anchorlock/>
                </v:shape>
                <o:OLEObject Type="Embed" ProgID="Equation.DSMT4" ShapeID="_x0000_i1104" DrawAspect="Content" ObjectID="_1468075804" r:id="rId214">
                  <o:LockedField>false</o:LockedField>
                </o:OLEObject>
              </w:object>
            </w:r>
          </w:p>
        </w:tc>
        <w:tc>
          <w:tcPr>
            <w:tcW w:w="697" w:type="dxa"/>
            <w:vAlign w:val="top"/>
          </w:tcPr>
          <w:p w14:paraId="34BDEC3C">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166" w:type="dxa"/>
            <w:gridSpan w:val="2"/>
            <w:vAlign w:val="center"/>
          </w:tcPr>
          <w:p w14:paraId="08287849">
            <w:pPr>
              <w:ind w:firstLine="0" w:firstLineChars="0"/>
              <w:rPr>
                <w:rFonts w:hint="eastAsia" w:ascii="Times New Roman" w:hAnsi="Times New Roman" w:cs="Times New Roman" w:eastAsiaTheme="minorEastAsia"/>
                <w:color w:val="auto"/>
                <w:kern w:val="2"/>
                <w:sz w:val="24"/>
                <w:lang w:val="en-US" w:eastAsia="zh-CN" w:bidi="ar-SA"/>
              </w:rPr>
            </w:pPr>
            <w:r>
              <w:rPr>
                <w:rFonts w:hint="eastAsia" w:eastAsiaTheme="minorEastAsia"/>
                <w:color w:val="auto"/>
                <w:lang w:eastAsia="zh-CN"/>
              </w:rPr>
              <w:t>与同一侧板相连的纵筋的截面面积（</w:t>
            </w:r>
            <w:r>
              <w:rPr>
                <w:rFonts w:hint="eastAsia" w:eastAsiaTheme="minorEastAsia"/>
                <w:color w:val="auto"/>
                <w:lang w:val="en-US" w:eastAsia="zh-CN"/>
              </w:rPr>
              <w:t>mm</w:t>
            </w:r>
            <w:r>
              <w:rPr>
                <w:rFonts w:hint="eastAsia" w:eastAsiaTheme="minorEastAsia"/>
                <w:color w:val="auto"/>
                <w:vertAlign w:val="superscript"/>
                <w:lang w:val="en-US" w:eastAsia="zh-CN"/>
              </w:rPr>
              <w:t>2</w:t>
            </w:r>
            <w:r>
              <w:rPr>
                <w:rFonts w:hint="eastAsia" w:eastAsiaTheme="minorEastAsia"/>
                <w:color w:val="auto"/>
                <w:lang w:eastAsia="zh-CN"/>
              </w:rPr>
              <w:t>）；</w:t>
            </w:r>
          </w:p>
        </w:tc>
      </w:tr>
      <w:tr w14:paraId="0C731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4" w:type="dxa"/>
            <w:vAlign w:val="top"/>
          </w:tcPr>
          <w:p w14:paraId="39363714">
            <w:pPr>
              <w:ind w:firstLine="0" w:firstLineChars="0"/>
              <w:jc w:val="center"/>
              <w:rPr>
                <w:color w:val="auto"/>
              </w:rPr>
            </w:pPr>
          </w:p>
        </w:tc>
        <w:tc>
          <w:tcPr>
            <w:tcW w:w="819" w:type="dxa"/>
            <w:vAlign w:val="top"/>
          </w:tcPr>
          <w:p w14:paraId="75C5943B">
            <w:pPr>
              <w:ind w:firstLine="0" w:firstLineChars="0"/>
              <w:jc w:val="right"/>
              <w:rPr>
                <w:rFonts w:hint="default" w:eastAsia="宋体"/>
                <w:color w:val="auto"/>
                <w:position w:val="-16"/>
                <w:lang w:val="en-US" w:eastAsia="zh-CN"/>
              </w:rPr>
            </w:pPr>
            <w:r>
              <w:rPr>
                <w:rFonts w:hint="default" w:ascii="Times New Roman" w:hAnsi="Times New Roman" w:cs="Times New Roman"/>
                <w:i/>
                <w:iCs/>
                <w:color w:val="auto"/>
                <w:position w:val="-16"/>
                <w:lang w:eastAsia="zh-CN"/>
              </w:rPr>
              <w:t>η</w:t>
            </w:r>
            <w:r>
              <w:rPr>
                <w:rFonts w:hint="eastAsia" w:cs="Times New Roman"/>
                <w:i/>
                <w:iCs/>
                <w:color w:val="auto"/>
                <w:position w:val="-16"/>
                <w:vertAlign w:val="subscript"/>
                <w:lang w:val="en-US" w:eastAsia="zh-CN"/>
              </w:rPr>
              <w:t>c</w:t>
            </w:r>
            <w:r>
              <w:rPr>
                <w:rFonts w:hint="eastAsia" w:cs="Times New Roman"/>
                <w:i w:val="0"/>
                <w:iCs w:val="0"/>
                <w:color w:val="auto"/>
                <w:position w:val="-16"/>
                <w:vertAlign w:val="subscript"/>
                <w:lang w:val="en-US" w:eastAsia="zh-CN"/>
              </w:rPr>
              <w:t>s</w:t>
            </w:r>
          </w:p>
        </w:tc>
        <w:tc>
          <w:tcPr>
            <w:tcW w:w="697" w:type="dxa"/>
            <w:vAlign w:val="top"/>
          </w:tcPr>
          <w:p w14:paraId="1399A963">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6166" w:type="dxa"/>
            <w:gridSpan w:val="2"/>
            <w:vAlign w:val="center"/>
          </w:tcPr>
          <w:p w14:paraId="5891B7C3">
            <w:pPr>
              <w:ind w:firstLine="0" w:firstLineChars="0"/>
              <w:rPr>
                <w:rFonts w:hint="default" w:ascii="Times New Roman" w:hAnsi="Times New Roman" w:cs="Times New Roman" w:eastAsiaTheme="minorEastAsia"/>
                <w:color w:val="auto"/>
                <w:kern w:val="2"/>
                <w:sz w:val="24"/>
                <w:lang w:val="en-US" w:eastAsia="zh-CN" w:bidi="ar-SA"/>
              </w:rPr>
            </w:pPr>
            <w:r>
              <w:rPr>
                <w:rFonts w:hint="eastAsia"/>
                <w:color w:val="auto"/>
              </w:rPr>
              <w:t>连接</w:t>
            </w:r>
            <w:r>
              <w:rPr>
                <w:rFonts w:hint="eastAsia"/>
                <w:color w:val="auto"/>
                <w:lang w:eastAsia="zh-CN"/>
              </w:rPr>
              <w:t>增大</w:t>
            </w:r>
            <w:r>
              <w:rPr>
                <w:rFonts w:hint="eastAsia"/>
                <w:color w:val="auto"/>
              </w:rPr>
              <w:t>系数</w:t>
            </w:r>
            <w:r>
              <w:rPr>
                <w:rFonts w:hint="eastAsia" w:eastAsiaTheme="minorEastAsia"/>
                <w:color w:val="auto"/>
              </w:rPr>
              <w:t>，</w:t>
            </w:r>
            <w:r>
              <w:rPr>
                <w:rFonts w:hint="eastAsia"/>
                <w:color w:val="auto"/>
                <w:lang w:eastAsia="zh-CN"/>
              </w:rPr>
              <w:t>取</w:t>
            </w:r>
            <w:r>
              <w:rPr>
                <w:rFonts w:hint="eastAsia"/>
                <w:color w:val="auto"/>
                <w:lang w:val="en-US" w:eastAsia="zh-CN"/>
              </w:rPr>
              <w:t>2.0。</w:t>
            </w:r>
          </w:p>
        </w:tc>
      </w:tr>
    </w:tbl>
    <w:p w14:paraId="1710CE11">
      <w:pPr>
        <w:pStyle w:val="43"/>
        <w:tabs>
          <w:tab w:val="left" w:pos="420"/>
        </w:tabs>
        <w:ind w:firstLine="480"/>
        <w:rPr>
          <w:rFonts w:hint="eastAsia"/>
          <w:lang w:val="en-US" w:eastAsia="zh-CN"/>
        </w:rPr>
      </w:pPr>
      <w:r>
        <w:rPr>
          <w:rFonts w:hint="eastAsia"/>
          <w:lang w:val="en-US" w:eastAsia="zh-CN"/>
        </w:rPr>
        <w:t>应按照附录A的试验方法对分体式柱端钢组</w:t>
      </w:r>
      <w:r>
        <w:rPr>
          <w:rFonts w:hint="eastAsia"/>
        </w:rPr>
        <w:t>件</w:t>
      </w:r>
      <w:r>
        <w:rPr>
          <w:rFonts w:hint="eastAsia"/>
          <w:lang w:val="en-US" w:eastAsia="zh-CN"/>
        </w:rPr>
        <w:t>进行拉伸性能检验，试验结果应为钢筋断裂而柱端钢组</w:t>
      </w:r>
      <w:r>
        <w:rPr>
          <w:rFonts w:hint="eastAsia"/>
        </w:rPr>
        <w:t>件</w:t>
      </w:r>
      <w:r>
        <w:rPr>
          <w:rFonts w:hint="eastAsia"/>
          <w:lang w:val="en-US" w:eastAsia="zh-CN"/>
        </w:rPr>
        <w:t>不发生破坏。</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7116B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tcPr>
          <w:p w14:paraId="63961945">
            <w:pPr>
              <w:pStyle w:val="43"/>
              <w:numPr>
                <w:ilvl w:val="3"/>
                <w:numId w:val="0"/>
              </w:numPr>
              <w:tabs>
                <w:tab w:val="left" w:pos="420"/>
              </w:tabs>
              <w:bidi w:val="0"/>
              <w:jc w:val="both"/>
            </w:pPr>
          </w:p>
          <w:p w14:paraId="57A6B24A">
            <w:pPr>
              <w:pStyle w:val="43"/>
              <w:numPr>
                <w:ilvl w:val="3"/>
                <w:numId w:val="0"/>
              </w:numPr>
              <w:tabs>
                <w:tab w:val="left" w:pos="420"/>
              </w:tabs>
              <w:bidi w:val="0"/>
              <w:ind w:leftChars="200"/>
              <w:jc w:val="center"/>
              <w:rPr>
                <w:rFonts w:hint="eastAsia"/>
                <w:vertAlign w:val="baseline"/>
              </w:rPr>
            </w:pPr>
            <w:r>
              <w:drawing>
                <wp:inline distT="0" distB="0" distL="114300" distR="114300">
                  <wp:extent cx="1865630" cy="1800225"/>
                  <wp:effectExtent l="0" t="0" r="1270" b="9525"/>
                  <wp:docPr id="50"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7"/>
                          <pic:cNvPicPr>
                            <a:picLocks noChangeAspect="1"/>
                          </pic:cNvPicPr>
                        </pic:nvPicPr>
                        <pic:blipFill>
                          <a:blip r:embed="rId216"/>
                          <a:stretch>
                            <a:fillRect/>
                          </a:stretch>
                        </pic:blipFill>
                        <pic:spPr>
                          <a:xfrm>
                            <a:off x="0" y="0"/>
                            <a:ext cx="1865630" cy="1800225"/>
                          </a:xfrm>
                          <a:prstGeom prst="rect">
                            <a:avLst/>
                          </a:prstGeom>
                          <a:noFill/>
                          <a:ln>
                            <a:noFill/>
                          </a:ln>
                        </pic:spPr>
                      </pic:pic>
                    </a:graphicData>
                  </a:graphic>
                </wp:inline>
              </w:drawing>
            </w:r>
          </w:p>
        </w:tc>
        <w:tc>
          <w:tcPr>
            <w:tcW w:w="4258" w:type="dxa"/>
          </w:tcPr>
          <w:p w14:paraId="252F78CE">
            <w:pPr>
              <w:pStyle w:val="43"/>
              <w:numPr>
                <w:ilvl w:val="3"/>
                <w:numId w:val="0"/>
              </w:numPr>
              <w:tabs>
                <w:tab w:val="left" w:pos="420"/>
              </w:tabs>
              <w:bidi w:val="0"/>
              <w:ind w:leftChars="200"/>
              <w:jc w:val="center"/>
            </w:pPr>
            <w:r>
              <w:drawing>
                <wp:inline distT="0" distB="0" distL="114300" distR="114300">
                  <wp:extent cx="2026920" cy="2087880"/>
                  <wp:effectExtent l="0" t="0" r="11430" b="7620"/>
                  <wp:docPr id="5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8"/>
                          <pic:cNvPicPr>
                            <a:picLocks noChangeAspect="1"/>
                          </pic:cNvPicPr>
                        </pic:nvPicPr>
                        <pic:blipFill>
                          <a:blip r:embed="rId217"/>
                          <a:stretch>
                            <a:fillRect/>
                          </a:stretch>
                        </pic:blipFill>
                        <pic:spPr>
                          <a:xfrm>
                            <a:off x="0" y="0"/>
                            <a:ext cx="2026920" cy="2087880"/>
                          </a:xfrm>
                          <a:prstGeom prst="rect">
                            <a:avLst/>
                          </a:prstGeom>
                          <a:noFill/>
                          <a:ln>
                            <a:noFill/>
                          </a:ln>
                        </pic:spPr>
                      </pic:pic>
                    </a:graphicData>
                  </a:graphic>
                </wp:inline>
              </w:drawing>
            </w:r>
          </w:p>
        </w:tc>
      </w:tr>
      <w:tr w14:paraId="02726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4258" w:type="dxa"/>
          </w:tcPr>
          <w:p w14:paraId="6610B5D9">
            <w:pPr>
              <w:pStyle w:val="48"/>
              <w:bidi w:val="0"/>
              <w:rPr>
                <w:rFonts w:hint="default" w:eastAsia="宋体"/>
                <w:vertAlign w:val="baseline"/>
                <w:lang w:val="en-US" w:eastAsia="zh-CN"/>
              </w:rPr>
            </w:pPr>
            <w:r>
              <w:rPr>
                <w:rFonts w:hint="eastAsia" w:ascii="Times New Roman" w:hAnsi="Times New Roman" w:eastAsia="黑体" w:cs="Times New Roman"/>
                <w:color w:val="auto"/>
                <w:kern w:val="2"/>
                <w:sz w:val="21"/>
                <w:szCs w:val="21"/>
                <w:lang w:val="en-US" w:eastAsia="zh-CN" w:bidi="ar-SA"/>
              </w:rPr>
              <w:t>（a）</w:t>
            </w:r>
            <w:r>
              <w:rPr>
                <w:rFonts w:hint="eastAsia" w:eastAsia="黑体" w:cs="Times New Roman"/>
                <w:color w:val="auto"/>
                <w:kern w:val="2"/>
                <w:sz w:val="21"/>
                <w:szCs w:val="21"/>
                <w:lang w:val="en-US" w:eastAsia="zh-CN" w:bidi="ar-SA"/>
              </w:rPr>
              <w:t>分体式柱端钢组件</w:t>
            </w:r>
          </w:p>
        </w:tc>
        <w:tc>
          <w:tcPr>
            <w:tcW w:w="4258" w:type="dxa"/>
          </w:tcPr>
          <w:p w14:paraId="545D7DF7">
            <w:pPr>
              <w:pStyle w:val="48"/>
              <w:bidi w:val="0"/>
              <w:rPr>
                <w:rFonts w:hint="eastAsia" w:ascii="Times New Roman" w:hAnsi="Times New Roman" w:eastAsia="黑体"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（b）整体式</w:t>
            </w:r>
            <w:r>
              <w:rPr>
                <w:rFonts w:hint="eastAsia" w:eastAsia="黑体" w:cs="Times New Roman"/>
                <w:color w:val="auto"/>
                <w:kern w:val="2"/>
                <w:sz w:val="21"/>
                <w:szCs w:val="21"/>
                <w:lang w:val="en-US" w:eastAsia="zh-CN" w:bidi="ar-SA"/>
              </w:rPr>
              <w:t>柱端钢组件</w:t>
            </w:r>
          </w:p>
        </w:tc>
      </w:tr>
    </w:tbl>
    <w:p w14:paraId="121AC455">
      <w:pPr>
        <w:pStyle w:val="45"/>
        <w:bidi w:val="0"/>
        <w:rPr>
          <w:rFonts w:hint="eastAsia"/>
        </w:rPr>
      </w:pPr>
    </w:p>
    <w:p w14:paraId="234F99F0">
      <w:pPr>
        <w:pStyle w:val="45"/>
        <w:bidi w:val="0"/>
        <w:rPr>
          <w:rFonts w:hint="eastAsia"/>
          <w:lang w:eastAsia="zh-CN"/>
        </w:rPr>
      </w:pPr>
      <w:r>
        <w:rPr>
          <w:rFonts w:hint="eastAsia"/>
        </w:rPr>
        <w:t>1—</w:t>
      </w:r>
      <w:r>
        <w:rPr>
          <w:rFonts w:hint="eastAsia"/>
          <w:lang w:eastAsia="zh-CN"/>
        </w:rPr>
        <w:t>简支边</w:t>
      </w:r>
      <w:r>
        <w:rPr>
          <w:rFonts w:hint="eastAsia"/>
        </w:rPr>
        <w:t>；2—</w:t>
      </w:r>
      <w:r>
        <w:rPr>
          <w:rFonts w:hint="eastAsia"/>
          <w:lang w:eastAsia="zh-CN"/>
        </w:rPr>
        <w:t>自由边</w:t>
      </w:r>
      <w:r>
        <w:rPr>
          <w:rFonts w:hint="eastAsia"/>
        </w:rPr>
        <w:t>；3—</w:t>
      </w:r>
      <w:r>
        <w:rPr>
          <w:rFonts w:hint="eastAsia"/>
          <w:lang w:eastAsia="zh-CN"/>
        </w:rPr>
        <w:t>固接边</w:t>
      </w:r>
    </w:p>
    <w:p w14:paraId="00EE59F4">
      <w:pPr>
        <w:pStyle w:val="45"/>
        <w:rPr>
          <w:rFonts w:hint="eastAsia"/>
          <w:lang w:eastAsia="zh-CN"/>
        </w:rPr>
      </w:pPr>
      <w:r>
        <w:rPr>
          <w:rFonts w:hint="eastAsia"/>
          <w:color w:val="auto"/>
        </w:rPr>
        <w:t>图5.</w:t>
      </w:r>
      <w:r>
        <w:rPr>
          <w:rFonts w:hint="eastAsia"/>
          <w:color w:val="auto"/>
          <w:lang w:val="en-US" w:eastAsia="zh-CN"/>
        </w:rPr>
        <w:t>2</w:t>
      </w:r>
      <w:r>
        <w:rPr>
          <w:rFonts w:hint="eastAsia"/>
          <w:color w:val="auto"/>
        </w:rPr>
        <w:t>.</w:t>
      </w:r>
      <w:r>
        <w:rPr>
          <w:rFonts w:hint="eastAsia"/>
          <w:color w:val="auto"/>
          <w:lang w:val="en-US" w:eastAsia="zh-CN"/>
        </w:rPr>
        <w:t>37-1</w:t>
      </w:r>
      <w:r>
        <w:rPr>
          <w:color w:val="auto"/>
        </w:rPr>
        <w:t xml:space="preserve"> </w:t>
      </w:r>
      <w:r>
        <w:rPr>
          <w:rFonts w:hint="eastAsia"/>
          <w:color w:val="auto"/>
        </w:rPr>
        <w:t xml:space="preserve"> </w:t>
      </w:r>
      <w:r>
        <w:rPr>
          <w:rFonts w:hint="eastAsia"/>
          <w:lang w:eastAsia="zh-CN"/>
        </w:rPr>
        <w:t>柱端</w:t>
      </w:r>
      <w:r>
        <w:rPr>
          <w:rFonts w:hint="eastAsia"/>
          <w:lang w:val="en-US" w:eastAsia="zh-CN"/>
        </w:rPr>
        <w:t>钢组</w:t>
      </w:r>
      <w:r>
        <w:rPr>
          <w:rFonts w:hint="eastAsia"/>
          <w:lang w:eastAsia="zh-CN"/>
        </w:rPr>
        <w:t>件受弯计算简图</w:t>
      </w:r>
    </w:p>
    <w:p w14:paraId="0CF8B5B5">
      <w:pPr>
        <w:pStyle w:val="45"/>
        <w:rPr>
          <w:rFonts w:hint="eastAsia"/>
          <w:lang w:eastAsia="zh-CN"/>
        </w:rPr>
      </w:pPr>
    </w:p>
    <w:p w14:paraId="12C95853">
      <w:pPr>
        <w:pStyle w:val="43"/>
        <w:tabs>
          <w:tab w:val="left" w:pos="420"/>
        </w:tabs>
        <w:ind w:firstLine="480"/>
        <w:rPr>
          <w:rFonts w:hint="eastAsia" w:ascii="Times New Roman" w:hAnsi="Times New Roman" w:eastAsia="宋体" w:cs="Times New Roman"/>
          <w:lang w:eastAsia="zh-CN"/>
        </w:rPr>
      </w:pPr>
      <w:r>
        <w:rPr>
          <w:rFonts w:hint="eastAsia" w:ascii="Times New Roman" w:hAnsi="Times New Roman" w:eastAsia="宋体" w:cs="Times New Roman"/>
        </w:rPr>
        <w:t>加劲肋</w:t>
      </w:r>
      <w:r>
        <w:rPr>
          <w:rFonts w:hint="eastAsia" w:cs="Times New Roman"/>
          <w:lang w:val="en-US" w:eastAsia="zh-CN"/>
        </w:rPr>
        <w:t>的计算</w:t>
      </w:r>
      <w:r>
        <w:rPr>
          <w:rFonts w:hint="eastAsia"/>
          <w:lang w:val="en-US" w:eastAsia="zh-CN"/>
        </w:rPr>
        <w:t>应符合下列规定</w:t>
      </w:r>
      <w:r>
        <w:rPr>
          <w:rFonts w:hint="eastAsia" w:ascii="Times New Roman" w:hAnsi="Times New Roman" w:eastAsia="宋体" w:cs="Times New Roman"/>
        </w:rPr>
        <w:t>：</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1216"/>
        <w:gridCol w:w="719"/>
        <w:gridCol w:w="4292"/>
        <w:gridCol w:w="1431"/>
      </w:tblGrid>
      <w:tr w14:paraId="45531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5"/>
            <w:vAlign w:val="center"/>
          </w:tcPr>
          <w:p w14:paraId="4F6B2DCD">
            <w:pPr>
              <w:pStyle w:val="43"/>
              <w:numPr>
                <w:ilvl w:val="3"/>
                <w:numId w:val="0"/>
              </w:numPr>
              <w:ind w:left="0" w:leftChars="0" w:firstLine="480" w:firstLineChars="200"/>
              <w:jc w:val="left"/>
              <w:rPr>
                <w:color w:val="auto"/>
              </w:rPr>
            </w:pPr>
            <w:r>
              <w:rPr>
                <w:rFonts w:hint="eastAsia"/>
                <w:color w:val="auto"/>
              </w:rPr>
              <w:t>1）受拉侧竖向对接焊缝应满足下列公式要求：</w:t>
            </w:r>
          </w:p>
        </w:tc>
      </w:tr>
      <w:tr w14:paraId="43E95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gridSpan w:val="2"/>
            <w:vAlign w:val="center"/>
          </w:tcPr>
          <w:p w14:paraId="007A0B20">
            <w:pPr>
              <w:pStyle w:val="43"/>
              <w:numPr>
                <w:ilvl w:val="3"/>
                <w:numId w:val="0"/>
              </w:numPr>
              <w:ind w:left="0" w:leftChars="0" w:firstLine="0" w:firstLineChars="0"/>
              <w:jc w:val="center"/>
              <w:rPr>
                <w:color w:val="auto"/>
              </w:rPr>
            </w:pPr>
          </w:p>
        </w:tc>
        <w:tc>
          <w:tcPr>
            <w:tcW w:w="5011" w:type="dxa"/>
            <w:gridSpan w:val="2"/>
            <w:vAlign w:val="center"/>
          </w:tcPr>
          <w:p w14:paraId="5E319E95">
            <w:pPr>
              <w:pStyle w:val="43"/>
              <w:numPr>
                <w:ilvl w:val="3"/>
                <w:numId w:val="0"/>
              </w:numPr>
              <w:ind w:left="0" w:leftChars="0" w:firstLine="0" w:firstLineChars="0"/>
              <w:jc w:val="center"/>
              <w:rPr>
                <w:color w:val="auto"/>
              </w:rPr>
            </w:pPr>
            <w:r>
              <w:rPr>
                <w:rFonts w:hint="eastAsia"/>
                <w:color w:val="auto"/>
                <w:position w:val="-30"/>
              </w:rPr>
              <w:object>
                <v:shape id="_x0000_i1105" o:spt="75" type="#_x0000_t75" style="height:35.2pt;width:121.85pt;" o:ole="t" filled="f" o:preferrelative="t" stroked="f" coordsize="21600,21600">
                  <v:path/>
                  <v:fill on="f" focussize="0,0"/>
                  <v:stroke on="f"/>
                  <v:imagedata r:id="rId219" o:title=""/>
                  <o:lock v:ext="edit" aspectratio="f"/>
                  <w10:wrap type="none"/>
                  <w10:anchorlock/>
                </v:shape>
                <o:OLEObject Type="Embed" ProgID="Equation.DSMT4" ShapeID="_x0000_i1105" DrawAspect="Content" ObjectID="_1468075805" r:id="rId218">
                  <o:LockedField>false</o:LockedField>
                </o:OLEObject>
              </w:object>
            </w:r>
          </w:p>
        </w:tc>
        <w:tc>
          <w:tcPr>
            <w:tcW w:w="1431" w:type="dxa"/>
            <w:vAlign w:val="center"/>
          </w:tcPr>
          <w:p w14:paraId="6B9604E9">
            <w:pPr>
              <w:pStyle w:val="43"/>
              <w:numPr>
                <w:ilvl w:val="3"/>
                <w:numId w:val="0"/>
              </w:numPr>
              <w:ind w:left="0" w:leftChars="0" w:firstLine="0" w:firstLineChars="0"/>
              <w:jc w:val="right"/>
              <w:rPr>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2.37-3</w:t>
            </w:r>
            <w:r>
              <w:rPr>
                <w:rFonts w:hint="eastAsia"/>
                <w:color w:val="auto"/>
              </w:rPr>
              <w:t>）</w:t>
            </w:r>
          </w:p>
        </w:tc>
      </w:tr>
      <w:tr w14:paraId="60ABD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gridSpan w:val="2"/>
            <w:vAlign w:val="center"/>
          </w:tcPr>
          <w:p w14:paraId="7F16C168">
            <w:pPr>
              <w:pStyle w:val="43"/>
              <w:numPr>
                <w:ilvl w:val="3"/>
                <w:numId w:val="0"/>
              </w:numPr>
              <w:ind w:left="0" w:leftChars="0" w:firstLine="0" w:firstLineChars="0"/>
              <w:jc w:val="center"/>
              <w:rPr>
                <w:color w:val="auto"/>
              </w:rPr>
            </w:pPr>
          </w:p>
        </w:tc>
        <w:tc>
          <w:tcPr>
            <w:tcW w:w="5011" w:type="dxa"/>
            <w:gridSpan w:val="2"/>
            <w:vAlign w:val="center"/>
          </w:tcPr>
          <w:p w14:paraId="37BB7B4D">
            <w:pPr>
              <w:pStyle w:val="43"/>
              <w:numPr>
                <w:ilvl w:val="3"/>
                <w:numId w:val="0"/>
              </w:numPr>
              <w:ind w:left="0" w:leftChars="0" w:firstLine="0" w:firstLineChars="0"/>
              <w:jc w:val="center"/>
              <w:rPr>
                <w:color w:val="auto"/>
                <w:position w:val="-30"/>
              </w:rPr>
            </w:pPr>
            <w:r>
              <w:rPr>
                <w:rFonts w:hint="eastAsia"/>
                <w:color w:val="auto"/>
                <w:position w:val="-30"/>
              </w:rPr>
              <w:object>
                <v:shape id="_x0000_i1106" o:spt="75" type="#_x0000_t75" style="height:35.2pt;width:129.95pt;" o:ole="t" filled="f" o:preferrelative="t" stroked="f" coordsize="21600,21600">
                  <v:path/>
                  <v:fill on="f" focussize="0,0"/>
                  <v:stroke on="f"/>
                  <v:imagedata r:id="rId221" o:title=""/>
                  <o:lock v:ext="edit" aspectratio="f"/>
                  <w10:wrap type="none"/>
                  <w10:anchorlock/>
                </v:shape>
                <o:OLEObject Type="Embed" ProgID="Equation.DSMT4" ShapeID="_x0000_i1106" DrawAspect="Content" ObjectID="_1468075806" r:id="rId220">
                  <o:LockedField>false</o:LockedField>
                </o:OLEObject>
              </w:object>
            </w:r>
          </w:p>
        </w:tc>
        <w:tc>
          <w:tcPr>
            <w:tcW w:w="1431" w:type="dxa"/>
            <w:vAlign w:val="center"/>
          </w:tcPr>
          <w:p w14:paraId="697ACD2A">
            <w:pPr>
              <w:pStyle w:val="43"/>
              <w:numPr>
                <w:ilvl w:val="3"/>
                <w:numId w:val="0"/>
              </w:numPr>
              <w:ind w:left="0" w:leftChars="0" w:firstLine="0" w:firstLineChars="0"/>
              <w:jc w:val="right"/>
              <w:rPr>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2.37-4</w:t>
            </w:r>
            <w:r>
              <w:rPr>
                <w:rFonts w:hint="eastAsia"/>
                <w:color w:val="auto"/>
              </w:rPr>
              <w:t>）</w:t>
            </w:r>
          </w:p>
        </w:tc>
      </w:tr>
      <w:tr w14:paraId="0A56F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gridSpan w:val="2"/>
            <w:vAlign w:val="center"/>
          </w:tcPr>
          <w:p w14:paraId="05344C44">
            <w:pPr>
              <w:pStyle w:val="43"/>
              <w:numPr>
                <w:ilvl w:val="3"/>
                <w:numId w:val="0"/>
              </w:numPr>
              <w:ind w:left="0" w:leftChars="0" w:firstLine="0" w:firstLineChars="0"/>
              <w:jc w:val="center"/>
              <w:rPr>
                <w:color w:val="auto"/>
              </w:rPr>
            </w:pPr>
          </w:p>
        </w:tc>
        <w:tc>
          <w:tcPr>
            <w:tcW w:w="5011" w:type="dxa"/>
            <w:gridSpan w:val="2"/>
            <w:vAlign w:val="center"/>
          </w:tcPr>
          <w:p w14:paraId="174909B2">
            <w:pPr>
              <w:pStyle w:val="43"/>
              <w:numPr>
                <w:ilvl w:val="3"/>
                <w:numId w:val="0"/>
              </w:numPr>
              <w:ind w:left="0" w:leftChars="0" w:firstLine="0" w:firstLineChars="0"/>
              <w:jc w:val="center"/>
              <w:rPr>
                <w:color w:val="auto"/>
                <w:position w:val="-30"/>
              </w:rPr>
            </w:pPr>
            <w:r>
              <w:rPr>
                <w:rFonts w:hint="eastAsia"/>
                <w:color w:val="auto"/>
                <w:position w:val="-14"/>
              </w:rPr>
              <w:object>
                <v:shape id="_x0000_i1107" o:spt="75" type="#_x0000_t75" style="height:22.9pt;width:91.15pt;" o:ole="t" filled="f" o:preferrelative="t" stroked="f" coordsize="21600,21600">
                  <v:path/>
                  <v:fill on="f" focussize="0,0"/>
                  <v:stroke on="f" joinstyle="miter"/>
                  <v:imagedata r:id="rId223" o:title=""/>
                  <o:lock v:ext="edit" aspectratio="f"/>
                  <w10:wrap type="none"/>
                  <w10:anchorlock/>
                </v:shape>
                <o:OLEObject Type="Embed" ProgID="Equation.DSMT4" ShapeID="_x0000_i1107" DrawAspect="Content" ObjectID="_1468075807" r:id="rId222">
                  <o:LockedField>false</o:LockedField>
                </o:OLEObject>
              </w:object>
            </w:r>
          </w:p>
        </w:tc>
        <w:tc>
          <w:tcPr>
            <w:tcW w:w="1431" w:type="dxa"/>
            <w:vAlign w:val="center"/>
          </w:tcPr>
          <w:p w14:paraId="641444CD">
            <w:pPr>
              <w:pStyle w:val="43"/>
              <w:numPr>
                <w:ilvl w:val="3"/>
                <w:numId w:val="0"/>
              </w:numPr>
              <w:ind w:left="0" w:leftChars="0" w:firstLine="0" w:firstLineChars="0"/>
              <w:jc w:val="right"/>
              <w:rPr>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2.37-5</w:t>
            </w:r>
            <w:r>
              <w:rPr>
                <w:rFonts w:hint="eastAsia"/>
                <w:color w:val="auto"/>
              </w:rPr>
              <w:t>）</w:t>
            </w:r>
          </w:p>
        </w:tc>
      </w:tr>
      <w:tr w14:paraId="347A2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5"/>
            <w:vAlign w:val="center"/>
          </w:tcPr>
          <w:p w14:paraId="56401632">
            <w:pPr>
              <w:pStyle w:val="43"/>
              <w:numPr>
                <w:ilvl w:val="3"/>
                <w:numId w:val="0"/>
              </w:numPr>
              <w:ind w:left="0" w:leftChars="0" w:firstLine="480" w:firstLineChars="200"/>
              <w:jc w:val="left"/>
              <w:rPr>
                <w:color w:val="auto"/>
              </w:rPr>
            </w:pPr>
            <w:r>
              <w:rPr>
                <w:rFonts w:hint="eastAsia"/>
                <w:color w:val="auto"/>
              </w:rPr>
              <w:t>2）受拉侧水平对接焊缝应满足下式要求：</w:t>
            </w:r>
          </w:p>
        </w:tc>
      </w:tr>
      <w:tr w14:paraId="67BDD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gridSpan w:val="2"/>
            <w:vAlign w:val="center"/>
          </w:tcPr>
          <w:p w14:paraId="6815E3FC">
            <w:pPr>
              <w:pStyle w:val="43"/>
              <w:numPr>
                <w:ilvl w:val="3"/>
                <w:numId w:val="0"/>
              </w:numPr>
              <w:ind w:left="0" w:leftChars="0" w:firstLine="0" w:firstLineChars="0"/>
              <w:jc w:val="center"/>
              <w:rPr>
                <w:color w:val="auto"/>
              </w:rPr>
            </w:pPr>
          </w:p>
        </w:tc>
        <w:tc>
          <w:tcPr>
            <w:tcW w:w="5011" w:type="dxa"/>
            <w:gridSpan w:val="2"/>
            <w:vAlign w:val="center"/>
          </w:tcPr>
          <w:p w14:paraId="4138DF6F">
            <w:pPr>
              <w:pStyle w:val="43"/>
              <w:numPr>
                <w:ilvl w:val="3"/>
                <w:numId w:val="0"/>
              </w:numPr>
              <w:ind w:left="0" w:leftChars="0" w:firstLine="0" w:firstLineChars="0"/>
              <w:jc w:val="center"/>
              <w:rPr>
                <w:color w:val="auto"/>
                <w:position w:val="-12"/>
              </w:rPr>
            </w:pPr>
            <w:r>
              <w:rPr>
                <w:rFonts w:hint="eastAsia"/>
                <w:color w:val="auto"/>
                <w:position w:val="-30"/>
              </w:rPr>
              <w:object>
                <v:shape id="_x0000_i1108" o:spt="75" type="#_x0000_t75" style="height:35.2pt;width:125.9pt;" o:ole="t" filled="f" o:preferrelative="t" stroked="f" coordsize="21600,21600">
                  <v:path/>
                  <v:fill on="f" focussize="0,0"/>
                  <v:stroke on="f"/>
                  <v:imagedata r:id="rId225" o:title=""/>
                  <o:lock v:ext="edit" aspectratio="f"/>
                  <w10:wrap type="none"/>
                  <w10:anchorlock/>
                </v:shape>
                <o:OLEObject Type="Embed" ProgID="Equation.DSMT4" ShapeID="_x0000_i1108" DrawAspect="Content" ObjectID="_1468075808" r:id="rId224">
                  <o:LockedField>false</o:LockedField>
                </o:OLEObject>
              </w:object>
            </w:r>
          </w:p>
        </w:tc>
        <w:tc>
          <w:tcPr>
            <w:tcW w:w="1431" w:type="dxa"/>
            <w:vAlign w:val="center"/>
          </w:tcPr>
          <w:p w14:paraId="0874225F">
            <w:pPr>
              <w:pStyle w:val="43"/>
              <w:numPr>
                <w:ilvl w:val="3"/>
                <w:numId w:val="0"/>
              </w:numPr>
              <w:ind w:left="0" w:leftChars="0" w:firstLine="0" w:firstLineChars="0"/>
              <w:jc w:val="right"/>
              <w:rPr>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2.37-6</w:t>
            </w:r>
            <w:r>
              <w:rPr>
                <w:rFonts w:hint="eastAsia"/>
                <w:color w:val="auto"/>
              </w:rPr>
              <w:t>）</w:t>
            </w:r>
          </w:p>
        </w:tc>
      </w:tr>
      <w:tr w14:paraId="3F8A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top"/>
          </w:tcPr>
          <w:p w14:paraId="03C31119">
            <w:pPr>
              <w:ind w:firstLine="0" w:firstLineChars="0"/>
              <w:jc w:val="center"/>
              <w:rPr>
                <w:color w:val="auto"/>
              </w:rPr>
            </w:pPr>
            <w:r>
              <w:rPr>
                <w:rFonts w:hint="eastAsia"/>
                <w:color w:val="auto"/>
              </w:rPr>
              <w:t>式中：</w:t>
            </w:r>
          </w:p>
        </w:tc>
        <w:tc>
          <w:tcPr>
            <w:tcW w:w="1216" w:type="dxa"/>
            <w:vAlign w:val="top"/>
          </w:tcPr>
          <w:p w14:paraId="6AE0B0B6">
            <w:pPr>
              <w:ind w:firstLine="0" w:firstLineChars="0"/>
              <w:jc w:val="right"/>
              <w:rPr>
                <w:color w:val="auto"/>
                <w:vertAlign w:val="subscript"/>
              </w:rPr>
            </w:pPr>
            <w:r>
              <w:rPr>
                <w:rFonts w:hint="eastAsia"/>
                <w:color w:val="auto"/>
                <w:position w:val="-12"/>
              </w:rPr>
              <w:object>
                <v:shape id="_x0000_i1109" o:spt="75" type="#_x0000_t75" style="height:18pt;width:16.9pt;" o:ole="t" filled="f" o:preferrelative="t" stroked="f" coordsize="21600,21600">
                  <v:path/>
                  <v:fill on="f" focussize="0,0"/>
                  <v:stroke on="f" joinstyle="miter"/>
                  <v:imagedata r:id="rId227" o:title=""/>
                  <o:lock v:ext="edit" aspectratio="f"/>
                  <w10:wrap type="none"/>
                  <w10:anchorlock/>
                </v:shape>
                <o:OLEObject Type="Embed" ProgID="Equation.DSMT4" ShapeID="_x0000_i1109" DrawAspect="Content" ObjectID="_1468075809" r:id="rId226">
                  <o:LockedField>false</o:LockedField>
                </o:OLEObject>
              </w:object>
            </w:r>
            <w:r>
              <w:rPr>
                <w:rFonts w:hint="eastAsia"/>
                <w:color w:val="auto"/>
                <w:position w:val="-12"/>
              </w:rPr>
              <w:t>、</w:t>
            </w:r>
            <w:r>
              <w:rPr>
                <w:rFonts w:hint="eastAsia"/>
                <w:color w:val="auto"/>
                <w:position w:val="-12"/>
              </w:rPr>
              <w:object>
                <v:shape id="_x0000_i1110" o:spt="75" type="#_x0000_t75" style="height:18pt;width:16.9pt;" o:ole="t" filled="f" o:preferrelative="t" stroked="f" coordsize="21600,21600">
                  <v:path/>
                  <v:fill on="f" focussize="0,0"/>
                  <v:stroke on="f"/>
                  <v:imagedata r:id="rId229" o:title=""/>
                  <o:lock v:ext="edit" aspectratio="f"/>
                  <w10:wrap type="none"/>
                  <w10:anchorlock/>
                </v:shape>
                <o:OLEObject Type="Embed" ProgID="Equation.DSMT4" ShapeID="_x0000_i1110" DrawAspect="Content" ObjectID="_1468075810" r:id="rId228">
                  <o:LockedField>false</o:LockedField>
                </o:OLEObject>
              </w:object>
            </w:r>
          </w:p>
        </w:tc>
        <w:tc>
          <w:tcPr>
            <w:tcW w:w="719" w:type="dxa"/>
            <w:vAlign w:val="top"/>
          </w:tcPr>
          <w:p w14:paraId="302389E9">
            <w:pPr>
              <w:ind w:firstLine="0" w:firstLineChars="0"/>
              <w:jc w:val="center"/>
              <w:rPr>
                <w:rFonts w:eastAsiaTheme="minorEastAsia"/>
                <w:color w:val="auto"/>
              </w:rPr>
            </w:pPr>
            <w:r>
              <w:rPr>
                <w:rFonts w:eastAsiaTheme="minorEastAsia"/>
                <w:color w:val="auto"/>
                <w:szCs w:val="24"/>
              </w:rPr>
              <w:t>——</w:t>
            </w:r>
          </w:p>
        </w:tc>
        <w:tc>
          <w:tcPr>
            <w:tcW w:w="5723" w:type="dxa"/>
            <w:gridSpan w:val="2"/>
            <w:vAlign w:val="center"/>
          </w:tcPr>
          <w:p w14:paraId="55436181">
            <w:pPr>
              <w:ind w:firstLine="0" w:firstLineChars="0"/>
              <w:rPr>
                <w:rFonts w:eastAsiaTheme="minorEastAsia"/>
                <w:color w:val="auto"/>
              </w:rPr>
            </w:pPr>
            <w:r>
              <w:rPr>
                <w:rFonts w:hint="eastAsia" w:eastAsiaTheme="minorEastAsia"/>
                <w:color w:val="auto"/>
              </w:rPr>
              <w:t>分别为垂直于受拉侧竖向对接焊缝、受拉侧水平对接焊缝长度方向的拉应力（N/mm</w:t>
            </w:r>
            <w:r>
              <w:rPr>
                <w:rFonts w:hint="eastAsia" w:eastAsiaTheme="minorEastAsia"/>
                <w:color w:val="auto"/>
                <w:vertAlign w:val="superscript"/>
              </w:rPr>
              <w:t>2</w:t>
            </w:r>
            <w:r>
              <w:rPr>
                <w:rFonts w:hint="eastAsia" w:eastAsiaTheme="minorEastAsia"/>
                <w:color w:val="auto"/>
              </w:rPr>
              <w:t>）</w:t>
            </w:r>
            <w:r>
              <w:rPr>
                <w:rFonts w:hint="eastAsia" w:eastAsiaTheme="minorEastAsia"/>
                <w:color w:val="auto"/>
                <w:lang w:eastAsia="zh-CN"/>
              </w:rPr>
              <w:t>（</w:t>
            </w:r>
            <w:r>
              <w:rPr>
                <w:rFonts w:hint="eastAsia" w:eastAsiaTheme="minorEastAsia"/>
                <w:color w:val="auto"/>
                <w:lang w:val="en-US" w:eastAsia="zh-CN"/>
              </w:rPr>
              <w:t>图5.2.37-2</w:t>
            </w:r>
            <w:r>
              <w:rPr>
                <w:rFonts w:hint="eastAsia" w:eastAsiaTheme="minorEastAsia"/>
                <w:color w:val="auto"/>
                <w:lang w:eastAsia="zh-CN"/>
              </w:rPr>
              <w:t>）</w:t>
            </w:r>
            <w:r>
              <w:rPr>
                <w:rFonts w:hint="eastAsia" w:eastAsiaTheme="minorEastAsia"/>
                <w:color w:val="auto"/>
              </w:rPr>
              <w:t>；</w:t>
            </w:r>
          </w:p>
        </w:tc>
      </w:tr>
      <w:tr w14:paraId="5F1AB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5609F8C0">
            <w:pPr>
              <w:ind w:firstLine="0" w:firstLineChars="0"/>
              <w:jc w:val="center"/>
              <w:rPr>
                <w:color w:val="auto"/>
              </w:rPr>
            </w:pPr>
          </w:p>
        </w:tc>
        <w:tc>
          <w:tcPr>
            <w:tcW w:w="1216" w:type="dxa"/>
            <w:vAlign w:val="top"/>
          </w:tcPr>
          <w:p w14:paraId="0953FBAD">
            <w:pPr>
              <w:ind w:firstLine="0" w:firstLineChars="0"/>
              <w:jc w:val="right"/>
              <w:rPr>
                <w:color w:val="auto"/>
                <w:position w:val="-12"/>
              </w:rPr>
            </w:pPr>
            <w:r>
              <w:rPr>
                <w:rFonts w:hint="eastAsia"/>
                <w:color w:val="auto"/>
                <w:position w:val="-12"/>
              </w:rPr>
              <w:object>
                <v:shape id="_x0000_i1111" o:spt="75" type="#_x0000_t75" style="height:18pt;width:13.9pt;" o:ole="t" filled="f" o:preferrelative="t" stroked="f" coordsize="21600,21600">
                  <v:path/>
                  <v:fill on="f" focussize="0,0"/>
                  <v:stroke on="f" joinstyle="miter"/>
                  <v:imagedata r:id="rId231" o:title=""/>
                  <o:lock v:ext="edit" aspectratio="f"/>
                  <w10:wrap type="none"/>
                  <w10:anchorlock/>
                </v:shape>
                <o:OLEObject Type="Embed" ProgID="Equation.DSMT4" ShapeID="_x0000_i1111" DrawAspect="Content" ObjectID="_1468075811" r:id="rId230">
                  <o:LockedField>false</o:LockedField>
                </o:OLEObject>
              </w:object>
            </w:r>
          </w:p>
        </w:tc>
        <w:tc>
          <w:tcPr>
            <w:tcW w:w="719" w:type="dxa"/>
            <w:vAlign w:val="top"/>
          </w:tcPr>
          <w:p w14:paraId="75B81F19">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top"/>
          </w:tcPr>
          <w:p w14:paraId="571CF3C5">
            <w:pPr>
              <w:ind w:firstLine="0" w:firstLineChars="0"/>
              <w:rPr>
                <w:rFonts w:eastAsiaTheme="minorEastAsia"/>
                <w:color w:val="auto"/>
              </w:rPr>
            </w:pPr>
            <w:r>
              <w:rPr>
                <w:rFonts w:hint="eastAsia" w:eastAsiaTheme="minorEastAsia"/>
                <w:color w:val="auto"/>
              </w:rPr>
              <w:t>平行于受拉侧竖向对接焊缝</w:t>
            </w:r>
            <w:r>
              <w:rPr>
                <w:rFonts w:hint="eastAsia" w:eastAsiaTheme="minorEastAsia"/>
                <w:color w:val="auto"/>
                <w:lang w:val="en-US" w:eastAsia="zh-CN"/>
              </w:rPr>
              <w:t>长度方向的剪应力</w:t>
            </w:r>
            <w:r>
              <w:rPr>
                <w:rFonts w:hint="eastAsia" w:eastAsiaTheme="minorEastAsia"/>
                <w:color w:val="auto"/>
              </w:rPr>
              <w:t>（N/mm</w:t>
            </w:r>
            <w:r>
              <w:rPr>
                <w:rFonts w:hint="eastAsia" w:eastAsiaTheme="minorEastAsia"/>
                <w:color w:val="auto"/>
                <w:vertAlign w:val="superscript"/>
              </w:rPr>
              <w:t>2</w:t>
            </w:r>
            <w:r>
              <w:rPr>
                <w:rFonts w:hint="eastAsia" w:eastAsiaTheme="minorEastAsia"/>
                <w:color w:val="auto"/>
              </w:rPr>
              <w:t>）；</w:t>
            </w:r>
          </w:p>
        </w:tc>
      </w:tr>
      <w:tr w14:paraId="187E5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3845DA64">
            <w:pPr>
              <w:ind w:firstLine="0" w:firstLineChars="0"/>
              <w:jc w:val="center"/>
              <w:rPr>
                <w:color w:val="auto"/>
              </w:rPr>
            </w:pPr>
          </w:p>
        </w:tc>
        <w:tc>
          <w:tcPr>
            <w:tcW w:w="1216" w:type="dxa"/>
            <w:vAlign w:val="top"/>
          </w:tcPr>
          <w:p w14:paraId="5AE1B29F">
            <w:pPr>
              <w:ind w:firstLine="0" w:firstLineChars="0"/>
              <w:jc w:val="right"/>
              <w:rPr>
                <w:color w:val="auto"/>
                <w:position w:val="-12"/>
                <w:vertAlign w:val="subscript"/>
              </w:rPr>
            </w:pPr>
            <w:r>
              <w:rPr>
                <w:rFonts w:hint="eastAsia"/>
                <w:i/>
                <w:iCs/>
                <w:color w:val="auto"/>
                <w:position w:val="-12"/>
                <w:lang w:val="en-US" w:eastAsia="zh-CN"/>
              </w:rPr>
              <w:t>b</w:t>
            </w:r>
            <w:r>
              <w:rPr>
                <w:rFonts w:hint="eastAsia"/>
                <w:i w:val="0"/>
                <w:iCs w:val="0"/>
                <w:color w:val="auto"/>
                <w:position w:val="-12"/>
                <w:vertAlign w:val="subscript"/>
                <w:lang w:val="en-US" w:eastAsia="zh-CN"/>
              </w:rPr>
              <w:t>1</w:t>
            </w:r>
          </w:p>
        </w:tc>
        <w:tc>
          <w:tcPr>
            <w:tcW w:w="719" w:type="dxa"/>
            <w:vAlign w:val="top"/>
          </w:tcPr>
          <w:p w14:paraId="304E227A">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1AEB0C3A">
            <w:pPr>
              <w:ind w:firstLine="0" w:firstLineChars="0"/>
              <w:rPr>
                <w:rFonts w:eastAsiaTheme="minorEastAsia"/>
                <w:color w:val="auto"/>
              </w:rPr>
            </w:pPr>
            <w:r>
              <w:rPr>
                <w:rFonts w:hint="eastAsia" w:eastAsiaTheme="minorEastAsia"/>
                <w:color w:val="auto"/>
              </w:rPr>
              <w:t>加劲肋的宽度（mm）；</w:t>
            </w:r>
          </w:p>
        </w:tc>
      </w:tr>
      <w:tr w14:paraId="086F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03D7265F">
            <w:pPr>
              <w:ind w:firstLine="0" w:firstLineChars="0"/>
              <w:jc w:val="center"/>
              <w:rPr>
                <w:color w:val="auto"/>
              </w:rPr>
            </w:pPr>
          </w:p>
        </w:tc>
        <w:tc>
          <w:tcPr>
            <w:tcW w:w="1216" w:type="dxa"/>
            <w:vAlign w:val="top"/>
          </w:tcPr>
          <w:p w14:paraId="0A83D3BF">
            <w:pPr>
              <w:ind w:firstLine="0" w:firstLineChars="0"/>
              <w:jc w:val="right"/>
              <w:rPr>
                <w:i/>
                <w:iCs/>
                <w:color w:val="auto"/>
                <w:position w:val="-12"/>
              </w:rPr>
            </w:pPr>
            <w:r>
              <w:rPr>
                <w:rFonts w:hint="eastAsia"/>
                <w:i/>
                <w:iCs/>
                <w:color w:val="auto"/>
                <w:position w:val="-12"/>
              </w:rPr>
              <w:t>t</w:t>
            </w:r>
            <w:r>
              <w:rPr>
                <w:rFonts w:hint="eastAsia"/>
                <w:i w:val="0"/>
                <w:iCs w:val="0"/>
                <w:color w:val="auto"/>
                <w:position w:val="-12"/>
                <w:vertAlign w:val="subscript"/>
                <w:lang w:val="en-US" w:eastAsia="zh-CN"/>
              </w:rPr>
              <w:t>1</w:t>
            </w:r>
          </w:p>
        </w:tc>
        <w:tc>
          <w:tcPr>
            <w:tcW w:w="719" w:type="dxa"/>
            <w:vAlign w:val="top"/>
          </w:tcPr>
          <w:p w14:paraId="2CF7ADDC">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6F049ECD">
            <w:pPr>
              <w:ind w:firstLine="0" w:firstLineChars="0"/>
              <w:rPr>
                <w:rFonts w:eastAsiaTheme="minorEastAsia"/>
                <w:color w:val="auto"/>
              </w:rPr>
            </w:pPr>
            <w:r>
              <w:rPr>
                <w:rFonts w:hint="eastAsia" w:eastAsiaTheme="minorEastAsia"/>
                <w:color w:val="auto"/>
              </w:rPr>
              <w:t>加劲肋的厚度（mm）；</w:t>
            </w:r>
          </w:p>
        </w:tc>
      </w:tr>
      <w:tr w14:paraId="2D88F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285B8292">
            <w:pPr>
              <w:ind w:firstLine="0" w:firstLineChars="0"/>
              <w:jc w:val="center"/>
              <w:rPr>
                <w:color w:val="auto"/>
              </w:rPr>
            </w:pPr>
          </w:p>
        </w:tc>
        <w:tc>
          <w:tcPr>
            <w:tcW w:w="1216" w:type="dxa"/>
            <w:vAlign w:val="top"/>
          </w:tcPr>
          <w:p w14:paraId="40242439">
            <w:pPr>
              <w:ind w:firstLine="0" w:firstLineChars="0"/>
              <w:jc w:val="right"/>
              <w:rPr>
                <w:i/>
                <w:iCs/>
                <w:color w:val="auto"/>
                <w:position w:val="-12"/>
              </w:rPr>
            </w:pPr>
            <w:r>
              <w:rPr>
                <w:rFonts w:hint="eastAsia"/>
                <w:i/>
                <w:iCs/>
                <w:color w:val="auto"/>
                <w:position w:val="-12"/>
              </w:rPr>
              <w:t>h</w:t>
            </w:r>
            <w:r>
              <w:rPr>
                <w:rFonts w:hint="eastAsia"/>
                <w:i w:val="0"/>
                <w:iCs w:val="0"/>
                <w:color w:val="auto"/>
                <w:position w:val="-12"/>
                <w:vertAlign w:val="subscript"/>
                <w:lang w:val="en-US" w:eastAsia="zh-CN"/>
              </w:rPr>
              <w:t>1</w:t>
            </w:r>
          </w:p>
        </w:tc>
        <w:tc>
          <w:tcPr>
            <w:tcW w:w="719" w:type="dxa"/>
            <w:vAlign w:val="top"/>
          </w:tcPr>
          <w:p w14:paraId="2102C263">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05E3EEBB">
            <w:pPr>
              <w:ind w:firstLine="0" w:firstLineChars="0"/>
              <w:rPr>
                <w:rFonts w:eastAsiaTheme="minorEastAsia"/>
                <w:color w:val="auto"/>
              </w:rPr>
            </w:pPr>
            <w:r>
              <w:rPr>
                <w:rFonts w:hint="eastAsia" w:eastAsiaTheme="minorEastAsia"/>
                <w:color w:val="auto"/>
              </w:rPr>
              <w:t>加劲肋的高度（mm）；</w:t>
            </w:r>
          </w:p>
        </w:tc>
      </w:tr>
      <w:tr w14:paraId="7FDBC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60B170F6">
            <w:pPr>
              <w:ind w:firstLine="0" w:firstLineChars="0"/>
              <w:jc w:val="center"/>
              <w:rPr>
                <w:color w:val="auto"/>
              </w:rPr>
            </w:pPr>
          </w:p>
        </w:tc>
        <w:tc>
          <w:tcPr>
            <w:tcW w:w="1216" w:type="dxa"/>
            <w:vAlign w:val="top"/>
          </w:tcPr>
          <w:p w14:paraId="68D98092">
            <w:pPr>
              <w:ind w:firstLine="0" w:firstLineChars="0"/>
              <w:jc w:val="right"/>
              <w:rPr>
                <w:i/>
                <w:iCs/>
                <w:color w:val="auto"/>
                <w:position w:val="-12"/>
                <w:vertAlign w:val="subscript"/>
              </w:rPr>
            </w:pPr>
            <w:r>
              <w:rPr>
                <w:rFonts w:hint="eastAsia"/>
                <w:i/>
                <w:iCs/>
                <w:color w:val="auto"/>
                <w:position w:val="-12"/>
              </w:rPr>
              <w:t>S</w:t>
            </w:r>
            <w:r>
              <w:rPr>
                <w:rFonts w:hint="eastAsia"/>
                <w:color w:val="auto"/>
                <w:position w:val="-12"/>
                <w:vertAlign w:val="subscript"/>
              </w:rPr>
              <w:t>1</w:t>
            </w:r>
          </w:p>
        </w:tc>
        <w:tc>
          <w:tcPr>
            <w:tcW w:w="719" w:type="dxa"/>
            <w:vAlign w:val="top"/>
          </w:tcPr>
          <w:p w14:paraId="0C6DAEB1">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153F4399">
            <w:pPr>
              <w:ind w:firstLine="0" w:firstLineChars="0"/>
              <w:rPr>
                <w:rFonts w:eastAsiaTheme="minorEastAsia"/>
                <w:color w:val="auto"/>
              </w:rPr>
            </w:pPr>
            <w:r>
              <w:rPr>
                <w:rFonts w:hint="eastAsia" w:eastAsiaTheme="minorEastAsia"/>
                <w:color w:val="auto"/>
              </w:rPr>
              <w:t>加劲肋切角高度（mm）；</w:t>
            </w:r>
          </w:p>
        </w:tc>
      </w:tr>
      <w:tr w14:paraId="39AF0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68F40843">
            <w:pPr>
              <w:ind w:firstLine="0" w:firstLineChars="0"/>
              <w:jc w:val="center"/>
              <w:rPr>
                <w:color w:val="auto"/>
              </w:rPr>
            </w:pPr>
          </w:p>
        </w:tc>
        <w:tc>
          <w:tcPr>
            <w:tcW w:w="1216" w:type="dxa"/>
            <w:vAlign w:val="top"/>
          </w:tcPr>
          <w:p w14:paraId="324FC341">
            <w:pPr>
              <w:ind w:firstLine="0" w:firstLineChars="0"/>
              <w:jc w:val="right"/>
              <w:rPr>
                <w:i/>
                <w:iCs/>
                <w:color w:val="auto"/>
                <w:position w:val="-12"/>
                <w:vertAlign w:val="subscript"/>
              </w:rPr>
            </w:pPr>
            <w:r>
              <w:rPr>
                <w:rFonts w:hint="eastAsia"/>
                <w:i/>
                <w:iCs/>
                <w:color w:val="auto"/>
                <w:position w:val="-12"/>
              </w:rPr>
              <w:t>S</w:t>
            </w:r>
            <w:r>
              <w:rPr>
                <w:rFonts w:hint="eastAsia"/>
                <w:color w:val="auto"/>
                <w:position w:val="-12"/>
                <w:vertAlign w:val="subscript"/>
              </w:rPr>
              <w:t>2</w:t>
            </w:r>
          </w:p>
        </w:tc>
        <w:tc>
          <w:tcPr>
            <w:tcW w:w="719" w:type="dxa"/>
            <w:vAlign w:val="top"/>
          </w:tcPr>
          <w:p w14:paraId="71820B74">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22A34C61">
            <w:pPr>
              <w:ind w:firstLine="0" w:firstLineChars="0"/>
              <w:rPr>
                <w:rFonts w:eastAsiaTheme="minorEastAsia"/>
                <w:color w:val="auto"/>
              </w:rPr>
            </w:pPr>
            <w:r>
              <w:rPr>
                <w:rFonts w:hint="eastAsia" w:eastAsiaTheme="minorEastAsia"/>
                <w:color w:val="auto"/>
              </w:rPr>
              <w:t>加劲肋切角宽度（mm）；</w:t>
            </w:r>
          </w:p>
        </w:tc>
      </w:tr>
      <w:tr w14:paraId="1E249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50F9627B">
            <w:pPr>
              <w:ind w:firstLine="0" w:firstLineChars="0"/>
              <w:jc w:val="center"/>
              <w:rPr>
                <w:color w:val="auto"/>
              </w:rPr>
            </w:pPr>
          </w:p>
        </w:tc>
        <w:tc>
          <w:tcPr>
            <w:tcW w:w="1216" w:type="dxa"/>
            <w:vAlign w:val="top"/>
          </w:tcPr>
          <w:p w14:paraId="08C7009B">
            <w:pPr>
              <w:ind w:firstLine="0" w:firstLineChars="0"/>
              <w:jc w:val="right"/>
              <w:rPr>
                <w:i/>
                <w:iCs/>
                <w:color w:val="auto"/>
                <w:position w:val="-12"/>
              </w:rPr>
            </w:pPr>
            <w:r>
              <w:rPr>
                <w:rFonts w:hint="eastAsia" w:eastAsiaTheme="minorEastAsia"/>
                <w:color w:val="auto"/>
                <w:position w:val="-14"/>
              </w:rPr>
              <w:object>
                <v:shape id="_x0000_i1112" o:spt="75" type="#_x0000_t75" style="height:20.2pt;width:29.2pt;" o:ole="t" filled="f" o:preferrelative="t" stroked="f" coordsize="21600,21600">
                  <v:path/>
                  <v:fill on="f" focussize="0,0"/>
                  <v:stroke on="f"/>
                  <v:imagedata r:id="rId233" o:title=""/>
                  <o:lock v:ext="edit" aspectratio="f"/>
                  <w10:wrap type="none"/>
                  <w10:anchorlock/>
                </v:shape>
                <o:OLEObject Type="Embed" ProgID="Equation.DSMT4" ShapeID="_x0000_i1112" DrawAspect="Content" ObjectID="_1468075812" r:id="rId232">
                  <o:LockedField>false</o:LockedField>
                </o:OLEObject>
              </w:object>
            </w:r>
          </w:p>
        </w:tc>
        <w:tc>
          <w:tcPr>
            <w:tcW w:w="719" w:type="dxa"/>
            <w:vAlign w:val="top"/>
          </w:tcPr>
          <w:p w14:paraId="01792D0A">
            <w:pPr>
              <w:ind w:firstLine="0" w:firstLineChars="0"/>
              <w:jc w:val="center"/>
              <w:rPr>
                <w:rFonts w:eastAsiaTheme="minorEastAsia"/>
                <w:color w:val="auto"/>
                <w:szCs w:val="24"/>
              </w:rPr>
            </w:pPr>
            <w:r>
              <w:rPr>
                <w:color w:val="auto"/>
              </w:rPr>
              <w:t>——</w:t>
            </w:r>
          </w:p>
        </w:tc>
        <w:tc>
          <w:tcPr>
            <w:tcW w:w="5723" w:type="dxa"/>
            <w:gridSpan w:val="2"/>
            <w:vAlign w:val="center"/>
          </w:tcPr>
          <w:p w14:paraId="6F89EB53">
            <w:pPr>
              <w:ind w:firstLine="0" w:firstLineChars="0"/>
              <w:rPr>
                <w:rFonts w:eastAsiaTheme="minorEastAsia"/>
                <w:color w:val="auto"/>
              </w:rPr>
            </w:pPr>
            <w:r>
              <w:rPr>
                <w:rFonts w:hint="eastAsia" w:eastAsiaTheme="minorEastAsia"/>
                <w:color w:val="auto"/>
                <w:position w:val="-12"/>
              </w:rPr>
              <w:t>受</w:t>
            </w:r>
            <w:r>
              <w:rPr>
                <w:rFonts w:hint="eastAsia" w:eastAsiaTheme="minorEastAsia"/>
                <w:color w:val="auto"/>
                <w:position w:val="-12"/>
                <w:lang w:val="en-US" w:eastAsia="zh-CN"/>
              </w:rPr>
              <w:t>拉</w:t>
            </w:r>
            <w:r>
              <w:rPr>
                <w:rFonts w:hint="eastAsia" w:eastAsiaTheme="minorEastAsia"/>
                <w:color w:val="auto"/>
                <w:position w:val="-12"/>
              </w:rPr>
              <w:t>侧区格内法兰板底反力的合力（N），计算法兰板底反力时，法兰连接节点承受的弯矩可取混凝土柱身底截面的受弯承载力设计值；</w:t>
            </w:r>
          </w:p>
        </w:tc>
      </w:tr>
      <w:tr w14:paraId="31308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577FB0B9">
            <w:pPr>
              <w:ind w:firstLine="0" w:firstLineChars="0"/>
              <w:jc w:val="center"/>
              <w:rPr>
                <w:color w:val="auto"/>
              </w:rPr>
            </w:pPr>
          </w:p>
        </w:tc>
        <w:tc>
          <w:tcPr>
            <w:tcW w:w="1216" w:type="dxa"/>
            <w:vAlign w:val="top"/>
          </w:tcPr>
          <w:p w14:paraId="132C0F0B">
            <w:pPr>
              <w:ind w:firstLine="0" w:firstLineChars="0"/>
              <w:jc w:val="right"/>
              <w:rPr>
                <w:i/>
                <w:iCs/>
                <w:color w:val="auto"/>
                <w:position w:val="-12"/>
                <w:vertAlign w:val="subscript"/>
              </w:rPr>
            </w:pPr>
            <w:r>
              <w:rPr>
                <w:i/>
                <w:iCs/>
                <w:color w:val="auto"/>
                <w:position w:val="-12"/>
              </w:rPr>
              <w:t>α</w:t>
            </w:r>
            <w:r>
              <w:rPr>
                <w:rFonts w:hint="eastAsia"/>
                <w:color w:val="auto"/>
                <w:position w:val="-12"/>
                <w:vertAlign w:val="subscript"/>
              </w:rPr>
              <w:t>1</w:t>
            </w:r>
          </w:p>
        </w:tc>
        <w:tc>
          <w:tcPr>
            <w:tcW w:w="719" w:type="dxa"/>
            <w:vAlign w:val="top"/>
          </w:tcPr>
          <w:p w14:paraId="739D967F">
            <w:pPr>
              <w:ind w:firstLine="0" w:firstLineChars="0"/>
              <w:jc w:val="left"/>
              <w:rPr>
                <w:color w:val="auto"/>
              </w:rPr>
            </w:pPr>
            <w:r>
              <w:rPr>
                <w:color w:val="auto"/>
              </w:rPr>
              <w:t>——</w:t>
            </w:r>
          </w:p>
        </w:tc>
        <w:tc>
          <w:tcPr>
            <w:tcW w:w="5723" w:type="dxa"/>
            <w:gridSpan w:val="2"/>
            <w:vAlign w:val="center"/>
          </w:tcPr>
          <w:p w14:paraId="0C04CDE1">
            <w:pPr>
              <w:ind w:firstLine="0" w:firstLineChars="0"/>
              <w:rPr>
                <w:color w:val="auto"/>
              </w:rPr>
            </w:pPr>
            <w:r>
              <w:rPr>
                <w:rFonts w:hint="eastAsia"/>
                <w:color w:val="auto"/>
              </w:rPr>
              <w:t>受拉侧加劲肋承担反力的比例，</w:t>
            </w:r>
            <w:r>
              <w:rPr>
                <w:rFonts w:hint="eastAsia" w:eastAsiaTheme="minorEastAsia"/>
                <w:color w:val="auto"/>
              </w:rPr>
              <w:t>可按沿加劲肋固</w:t>
            </w:r>
            <w:r>
              <w:rPr>
                <w:rFonts w:hint="eastAsia" w:eastAsiaTheme="minorEastAsia"/>
                <w:color w:val="auto"/>
                <w:lang w:val="en-US" w:eastAsia="zh-CN"/>
              </w:rPr>
              <w:t>定</w:t>
            </w:r>
            <w:r>
              <w:rPr>
                <w:rFonts w:hint="eastAsia" w:eastAsiaTheme="minorEastAsia"/>
                <w:color w:val="auto"/>
              </w:rPr>
              <w:t>和沿矩形钢管壁</w:t>
            </w:r>
            <w:r>
              <w:rPr>
                <w:rFonts w:hint="eastAsia" w:eastAsiaTheme="minorEastAsia"/>
                <w:color w:val="auto"/>
                <w:lang w:val="en-US" w:eastAsia="zh-CN"/>
              </w:rPr>
              <w:t>自由</w:t>
            </w:r>
            <w:r>
              <w:rPr>
                <w:rFonts w:hint="eastAsia" w:eastAsiaTheme="minorEastAsia"/>
                <w:color w:val="auto"/>
              </w:rPr>
              <w:t>的弹性板近似计算</w:t>
            </w:r>
            <w:r>
              <w:rPr>
                <w:rFonts w:hint="eastAsia"/>
                <w:color w:val="auto"/>
              </w:rPr>
              <w:t>；</w:t>
            </w:r>
          </w:p>
        </w:tc>
      </w:tr>
      <w:tr w14:paraId="218E6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40635A19">
            <w:pPr>
              <w:ind w:firstLine="0" w:firstLineChars="0"/>
              <w:jc w:val="center"/>
              <w:rPr>
                <w:color w:val="auto"/>
              </w:rPr>
            </w:pPr>
          </w:p>
        </w:tc>
        <w:tc>
          <w:tcPr>
            <w:tcW w:w="1216" w:type="dxa"/>
            <w:vAlign w:val="top"/>
          </w:tcPr>
          <w:p w14:paraId="3CA73BAC">
            <w:pPr>
              <w:ind w:firstLine="0" w:firstLineChars="0"/>
              <w:jc w:val="right"/>
              <w:rPr>
                <w:i/>
                <w:iCs/>
                <w:color w:val="auto"/>
                <w:position w:val="-12"/>
                <w:vertAlign w:val="subscript"/>
              </w:rPr>
            </w:pPr>
            <w:r>
              <w:rPr>
                <w:rFonts w:hint="eastAsia"/>
                <w:i/>
                <w:iCs/>
                <w:color w:val="auto"/>
                <w:position w:val="-12"/>
              </w:rPr>
              <w:t>e</w:t>
            </w:r>
            <w:r>
              <w:rPr>
                <w:rFonts w:hint="eastAsia"/>
                <w:color w:val="auto"/>
                <w:position w:val="-12"/>
                <w:vertAlign w:val="subscript"/>
              </w:rPr>
              <w:t>1</w:t>
            </w:r>
          </w:p>
        </w:tc>
        <w:tc>
          <w:tcPr>
            <w:tcW w:w="719" w:type="dxa"/>
            <w:vAlign w:val="top"/>
          </w:tcPr>
          <w:p w14:paraId="67C1EA4B">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5133050D">
            <w:pPr>
              <w:ind w:firstLine="0" w:firstLineChars="0"/>
              <w:rPr>
                <w:rFonts w:eastAsiaTheme="minorEastAsia"/>
                <w:color w:val="auto"/>
              </w:rPr>
            </w:pPr>
            <w:r>
              <w:rPr>
                <w:rFonts w:hint="eastAsia" w:eastAsiaTheme="minorEastAsia"/>
                <w:color w:val="auto"/>
                <w:lang w:val="en-US" w:eastAsia="zh-CN"/>
              </w:rPr>
              <w:t>受拉侧</w:t>
            </w:r>
            <w:r>
              <w:rPr>
                <w:rFonts w:hint="eastAsia" w:eastAsiaTheme="minorEastAsia"/>
                <w:color w:val="auto"/>
              </w:rPr>
              <w:t>偏心距，取螺栓中心至矩形钢管外壁的距离（mm）；</w:t>
            </w:r>
          </w:p>
        </w:tc>
      </w:tr>
      <w:tr w14:paraId="20CA2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4CA9A732">
            <w:pPr>
              <w:ind w:firstLine="0" w:firstLineChars="0"/>
              <w:jc w:val="center"/>
              <w:rPr>
                <w:color w:val="auto"/>
              </w:rPr>
            </w:pPr>
          </w:p>
        </w:tc>
        <w:tc>
          <w:tcPr>
            <w:tcW w:w="1216" w:type="dxa"/>
            <w:vAlign w:val="top"/>
          </w:tcPr>
          <w:p w14:paraId="5B3BB542">
            <w:pPr>
              <w:ind w:firstLine="0" w:firstLineChars="0"/>
              <w:jc w:val="right"/>
              <w:rPr>
                <w:i/>
                <w:iCs/>
                <w:color w:val="auto"/>
                <w:position w:val="-12"/>
              </w:rPr>
            </w:pPr>
            <w:r>
              <w:rPr>
                <w:i/>
                <w:iCs/>
                <w:color w:val="auto"/>
                <w:position w:val="-12"/>
              </w:rPr>
              <w:object>
                <v:shape id="_x0000_i1113" o:spt="75" type="#_x0000_t75" style="height:19.15pt;width:18pt;" o:ole="t" filled="f" o:preferrelative="t" stroked="f" coordsize="21600,21600">
                  <v:path/>
                  <v:fill on="f" focussize="0,0"/>
                  <v:stroke on="f" joinstyle="miter"/>
                  <v:imagedata r:id="rId37" o:title=""/>
                  <o:lock v:ext="edit" aspectratio="f"/>
                  <w10:wrap type="none"/>
                  <w10:anchorlock/>
                </v:shape>
                <o:OLEObject Type="Embed" ProgID="Equation.DSMT4" ShapeID="_x0000_i1113" DrawAspect="Content" ObjectID="_1468075813" r:id="rId234">
                  <o:LockedField>false</o:LockedField>
                </o:OLEObject>
              </w:object>
            </w:r>
          </w:p>
        </w:tc>
        <w:tc>
          <w:tcPr>
            <w:tcW w:w="719" w:type="dxa"/>
            <w:vAlign w:val="top"/>
          </w:tcPr>
          <w:p w14:paraId="43A8B04F">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21D13A78">
            <w:pPr>
              <w:ind w:firstLine="0" w:firstLineChars="0"/>
              <w:rPr>
                <w:rFonts w:eastAsiaTheme="minorEastAsia"/>
                <w:color w:val="auto"/>
                <w:position w:val="-12"/>
              </w:rPr>
            </w:pPr>
            <w:r>
              <w:rPr>
                <w:rFonts w:hint="eastAsia" w:eastAsiaTheme="minorEastAsia"/>
                <w:color w:val="auto"/>
              </w:rPr>
              <w:t>对接焊缝抗剪强度设计值（N/mm</w:t>
            </w:r>
            <w:r>
              <w:rPr>
                <w:rFonts w:hint="eastAsia" w:eastAsiaTheme="minorEastAsia"/>
                <w:color w:val="auto"/>
                <w:vertAlign w:val="superscript"/>
              </w:rPr>
              <w:t>2</w:t>
            </w:r>
            <w:r>
              <w:rPr>
                <w:rFonts w:hint="eastAsia" w:eastAsiaTheme="minorEastAsia"/>
                <w:color w:val="auto"/>
              </w:rPr>
              <w:t>）；</w:t>
            </w:r>
          </w:p>
        </w:tc>
      </w:tr>
      <w:tr w14:paraId="77D4D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58" w:type="dxa"/>
            <w:vAlign w:val="center"/>
          </w:tcPr>
          <w:p w14:paraId="75259309">
            <w:pPr>
              <w:ind w:firstLine="0" w:firstLineChars="0"/>
              <w:jc w:val="center"/>
              <w:rPr>
                <w:color w:val="auto"/>
              </w:rPr>
            </w:pPr>
          </w:p>
        </w:tc>
        <w:tc>
          <w:tcPr>
            <w:tcW w:w="1216" w:type="dxa"/>
            <w:vAlign w:val="top"/>
          </w:tcPr>
          <w:p w14:paraId="6165E12D">
            <w:pPr>
              <w:ind w:firstLine="0" w:firstLineChars="0"/>
              <w:jc w:val="right"/>
              <w:rPr>
                <w:i/>
                <w:iCs/>
                <w:color w:val="auto"/>
                <w:position w:val="-12"/>
              </w:rPr>
            </w:pPr>
            <w:r>
              <w:rPr>
                <w:i/>
                <w:iCs/>
                <w:color w:val="auto"/>
                <w:position w:val="-12"/>
              </w:rPr>
              <w:object>
                <v:shape id="_x0000_i1114" o:spt="75" type="#_x0000_t75" style="height:19.15pt;width:18pt;" o:ole="t" filled="f" o:preferrelative="t" stroked="f" coordsize="21600,21600">
                  <v:path/>
                  <v:fill on="f" focussize="0,0"/>
                  <v:stroke on="f" joinstyle="miter"/>
                  <v:imagedata r:id="rId33" o:title=""/>
                  <o:lock v:ext="edit" aspectratio="f"/>
                  <w10:wrap type="none"/>
                  <w10:anchorlock/>
                </v:shape>
                <o:OLEObject Type="Embed" ProgID="Equation.DSMT4" ShapeID="_x0000_i1114" DrawAspect="Content" ObjectID="_1468075814" r:id="rId235">
                  <o:LockedField>false</o:LockedField>
                </o:OLEObject>
              </w:object>
            </w:r>
          </w:p>
        </w:tc>
        <w:tc>
          <w:tcPr>
            <w:tcW w:w="719" w:type="dxa"/>
            <w:vAlign w:val="top"/>
          </w:tcPr>
          <w:p w14:paraId="3F3B74C9">
            <w:pPr>
              <w:ind w:firstLine="0" w:firstLineChars="0"/>
              <w:jc w:val="center"/>
              <w:rPr>
                <w:rFonts w:eastAsiaTheme="minorEastAsia"/>
                <w:color w:val="auto"/>
                <w:szCs w:val="24"/>
              </w:rPr>
            </w:pPr>
            <w:r>
              <w:rPr>
                <w:rFonts w:eastAsiaTheme="minorEastAsia"/>
                <w:color w:val="auto"/>
                <w:szCs w:val="24"/>
              </w:rPr>
              <w:t>——</w:t>
            </w:r>
          </w:p>
        </w:tc>
        <w:tc>
          <w:tcPr>
            <w:tcW w:w="5723" w:type="dxa"/>
            <w:gridSpan w:val="2"/>
            <w:vAlign w:val="center"/>
          </w:tcPr>
          <w:p w14:paraId="058BC82E">
            <w:pPr>
              <w:ind w:firstLine="0" w:firstLineChars="0"/>
              <w:rPr>
                <w:rFonts w:eastAsiaTheme="minorEastAsia"/>
                <w:color w:val="auto"/>
                <w:position w:val="-12"/>
              </w:rPr>
            </w:pPr>
            <w:r>
              <w:rPr>
                <w:rFonts w:hint="eastAsia" w:eastAsiaTheme="minorEastAsia"/>
                <w:color w:val="auto"/>
              </w:rPr>
              <w:t>对接焊缝抗拉强度设计值（N/mm</w:t>
            </w:r>
            <w:r>
              <w:rPr>
                <w:rFonts w:hint="eastAsia" w:eastAsiaTheme="minorEastAsia"/>
                <w:color w:val="auto"/>
                <w:vertAlign w:val="superscript"/>
              </w:rPr>
              <w:t>2</w:t>
            </w:r>
            <w:r>
              <w:rPr>
                <w:rFonts w:hint="eastAsia" w:eastAsiaTheme="minorEastAsia"/>
                <w:color w:val="auto"/>
              </w:rPr>
              <w:t>）。</w:t>
            </w:r>
          </w:p>
        </w:tc>
      </w:tr>
      <w:tr w14:paraId="0DF1F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5"/>
            <w:vAlign w:val="center"/>
          </w:tcPr>
          <w:p w14:paraId="0DD44573">
            <w:pPr>
              <w:pStyle w:val="45"/>
              <w:rPr>
                <w:color w:val="auto"/>
              </w:rPr>
            </w:pPr>
            <w:r>
              <w:drawing>
                <wp:inline distT="0" distB="0" distL="114300" distR="114300">
                  <wp:extent cx="1398905" cy="1800225"/>
                  <wp:effectExtent l="0" t="0" r="10795" b="9525"/>
                  <wp:docPr id="13"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9"/>
                          <pic:cNvPicPr>
                            <a:picLocks noChangeAspect="1"/>
                          </pic:cNvPicPr>
                        </pic:nvPicPr>
                        <pic:blipFill>
                          <a:blip r:embed="rId236"/>
                          <a:stretch>
                            <a:fillRect/>
                          </a:stretch>
                        </pic:blipFill>
                        <pic:spPr>
                          <a:xfrm>
                            <a:off x="0" y="0"/>
                            <a:ext cx="1398905" cy="1800225"/>
                          </a:xfrm>
                          <a:prstGeom prst="rect">
                            <a:avLst/>
                          </a:prstGeom>
                          <a:noFill/>
                          <a:ln>
                            <a:noFill/>
                          </a:ln>
                        </pic:spPr>
                      </pic:pic>
                    </a:graphicData>
                  </a:graphic>
                </wp:inline>
              </w:drawing>
            </w:r>
          </w:p>
        </w:tc>
      </w:tr>
    </w:tbl>
    <w:p w14:paraId="353CA36B">
      <w:pPr>
        <w:pStyle w:val="45"/>
        <w:rPr>
          <w:color w:val="auto"/>
        </w:rPr>
      </w:pPr>
      <w:r>
        <w:rPr>
          <w:rFonts w:hint="eastAsia"/>
          <w:color w:val="auto"/>
        </w:rPr>
        <w:t>图</w:t>
      </w:r>
      <w:r>
        <w:rPr>
          <w:rFonts w:hint="eastAsia"/>
          <w:color w:val="auto"/>
          <w:lang w:val="en-US" w:eastAsia="zh-CN"/>
        </w:rPr>
        <w:t>5.2</w:t>
      </w:r>
      <w:r>
        <w:rPr>
          <w:rFonts w:hint="eastAsia"/>
          <w:color w:val="auto"/>
        </w:rPr>
        <w:t>.</w:t>
      </w:r>
      <w:r>
        <w:rPr>
          <w:rFonts w:hint="eastAsia"/>
          <w:color w:val="auto"/>
          <w:lang w:val="en-US" w:eastAsia="zh-CN"/>
        </w:rPr>
        <w:t>37-2</w:t>
      </w:r>
      <w:r>
        <w:rPr>
          <w:color w:val="auto"/>
        </w:rPr>
        <w:t xml:space="preserve"> </w:t>
      </w:r>
      <w:r>
        <w:rPr>
          <w:rFonts w:hint="eastAsia"/>
          <w:color w:val="auto"/>
        </w:rPr>
        <w:t xml:space="preserve"> 加劲肋</w:t>
      </w:r>
      <w:r>
        <w:rPr>
          <w:rFonts w:hint="eastAsia"/>
          <w:color w:val="auto"/>
          <w:lang w:val="en-US" w:eastAsia="zh-CN"/>
        </w:rPr>
        <w:t>受拉侧</w:t>
      </w:r>
      <w:r>
        <w:rPr>
          <w:rFonts w:hint="eastAsia"/>
          <w:color w:val="auto"/>
        </w:rPr>
        <w:t>焊缝计算示意</w:t>
      </w:r>
    </w:p>
    <w:p w14:paraId="4D23DE30">
      <w:pPr>
        <w:pStyle w:val="42"/>
        <w:numPr>
          <w:ilvl w:val="2"/>
          <w:numId w:val="0"/>
        </w:numPr>
        <w:jc w:val="center"/>
        <w:rPr>
          <w:rFonts w:hint="default" w:ascii="Times New Roman" w:hAnsi="Times New Roman" w:cs="Times New Roman"/>
          <w:lang w:val="en-US"/>
        </w:rPr>
      </w:pPr>
      <w:r>
        <w:rPr>
          <w:rFonts w:hint="default" w:ascii="Times New Roman" w:hAnsi="Times New Roman" w:cs="Times New Roman"/>
          <w:b/>
          <w:bCs/>
          <w:color w:val="auto"/>
        </w:rPr>
        <w:t xml:space="preserve">Ⅳ </w:t>
      </w:r>
      <w:r>
        <w:rPr>
          <w:rFonts w:hint="default" w:ascii="Times New Roman" w:hAnsi="Times New Roman" w:cs="Times New Roman"/>
          <w:b/>
          <w:bCs/>
          <w:color w:val="auto"/>
          <w:lang w:val="en-US" w:eastAsia="zh-CN"/>
        </w:rPr>
        <w:t xml:space="preserve"> </w:t>
      </w:r>
      <w:r>
        <w:rPr>
          <w:rFonts w:hint="eastAsia" w:cs="Times New Roman"/>
          <w:b/>
          <w:bCs/>
          <w:color w:val="auto"/>
          <w:lang w:val="en-US" w:eastAsia="zh-CN"/>
        </w:rPr>
        <w:t>其他构件</w:t>
      </w:r>
    </w:p>
    <w:p w14:paraId="11090AA5">
      <w:pPr>
        <w:pStyle w:val="42"/>
        <w:numPr>
          <w:ilvl w:val="2"/>
          <w:numId w:val="9"/>
        </w:numPr>
      </w:pPr>
      <w:r>
        <w:rPr>
          <w:rFonts w:hint="eastAsia"/>
          <w:color w:val="auto"/>
          <w:lang w:val="en-US" w:eastAsia="zh-CN"/>
        </w:rPr>
        <w:t>混凝土叠合板的设计应符合现行行业标准《装配式混凝土结构技术规程》JGJ 1的有关规定，其中钢筋桁架混凝土叠合板的设计尚应符合现行团体标准《钢筋桁架混凝土叠合板应用技术规程》T/CECS 715的有关规定，预应力混凝土叠合板的设计尚应符合现行行业标准《预应力混凝土结构设计规范》JGJ 369的有关规定。</w:t>
      </w:r>
    </w:p>
    <w:p w14:paraId="7A5A465F">
      <w:pPr>
        <w:pStyle w:val="42"/>
        <w:numPr>
          <w:ilvl w:val="2"/>
          <w:numId w:val="9"/>
        </w:numPr>
      </w:pPr>
      <w:r>
        <w:rPr>
          <w:rFonts w:hint="eastAsia"/>
          <w:color w:val="auto"/>
          <w:lang w:val="en-US" w:eastAsia="zh-CN"/>
        </w:rPr>
        <w:t>钢筋桁架楼承板的设计应符合现行行业标准《钢筋桁架楼承板》JG/T 368和现行团体标准《钢筋桁架楼承板应用技术规程》T/CECS 1069的有关规定。</w:t>
      </w:r>
    </w:p>
    <w:p w14:paraId="10D426EE">
      <w:pPr>
        <w:pStyle w:val="42"/>
        <w:numPr>
          <w:ilvl w:val="2"/>
          <w:numId w:val="9"/>
        </w:numPr>
      </w:pPr>
      <w:r>
        <w:rPr>
          <w:rFonts w:hint="eastAsia"/>
          <w:lang w:val="en-US" w:eastAsia="zh-CN"/>
        </w:rPr>
        <w:t>全预制预应力混凝土空心板的设计应符合现行团体标准《装配式多层混凝土结构技术规程》T/CECS 604和《预应力混凝土空心板应用技术规程》T/CECS 1367的有关规定。</w:t>
      </w:r>
    </w:p>
    <w:p w14:paraId="039FD56A">
      <w:pPr>
        <w:pStyle w:val="42"/>
        <w:numPr>
          <w:ilvl w:val="2"/>
          <w:numId w:val="9"/>
        </w:numPr>
      </w:pPr>
      <w:r>
        <w:rPr>
          <w:rFonts w:hint="eastAsia"/>
          <w:lang w:val="en-US" w:eastAsia="zh-CN"/>
        </w:rPr>
        <w:t>采用全预制混凝土实心板时，设计应符合现行国家标准《混凝土结构设计标准》GB/T 50010的有关规定，相邻预制板之间、预制板与预制梁之间应设置配筋混凝土后浇带，预制板的受力钢筋应在后浇带内可靠连接或锚固。</w:t>
      </w:r>
    </w:p>
    <w:p w14:paraId="478D5680">
      <w:pPr>
        <w:pStyle w:val="42"/>
        <w:numPr>
          <w:ilvl w:val="2"/>
          <w:numId w:val="9"/>
        </w:numPr>
      </w:pPr>
      <w:r>
        <w:rPr>
          <w:rFonts w:hint="eastAsia"/>
          <w:lang w:val="en-US" w:eastAsia="zh-CN"/>
        </w:rPr>
        <w:t>预制楼梯可采用板式楼梯或梁式楼梯，楼梯与支承构件之间应采用简支连接，并应符合现行行业标准《装配式混凝土结构技术规程》JGJ 1和《预制混凝土楼梯》JG/T 562的有关规定。</w:t>
      </w:r>
    </w:p>
    <w:p w14:paraId="7787EC65">
      <w:pPr>
        <w:pStyle w:val="42"/>
        <w:numPr>
          <w:ilvl w:val="2"/>
          <w:numId w:val="9"/>
        </w:numPr>
      </w:pPr>
      <w:r>
        <w:rPr>
          <w:rFonts w:hint="eastAsia"/>
          <w:lang w:val="en-US" w:eastAsia="zh-CN"/>
        </w:rPr>
        <w:t>空调板宜采用预制构件，预制构件的负弯矩钢筋应与主体结构可靠连接或锚固。</w:t>
      </w:r>
    </w:p>
    <w:p w14:paraId="0250F215">
      <w:pPr>
        <w:pStyle w:val="42"/>
        <w:numPr>
          <w:ilvl w:val="2"/>
          <w:numId w:val="9"/>
        </w:numPr>
      </w:pPr>
      <w:r>
        <w:rPr>
          <w:rFonts w:hint="eastAsia"/>
          <w:lang w:val="en-US" w:eastAsia="zh-CN"/>
        </w:rPr>
        <w:t>阳台板可采用预制构件或叠合构件，构件的负弯矩钢筋应与主体结构可靠连接或锚固。</w:t>
      </w:r>
    </w:p>
    <w:p w14:paraId="1B4E358E">
      <w:pPr>
        <w:pStyle w:val="39"/>
        <w:pageBreakBefore/>
        <w:widowControl w:val="0"/>
        <w:numPr>
          <w:ilvl w:val="2"/>
          <w:numId w:val="2"/>
        </w:numPr>
        <w:bidi w:val="0"/>
        <w:adjustRightInd w:val="0"/>
        <w:snapToGrid w:val="0"/>
        <w:spacing w:before="100" w:beforeLines="100" w:after="100" w:afterLines="100" w:line="360" w:lineRule="auto"/>
        <w:jc w:val="both"/>
        <w:outlineLvl w:val="0"/>
        <w:sectPr>
          <w:pgSz w:w="11906" w:h="16838"/>
          <w:pgMar w:top="1440" w:right="1803" w:bottom="1440" w:left="1803" w:header="283" w:footer="850" w:gutter="0"/>
          <w:pgNumType w:fmt="decimal"/>
          <w:cols w:space="0" w:num="1"/>
          <w:titlePg/>
          <w:rtlGutter w:val="0"/>
          <w:docGrid w:type="lines" w:linePitch="328" w:charSpace="0"/>
        </w:sectPr>
      </w:pPr>
    </w:p>
    <w:bookmarkEnd w:id="21"/>
    <w:bookmarkEnd w:id="22"/>
    <w:bookmarkEnd w:id="23"/>
    <w:bookmarkEnd w:id="24"/>
    <w:bookmarkEnd w:id="25"/>
    <w:bookmarkEnd w:id="26"/>
    <w:bookmarkEnd w:id="27"/>
    <w:p w14:paraId="5A3AA0F9">
      <w:pPr>
        <w:pStyle w:val="39"/>
        <w:numPr>
          <w:ilvl w:val="0"/>
          <w:numId w:val="9"/>
        </w:numPr>
        <w:spacing w:before="312" w:after="312"/>
      </w:pPr>
      <w:bookmarkStart w:id="39" w:name="_Toc6208"/>
      <w:bookmarkStart w:id="40" w:name="_Toc2322"/>
      <w:bookmarkStart w:id="41" w:name="_Toc3777"/>
      <w:r>
        <w:rPr>
          <w:rFonts w:hint="eastAsia"/>
        </w:rPr>
        <w:t>连接</w:t>
      </w:r>
      <w:r>
        <w:rPr>
          <w:rFonts w:hint="eastAsia"/>
          <w:lang w:val="en-US" w:eastAsia="zh-CN"/>
        </w:rPr>
        <w:t>节点</w:t>
      </w:r>
      <w:r>
        <w:rPr>
          <w:rFonts w:hint="eastAsia"/>
        </w:rPr>
        <w:t>设计</w:t>
      </w:r>
      <w:bookmarkEnd w:id="39"/>
      <w:bookmarkEnd w:id="40"/>
      <w:bookmarkEnd w:id="41"/>
    </w:p>
    <w:p w14:paraId="7C5D400E">
      <w:pPr>
        <w:pStyle w:val="41"/>
        <w:numPr>
          <w:ilvl w:val="1"/>
          <w:numId w:val="9"/>
        </w:numPr>
        <w:spacing w:before="312" w:after="312"/>
      </w:pPr>
      <w:bookmarkStart w:id="42" w:name="_Toc29015"/>
      <w:bookmarkStart w:id="43" w:name="_Toc5712"/>
      <w:bookmarkStart w:id="44" w:name="_Toc16488"/>
      <w:r>
        <w:rPr>
          <w:rFonts w:hint="eastAsia"/>
          <w:lang w:val="en-US" w:eastAsia="zh-CN"/>
        </w:rPr>
        <w:t>梁柱连接节点</w:t>
      </w:r>
      <w:bookmarkEnd w:id="42"/>
      <w:bookmarkEnd w:id="43"/>
      <w:bookmarkEnd w:id="44"/>
    </w:p>
    <w:p w14:paraId="5517E199">
      <w:pPr>
        <w:pStyle w:val="42"/>
        <w:keepNext w:val="0"/>
        <w:keepLines w:val="0"/>
        <w:pageBreakBefore w:val="0"/>
        <w:widowControl w:val="0"/>
        <w:numPr>
          <w:ilvl w:val="2"/>
          <w:numId w:val="0"/>
        </w:numPr>
        <w:kinsoku/>
        <w:wordWrap/>
        <w:overflowPunct/>
        <w:topLinePunct w:val="0"/>
        <w:autoSpaceDE/>
        <w:autoSpaceDN/>
        <w:bidi w:val="0"/>
        <w:adjustRightInd w:val="0"/>
        <w:snapToGrid w:val="0"/>
        <w:jc w:val="center"/>
        <w:textAlignment w:val="auto"/>
        <w:rPr>
          <w:rFonts w:hint="eastAsia"/>
          <w:b/>
          <w:bCs/>
          <w:color w:val="auto"/>
          <w:lang w:val="en-US" w:eastAsia="zh-CN"/>
        </w:rPr>
      </w:pPr>
      <w:bookmarkStart w:id="45" w:name="OLE_LINK3"/>
      <w:r>
        <w:rPr>
          <w:b/>
          <w:bCs/>
          <w:color w:val="auto"/>
        </w:rPr>
        <w:t>Ⅰ</w:t>
      </w:r>
      <w:r>
        <w:rPr>
          <w:rFonts w:hint="eastAsia"/>
          <w:b/>
          <w:bCs/>
          <w:color w:val="auto"/>
        </w:rPr>
        <w:t xml:space="preserve"> </w:t>
      </w:r>
      <w:r>
        <w:rPr>
          <w:rFonts w:hint="eastAsia"/>
          <w:b/>
          <w:bCs/>
          <w:color w:val="auto"/>
          <w:lang w:val="en-US" w:eastAsia="zh-CN"/>
        </w:rPr>
        <w:t xml:space="preserve"> 一般规定</w:t>
      </w:r>
    </w:p>
    <w:bookmarkEnd w:id="45"/>
    <w:p w14:paraId="17121BE5">
      <w:pPr>
        <w:pStyle w:val="42"/>
      </w:pPr>
      <w:bookmarkStart w:id="46" w:name="OLE_LINK1"/>
      <w:r>
        <w:rPr>
          <w:rFonts w:hint="eastAsia"/>
          <w:lang w:val="en-US" w:eastAsia="zh-CN"/>
        </w:rPr>
        <w:t>对于矩形柱</w:t>
      </w:r>
      <w:r>
        <w:rPr>
          <w:rFonts w:hint="eastAsia"/>
          <w:color w:val="auto"/>
          <w:lang w:val="en-US" w:eastAsia="zh-CN"/>
        </w:rPr>
        <w:t>钢组件框架结构</w:t>
      </w:r>
      <w:r>
        <w:rPr>
          <w:rFonts w:hint="eastAsia"/>
          <w:lang w:val="en-US" w:eastAsia="zh-CN"/>
        </w:rPr>
        <w:t>，梁柱节点核心区抗震受剪承载力验算应符合现行国家标准《混凝土结构设计标准》GB/T 50010和《建筑抗震设计标准》GB/T 50011的有关规定。</w:t>
      </w:r>
    </w:p>
    <w:p w14:paraId="09DD07E1">
      <w:pPr>
        <w:pStyle w:val="42"/>
      </w:pPr>
      <w:r>
        <w:rPr>
          <w:rFonts w:hint="eastAsia"/>
          <w:lang w:val="en-US" w:eastAsia="zh-CN"/>
        </w:rPr>
        <w:t>对于异形柱</w:t>
      </w:r>
      <w:r>
        <w:rPr>
          <w:rFonts w:hint="eastAsia"/>
          <w:color w:val="auto"/>
          <w:lang w:val="en-US" w:eastAsia="zh-CN"/>
        </w:rPr>
        <w:t>钢组件框架结构</w:t>
      </w:r>
      <w:r>
        <w:rPr>
          <w:rFonts w:hint="eastAsia"/>
          <w:lang w:val="en-US" w:eastAsia="zh-CN"/>
        </w:rPr>
        <w:t>，梁柱节点核心区抗震受剪承载力验算应符合</w:t>
      </w:r>
      <w:r>
        <w:rPr>
          <w:rFonts w:hint="eastAsia"/>
          <w:color w:val="auto"/>
          <w:lang w:val="en-US" w:eastAsia="zh-CN"/>
        </w:rPr>
        <w:t>现行行业标准</w:t>
      </w:r>
      <w:r>
        <w:rPr>
          <w:rFonts w:hint="eastAsia"/>
          <w:color w:val="auto"/>
          <w:lang w:eastAsia="zh-CN"/>
        </w:rPr>
        <w:t>《混凝土</w:t>
      </w:r>
      <w:r>
        <w:rPr>
          <w:rFonts w:hint="eastAsia"/>
          <w:color w:val="auto"/>
          <w:lang w:val="en-US" w:eastAsia="zh-CN"/>
        </w:rPr>
        <w:t>异形柱结构技术规程</w:t>
      </w:r>
      <w:r>
        <w:rPr>
          <w:rFonts w:hint="eastAsia"/>
          <w:color w:val="auto"/>
          <w:lang w:eastAsia="zh-CN"/>
        </w:rPr>
        <w:t>》</w:t>
      </w:r>
      <w:r>
        <w:rPr>
          <w:rFonts w:hint="eastAsia"/>
          <w:color w:val="auto"/>
          <w:lang w:val="en-US" w:eastAsia="zh-CN"/>
        </w:rPr>
        <w:t>JGJ 149</w:t>
      </w:r>
      <w:r>
        <w:rPr>
          <w:rFonts w:hint="eastAsia"/>
          <w:color w:val="auto"/>
        </w:rPr>
        <w:t>的有关规定</w:t>
      </w:r>
      <w:r>
        <w:rPr>
          <w:rFonts w:hint="eastAsia"/>
          <w:color w:val="auto"/>
          <w:lang w:eastAsia="zh-CN"/>
        </w:rPr>
        <w:t>。</w:t>
      </w:r>
    </w:p>
    <w:p w14:paraId="1DA18810">
      <w:pPr>
        <w:pStyle w:val="42"/>
        <w:bidi w:val="0"/>
        <w:rPr>
          <w:rFonts w:hint="eastAsia"/>
          <w:lang w:val="en-US" w:eastAsia="zh-CN"/>
        </w:rPr>
      </w:pPr>
      <w:r>
        <w:rPr>
          <w:rFonts w:hint="eastAsia"/>
          <w:lang w:val="en-US" w:eastAsia="zh-CN"/>
        </w:rPr>
        <w:t>梁柱连接段内应配置箍筋，并应采用细石混凝土浇筑密实；</w:t>
      </w:r>
      <w:r>
        <w:rPr>
          <w:rFonts w:hint="eastAsia"/>
        </w:rPr>
        <w:t>第1道箍筋距柱</w:t>
      </w:r>
      <w:r>
        <w:rPr>
          <w:rFonts w:hint="eastAsia"/>
          <w:lang w:val="en-US" w:eastAsia="zh-CN"/>
        </w:rPr>
        <w:t>侧</w:t>
      </w:r>
      <w:r>
        <w:rPr>
          <w:rFonts w:hint="eastAsia"/>
        </w:rPr>
        <w:t>不</w:t>
      </w:r>
      <w:r>
        <w:rPr>
          <w:rFonts w:hint="eastAsia"/>
          <w:lang w:val="en-US" w:eastAsia="zh-CN"/>
        </w:rPr>
        <w:t>应</w:t>
      </w:r>
      <w:r>
        <w:rPr>
          <w:rFonts w:hint="eastAsia"/>
        </w:rPr>
        <w:t>超过</w:t>
      </w:r>
      <w:r>
        <w:rPr>
          <w:rFonts w:hint="eastAsia"/>
          <w:lang w:val="en-US" w:eastAsia="zh-CN"/>
        </w:rPr>
        <w:t>5</w:t>
      </w:r>
      <w:r>
        <w:rPr>
          <w:rFonts w:hint="eastAsia"/>
        </w:rPr>
        <w:t>0mm</w:t>
      </w:r>
      <w:r>
        <w:rPr>
          <w:rFonts w:hint="eastAsia"/>
          <w:lang w:eastAsia="zh-CN"/>
        </w:rPr>
        <w:t>，</w:t>
      </w:r>
      <w:r>
        <w:rPr>
          <w:rFonts w:hint="eastAsia"/>
          <w:lang w:val="en-US" w:eastAsia="zh-CN"/>
        </w:rPr>
        <w:t>箍筋间距不宜大于50mm，直径不宜小于8mm</w:t>
      </w:r>
      <w:r>
        <w:rPr>
          <w:rFonts w:hint="eastAsia"/>
          <w:lang w:eastAsia="zh-CN"/>
        </w:rPr>
        <w:t>（</w:t>
      </w:r>
      <w:r>
        <w:rPr>
          <w:rFonts w:hint="eastAsia"/>
          <w:lang w:val="en-US" w:eastAsia="zh-CN"/>
        </w:rPr>
        <w:t>图6.1.3</w:t>
      </w:r>
      <w:r>
        <w:rPr>
          <w:rFonts w:hint="eastAsia"/>
          <w:lang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4"/>
      </w:tblGrid>
      <w:tr w14:paraId="7C118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4" w:type="dxa"/>
            <w:shd w:val="clear" w:color="auto" w:fill="auto"/>
            <w:vAlign w:val="center"/>
          </w:tcPr>
          <w:p w14:paraId="4D09AEA6">
            <w:pPr>
              <w:pStyle w:val="45"/>
              <w:ind w:firstLine="0" w:firstLineChars="0"/>
              <w:jc w:val="center"/>
              <w:rPr>
                <w:rFonts w:hint="default" w:eastAsia="黑体"/>
                <w:lang w:val="en-US" w:eastAsia="zh-CN"/>
              </w:rPr>
            </w:pPr>
            <w:r>
              <w:drawing>
                <wp:inline distT="0" distB="0" distL="114300" distR="114300">
                  <wp:extent cx="2861310" cy="2879725"/>
                  <wp:effectExtent l="0" t="0" r="15240" b="15875"/>
                  <wp:docPr id="42"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8"/>
                          <pic:cNvPicPr>
                            <a:picLocks noChangeAspect="1"/>
                          </pic:cNvPicPr>
                        </pic:nvPicPr>
                        <pic:blipFill>
                          <a:blip r:embed="rId237"/>
                          <a:stretch>
                            <a:fillRect/>
                          </a:stretch>
                        </pic:blipFill>
                        <pic:spPr>
                          <a:xfrm>
                            <a:off x="0" y="0"/>
                            <a:ext cx="2861310" cy="2879725"/>
                          </a:xfrm>
                          <a:prstGeom prst="rect">
                            <a:avLst/>
                          </a:prstGeom>
                          <a:noFill/>
                          <a:ln>
                            <a:noFill/>
                          </a:ln>
                        </pic:spPr>
                      </pic:pic>
                    </a:graphicData>
                  </a:graphic>
                </wp:inline>
              </w:drawing>
            </w:r>
          </w:p>
        </w:tc>
      </w:tr>
    </w:tbl>
    <w:p w14:paraId="6EB4D862">
      <w:pPr>
        <w:pStyle w:val="45"/>
        <w:rPr>
          <w:color w:val="auto"/>
        </w:rPr>
      </w:pPr>
    </w:p>
    <w:p w14:paraId="21EBEAF4">
      <w:pPr>
        <w:pStyle w:val="45"/>
        <w:rPr>
          <w:color w:val="auto"/>
        </w:rPr>
      </w:pPr>
      <w:r>
        <w:rPr>
          <w:color w:val="auto"/>
        </w:rPr>
        <w:t>1—</w:t>
      </w:r>
      <w:r>
        <w:rPr>
          <w:rFonts w:hint="eastAsia"/>
          <w:color w:val="auto"/>
          <w:lang w:val="en-US" w:eastAsia="zh-CN"/>
        </w:rPr>
        <w:t>混凝土柱身</w:t>
      </w:r>
      <w:r>
        <w:rPr>
          <w:color w:val="auto"/>
        </w:rPr>
        <w:t>；2—</w:t>
      </w:r>
      <w:r>
        <w:rPr>
          <w:rFonts w:hint="eastAsia"/>
          <w:color w:val="auto"/>
          <w:lang w:val="en-US" w:eastAsia="zh-CN"/>
        </w:rPr>
        <w:t>连接</w:t>
      </w:r>
      <w:r>
        <w:rPr>
          <w:rFonts w:hint="eastAsia"/>
          <w:lang w:val="en-US" w:eastAsia="zh-CN"/>
        </w:rPr>
        <w:t>焊缝</w:t>
      </w:r>
      <w:r>
        <w:rPr>
          <w:color w:val="auto"/>
        </w:rPr>
        <w:t>；</w:t>
      </w:r>
      <w:r>
        <w:rPr>
          <w:rFonts w:hint="eastAsia"/>
          <w:color w:val="auto"/>
          <w:lang w:val="en-US" w:eastAsia="zh-CN"/>
        </w:rPr>
        <w:t>3</w:t>
      </w:r>
      <w:r>
        <w:rPr>
          <w:color w:val="auto"/>
        </w:rPr>
        <w:t>—</w:t>
      </w:r>
      <w:r>
        <w:rPr>
          <w:rFonts w:hint="eastAsia"/>
          <w:color w:val="auto"/>
          <w:lang w:val="en-US" w:eastAsia="zh-CN"/>
        </w:rPr>
        <w:t>连接段箍筋</w:t>
      </w:r>
      <w:r>
        <w:rPr>
          <w:color w:val="auto"/>
        </w:rPr>
        <w:t>；</w:t>
      </w:r>
      <w:r>
        <w:rPr>
          <w:rFonts w:hint="eastAsia"/>
          <w:color w:val="auto"/>
          <w:lang w:val="en-US" w:eastAsia="zh-CN"/>
        </w:rPr>
        <w:t>4</w:t>
      </w:r>
      <w:r>
        <w:rPr>
          <w:color w:val="auto"/>
        </w:rPr>
        <w:t>—</w:t>
      </w:r>
      <w:r>
        <w:rPr>
          <w:rFonts w:hint="eastAsia"/>
          <w:color w:val="auto"/>
          <w:lang w:val="en-US" w:eastAsia="zh-CN"/>
        </w:rPr>
        <w:t>梁端钢组件</w:t>
      </w:r>
      <w:r>
        <w:rPr>
          <w:color w:val="auto"/>
        </w:rPr>
        <w:t>；</w:t>
      </w:r>
      <w:r>
        <w:rPr>
          <w:rFonts w:hint="eastAsia"/>
          <w:color w:val="auto"/>
          <w:lang w:val="en-US" w:eastAsia="zh-CN"/>
        </w:rPr>
        <w:t>5</w:t>
      </w:r>
      <w:r>
        <w:rPr>
          <w:color w:val="auto"/>
        </w:rPr>
        <w:t>—</w:t>
      </w:r>
      <w:r>
        <w:rPr>
          <w:rFonts w:hint="eastAsia"/>
          <w:color w:val="auto"/>
          <w:lang w:val="en-US" w:eastAsia="zh-CN"/>
        </w:rPr>
        <w:t>混凝土梁身</w:t>
      </w:r>
      <w:r>
        <w:rPr>
          <w:color w:val="auto"/>
        </w:rPr>
        <w:t>；</w:t>
      </w:r>
    </w:p>
    <w:p w14:paraId="4F7E5375">
      <w:pPr>
        <w:pStyle w:val="45"/>
        <w:rPr>
          <w:rFonts w:hint="default" w:eastAsia="黑体"/>
          <w:color w:val="auto"/>
          <w:lang w:val="en-US" w:eastAsia="zh-CN"/>
        </w:rPr>
      </w:pPr>
      <w:r>
        <w:rPr>
          <w:rFonts w:hint="eastAsia"/>
          <w:color w:val="auto"/>
          <w:lang w:val="en-US" w:eastAsia="zh-CN"/>
        </w:rPr>
        <w:t>6</w:t>
      </w:r>
      <w:r>
        <w:rPr>
          <w:color w:val="auto"/>
        </w:rPr>
        <w:t>—</w:t>
      </w:r>
      <w:r>
        <w:rPr>
          <w:rFonts w:hint="eastAsia"/>
          <w:color w:val="auto"/>
          <w:lang w:val="en-US" w:eastAsia="zh-CN"/>
        </w:rPr>
        <w:t>细石混凝土</w:t>
      </w:r>
      <w:r>
        <w:rPr>
          <w:color w:val="auto"/>
        </w:rPr>
        <w:t>；</w:t>
      </w:r>
      <w:r>
        <w:rPr>
          <w:rFonts w:hint="eastAsia"/>
          <w:color w:val="auto"/>
          <w:lang w:val="en-US" w:eastAsia="zh-CN"/>
        </w:rPr>
        <w:t>7</w:t>
      </w:r>
      <w:r>
        <w:rPr>
          <w:color w:val="auto"/>
        </w:rPr>
        <w:t>—</w:t>
      </w:r>
      <w:r>
        <w:rPr>
          <w:rFonts w:hint="eastAsia"/>
          <w:color w:val="auto"/>
          <w:lang w:val="en-US" w:eastAsia="zh-CN"/>
        </w:rPr>
        <w:t>高强螺栓</w:t>
      </w:r>
      <w:r>
        <w:rPr>
          <w:color w:val="auto"/>
        </w:rPr>
        <w:t>；</w:t>
      </w:r>
      <w:r>
        <w:rPr>
          <w:rFonts w:hint="eastAsia"/>
          <w:color w:val="auto"/>
          <w:lang w:val="en-US" w:eastAsia="zh-CN"/>
        </w:rPr>
        <w:t>8</w:t>
      </w:r>
      <w:r>
        <w:rPr>
          <w:color w:val="auto"/>
        </w:rPr>
        <w:t>—</w:t>
      </w:r>
      <w:r>
        <w:rPr>
          <w:rFonts w:hint="eastAsia"/>
          <w:color w:val="auto"/>
          <w:lang w:val="en-US" w:eastAsia="zh-CN"/>
        </w:rPr>
        <w:t>节点域/柱侧钢组件</w:t>
      </w:r>
    </w:p>
    <w:p w14:paraId="4194835D">
      <w:pPr>
        <w:pStyle w:val="45"/>
        <w:rPr>
          <w:rFonts w:hint="eastAsia"/>
          <w:color w:val="auto"/>
        </w:rPr>
      </w:pPr>
      <w:r>
        <w:rPr>
          <w:rFonts w:hint="eastAsia"/>
          <w:color w:val="auto"/>
        </w:rPr>
        <w:t>图</w:t>
      </w:r>
      <w:r>
        <w:rPr>
          <w:rFonts w:hint="eastAsia"/>
          <w:color w:val="auto"/>
          <w:lang w:val="en-US" w:eastAsia="zh-CN"/>
        </w:rPr>
        <w:t>6.1.3</w:t>
      </w:r>
      <w:r>
        <w:rPr>
          <w:color w:val="auto"/>
        </w:rPr>
        <w:t xml:space="preserve"> </w:t>
      </w:r>
      <w:r>
        <w:rPr>
          <w:rFonts w:hint="eastAsia"/>
          <w:color w:val="auto"/>
        </w:rPr>
        <w:t xml:space="preserve"> </w:t>
      </w:r>
      <w:r>
        <w:rPr>
          <w:rFonts w:hint="eastAsia"/>
          <w:color w:val="auto"/>
          <w:lang w:val="en-US" w:eastAsia="zh-CN"/>
        </w:rPr>
        <w:t>梁柱连接节点构造</w:t>
      </w:r>
      <w:r>
        <w:rPr>
          <w:rFonts w:hint="eastAsia"/>
          <w:color w:val="auto"/>
        </w:rPr>
        <w:t>示意</w:t>
      </w:r>
    </w:p>
    <w:p w14:paraId="717F5846">
      <w:pPr>
        <w:rPr>
          <w:rFonts w:hint="eastAsia"/>
          <w:lang w:val="en-US" w:eastAsia="zh-CN"/>
        </w:rPr>
      </w:pPr>
    </w:p>
    <w:p w14:paraId="3D32833E">
      <w:pPr>
        <w:pStyle w:val="42"/>
        <w:rPr>
          <w:rFonts w:hint="eastAsia"/>
          <w:lang w:val="en-US" w:eastAsia="zh-CN"/>
        </w:rPr>
      </w:pPr>
      <w:r>
        <w:rPr>
          <w:rFonts w:hint="eastAsia"/>
          <w:lang w:val="en-US" w:eastAsia="zh-CN"/>
        </w:rPr>
        <w:t>梁端钢组件翼缘与柱侧钢组件、节点域钢组件的焊接均应采用全熔透焊缝，当应用于高层建筑时焊缝质量等级尚应为一级。</w:t>
      </w:r>
    </w:p>
    <w:p w14:paraId="0CB4FADB">
      <w:pPr>
        <w:pStyle w:val="42"/>
      </w:pPr>
      <w:r>
        <w:rPr>
          <w:rFonts w:hint="eastAsia"/>
          <w:lang w:val="en-US" w:eastAsia="zh-CN"/>
        </w:rPr>
        <w:t>梁柱连接接缝截面的受剪承载力应按下列公式验算：</w:t>
      </w:r>
    </w:p>
    <w:p w14:paraId="198AC74E">
      <w:pPr>
        <w:pStyle w:val="43"/>
      </w:pPr>
      <w:r>
        <w:rPr>
          <w:rFonts w:hint="eastAsia"/>
          <w:lang w:val="en-US" w:eastAsia="zh-CN"/>
        </w:rPr>
        <w:t>永久、短暂设计状况</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2"/>
        <w:gridCol w:w="5659"/>
        <w:gridCol w:w="1425"/>
      </w:tblGrid>
      <w:tr w14:paraId="6744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0" w:type="pct"/>
            <w:vAlign w:val="center"/>
          </w:tcPr>
          <w:p w14:paraId="79B5648E">
            <w:pPr>
              <w:pStyle w:val="43"/>
              <w:numPr>
                <w:ilvl w:val="3"/>
                <w:numId w:val="0"/>
              </w:numPr>
              <w:jc w:val="center"/>
              <w:rPr>
                <w:color w:val="auto"/>
              </w:rPr>
            </w:pPr>
          </w:p>
        </w:tc>
        <w:tc>
          <w:tcPr>
            <w:tcW w:w="3322" w:type="pct"/>
            <w:vAlign w:val="center"/>
          </w:tcPr>
          <w:p w14:paraId="263A373A">
            <w:pPr>
              <w:pStyle w:val="43"/>
              <w:numPr>
                <w:ilvl w:val="3"/>
                <w:numId w:val="0"/>
              </w:numPr>
              <w:jc w:val="center"/>
              <w:rPr>
                <w:color w:val="auto"/>
              </w:rPr>
            </w:pPr>
            <w:r>
              <w:rPr>
                <w:color w:val="auto"/>
                <w:position w:val="-12"/>
              </w:rPr>
              <w:object>
                <v:shape id="_x0000_i1115" o:spt="75" type="#_x0000_t75" style="height:20pt;width:42.95pt;" o:ole="t" filled="f" o:preferrelative="t" stroked="f" coordsize="21600,21600">
                  <v:path/>
                  <v:fill on="f" focussize="0,0"/>
                  <v:stroke on="f"/>
                  <v:imagedata r:id="rId239" o:title=""/>
                  <o:lock v:ext="edit" aspectratio="f"/>
                  <w10:wrap type="none"/>
                  <w10:anchorlock/>
                </v:shape>
                <o:OLEObject Type="Embed" ProgID="Equation.DSMT4" ShapeID="_x0000_i1115" DrawAspect="Content" ObjectID="_1468075815" r:id="rId238">
                  <o:LockedField>false</o:LockedField>
                </o:OLEObject>
              </w:object>
            </w:r>
          </w:p>
        </w:tc>
        <w:tc>
          <w:tcPr>
            <w:tcW w:w="836" w:type="pct"/>
            <w:vAlign w:val="center"/>
          </w:tcPr>
          <w:p w14:paraId="411B7FE8">
            <w:pPr>
              <w:pStyle w:val="43"/>
              <w:numPr>
                <w:ilvl w:val="3"/>
                <w:numId w:val="0"/>
              </w:numPr>
              <w:ind w:firstLine="0" w:firstLineChars="0"/>
              <w:jc w:val="right"/>
              <w:rPr>
                <w:color w:val="auto"/>
              </w:rPr>
            </w:pPr>
            <w:r>
              <w:rPr>
                <w:rFonts w:hint="eastAsia"/>
                <w:color w:val="auto"/>
              </w:rPr>
              <w:t>（</w:t>
            </w:r>
            <w:r>
              <w:rPr>
                <w:rFonts w:hint="eastAsia"/>
                <w:color w:val="auto"/>
                <w:lang w:val="en-US" w:eastAsia="zh-CN"/>
              </w:rPr>
              <w:t>6.1.5</w:t>
            </w:r>
            <w:r>
              <w:rPr>
                <w:rFonts w:hint="eastAsia"/>
                <w:color w:val="auto"/>
              </w:rPr>
              <w:t>-1）</w:t>
            </w:r>
          </w:p>
        </w:tc>
      </w:tr>
    </w:tbl>
    <w:p w14:paraId="0B606D4A">
      <w:pPr>
        <w:pStyle w:val="43"/>
      </w:pPr>
      <w:r>
        <w:rPr>
          <w:rFonts w:hint="eastAsia"/>
          <w:lang w:val="en-US" w:eastAsia="zh-CN"/>
        </w:rPr>
        <w:t>地震设计状况</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2"/>
        <w:gridCol w:w="5659"/>
        <w:gridCol w:w="1425"/>
      </w:tblGrid>
      <w:tr w14:paraId="4BB06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0" w:type="pct"/>
            <w:vAlign w:val="center"/>
          </w:tcPr>
          <w:p w14:paraId="780E87D2">
            <w:pPr>
              <w:pStyle w:val="43"/>
              <w:numPr>
                <w:ilvl w:val="3"/>
                <w:numId w:val="0"/>
              </w:numPr>
              <w:jc w:val="center"/>
              <w:rPr>
                <w:color w:val="auto"/>
              </w:rPr>
            </w:pPr>
          </w:p>
        </w:tc>
        <w:tc>
          <w:tcPr>
            <w:tcW w:w="3322" w:type="pct"/>
            <w:vAlign w:val="center"/>
          </w:tcPr>
          <w:p w14:paraId="63317D6C">
            <w:pPr>
              <w:pStyle w:val="43"/>
              <w:numPr>
                <w:ilvl w:val="3"/>
                <w:numId w:val="0"/>
              </w:numPr>
              <w:jc w:val="center"/>
              <w:rPr>
                <w:color w:val="auto"/>
                <w:position w:val="-14"/>
              </w:rPr>
            </w:pPr>
            <w:r>
              <w:rPr>
                <w:color w:val="auto"/>
                <w:position w:val="-12"/>
              </w:rPr>
              <w:object>
                <v:shape id="_x0000_i1116" o:spt="75" type="#_x0000_t75" style="height:20pt;width:73pt;" o:ole="t" filled="f" o:preferrelative="t" stroked="f" coordsize="21600,21600">
                  <v:path/>
                  <v:fill on="f" focussize="0,0"/>
                  <v:stroke on="f"/>
                  <v:imagedata r:id="rId241" o:title=""/>
                  <o:lock v:ext="edit" aspectratio="f"/>
                  <w10:wrap type="none"/>
                  <w10:anchorlock/>
                </v:shape>
                <o:OLEObject Type="Embed" ProgID="Equation.DSMT4" ShapeID="_x0000_i1116" DrawAspect="Content" ObjectID="_1468075816" r:id="rId240">
                  <o:LockedField>false</o:LockedField>
                </o:OLEObject>
              </w:object>
            </w:r>
          </w:p>
        </w:tc>
        <w:tc>
          <w:tcPr>
            <w:tcW w:w="836" w:type="pct"/>
            <w:vAlign w:val="center"/>
          </w:tcPr>
          <w:p w14:paraId="7AA0D290">
            <w:pPr>
              <w:pStyle w:val="43"/>
              <w:numPr>
                <w:ilvl w:val="3"/>
                <w:numId w:val="0"/>
              </w:numPr>
              <w:jc w:val="right"/>
              <w:rPr>
                <w:rFonts w:hint="eastAsia"/>
                <w:color w:val="auto"/>
              </w:rPr>
            </w:pPr>
            <w:r>
              <w:rPr>
                <w:rFonts w:hint="eastAsia"/>
                <w:color w:val="auto"/>
              </w:rPr>
              <w:t>（</w:t>
            </w:r>
            <w:r>
              <w:rPr>
                <w:rFonts w:hint="eastAsia"/>
                <w:color w:val="auto"/>
                <w:lang w:val="en-US" w:eastAsia="zh-CN"/>
              </w:rPr>
              <w:t>6.1.5</w:t>
            </w:r>
            <w:r>
              <w:rPr>
                <w:rFonts w:hint="eastAsia"/>
                <w:color w:val="auto"/>
              </w:rPr>
              <w:t>-</w:t>
            </w:r>
            <w:r>
              <w:rPr>
                <w:rFonts w:hint="eastAsia"/>
                <w:color w:val="auto"/>
                <w:lang w:val="en-US" w:eastAsia="zh-CN"/>
              </w:rPr>
              <w:t>2</w:t>
            </w:r>
            <w:r>
              <w:rPr>
                <w:rFonts w:hint="eastAsia"/>
                <w:color w:val="auto"/>
              </w:rPr>
              <w:t>）</w:t>
            </w:r>
          </w:p>
        </w:tc>
      </w:tr>
      <w:tr w14:paraId="0B9D1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0" w:type="pct"/>
            <w:vAlign w:val="center"/>
          </w:tcPr>
          <w:p w14:paraId="26F21B5F">
            <w:pPr>
              <w:pStyle w:val="43"/>
              <w:numPr>
                <w:ilvl w:val="3"/>
                <w:numId w:val="0"/>
              </w:numPr>
              <w:jc w:val="center"/>
              <w:rPr>
                <w:color w:val="auto"/>
              </w:rPr>
            </w:pPr>
          </w:p>
        </w:tc>
        <w:tc>
          <w:tcPr>
            <w:tcW w:w="3322" w:type="pct"/>
            <w:vAlign w:val="center"/>
          </w:tcPr>
          <w:p w14:paraId="085AD02E">
            <w:pPr>
              <w:pStyle w:val="43"/>
              <w:numPr>
                <w:ilvl w:val="3"/>
                <w:numId w:val="0"/>
              </w:numPr>
              <w:jc w:val="center"/>
              <w:rPr>
                <w:color w:val="auto"/>
                <w:position w:val="-14"/>
              </w:rPr>
            </w:pPr>
            <w:r>
              <w:rPr>
                <w:color w:val="auto"/>
                <w:position w:val="-14"/>
              </w:rPr>
              <w:object>
                <v:shape id="_x0000_i1117" o:spt="75" type="#_x0000_t75" style="height:21.4pt;width:137.8pt;" o:ole="t" filled="f" o:preferrelative="t" stroked="f" coordsize="21600,21600">
                  <v:path/>
                  <v:fill on="f" focussize="0,0"/>
                  <v:stroke on="f"/>
                  <v:imagedata r:id="rId243" o:title=""/>
                  <o:lock v:ext="edit" aspectratio="t"/>
                  <w10:wrap type="none"/>
                  <w10:anchorlock/>
                </v:shape>
                <o:OLEObject Type="Embed" ProgID="Equation.DSMT4" ShapeID="_x0000_i1117" DrawAspect="Content" ObjectID="_1468075817" r:id="rId242">
                  <o:LockedField>false</o:LockedField>
                </o:OLEObject>
              </w:object>
            </w:r>
          </w:p>
        </w:tc>
        <w:tc>
          <w:tcPr>
            <w:tcW w:w="836" w:type="pct"/>
            <w:vAlign w:val="center"/>
          </w:tcPr>
          <w:p w14:paraId="055EC3FD">
            <w:pPr>
              <w:pStyle w:val="43"/>
              <w:numPr>
                <w:ilvl w:val="3"/>
                <w:numId w:val="0"/>
              </w:numPr>
              <w:jc w:val="right"/>
              <w:rPr>
                <w:rFonts w:hint="eastAsia"/>
                <w:color w:val="auto"/>
              </w:rPr>
            </w:pPr>
            <w:r>
              <w:rPr>
                <w:rFonts w:hint="eastAsia"/>
                <w:color w:val="auto"/>
              </w:rPr>
              <w:t>（</w:t>
            </w:r>
            <w:r>
              <w:rPr>
                <w:rFonts w:hint="eastAsia"/>
                <w:color w:val="auto"/>
                <w:lang w:val="en-US" w:eastAsia="zh-CN"/>
              </w:rPr>
              <w:t>6.1.5</w:t>
            </w:r>
            <w:r>
              <w:rPr>
                <w:rFonts w:hint="eastAsia"/>
                <w:color w:val="auto"/>
              </w:rPr>
              <w:t>-</w:t>
            </w:r>
            <w:r>
              <w:rPr>
                <w:rFonts w:hint="eastAsia"/>
                <w:color w:val="auto"/>
                <w:lang w:val="en-US" w:eastAsia="zh-CN"/>
              </w:rPr>
              <w:t>3</w:t>
            </w:r>
            <w:r>
              <w:rPr>
                <w:rFonts w:hint="eastAsia"/>
                <w:color w:val="auto"/>
              </w:rPr>
              <w:t>）</w:t>
            </w:r>
          </w:p>
        </w:tc>
      </w:tr>
    </w:tbl>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5"/>
        <w:gridCol w:w="968"/>
        <w:gridCol w:w="760"/>
        <w:gridCol w:w="5953"/>
      </w:tblGrid>
      <w:tr w14:paraId="4CCD0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26969143">
            <w:pPr>
              <w:ind w:firstLine="0" w:firstLineChars="0"/>
              <w:jc w:val="center"/>
              <w:rPr>
                <w:color w:val="auto"/>
              </w:rPr>
            </w:pPr>
            <w:r>
              <w:rPr>
                <w:rFonts w:hint="eastAsia"/>
                <w:color w:val="auto"/>
              </w:rPr>
              <w:t>式中：</w:t>
            </w:r>
          </w:p>
        </w:tc>
        <w:tc>
          <w:tcPr>
            <w:tcW w:w="968" w:type="dxa"/>
            <w:vAlign w:val="top"/>
          </w:tcPr>
          <w:p w14:paraId="77612312">
            <w:pPr>
              <w:ind w:firstLine="0" w:firstLineChars="0"/>
              <w:jc w:val="right"/>
              <w:rPr>
                <w:color w:val="auto"/>
                <w:position w:val="-12"/>
              </w:rPr>
            </w:pPr>
            <w:r>
              <w:rPr>
                <w:color w:val="auto"/>
                <w:position w:val="-12"/>
              </w:rPr>
              <w:object>
                <v:shape id="_x0000_i1118" o:spt="75" type="#_x0000_t75" style="height:20pt;width:15pt;" o:ole="t" filled="f" o:preferrelative="t" stroked="f" coordsize="21600,21600">
                  <v:path/>
                  <v:fill on="f" focussize="0,0"/>
                  <v:stroke on="f"/>
                  <v:imagedata r:id="rId245" o:title=""/>
                  <o:lock v:ext="edit" aspectratio="f"/>
                  <w10:wrap type="none"/>
                  <w10:anchorlock/>
                </v:shape>
                <o:OLEObject Type="Embed" ProgID="Equation.DSMT4" ShapeID="_x0000_i1118" DrawAspect="Content" ObjectID="_1468075818" r:id="rId244">
                  <o:LockedField>false</o:LockedField>
                </o:OLEObject>
              </w:object>
            </w:r>
          </w:p>
        </w:tc>
        <w:tc>
          <w:tcPr>
            <w:tcW w:w="760" w:type="dxa"/>
            <w:vAlign w:val="top"/>
          </w:tcPr>
          <w:p w14:paraId="3F15C6A8">
            <w:pPr>
              <w:ind w:firstLine="0" w:firstLineChars="0"/>
              <w:jc w:val="center"/>
              <w:rPr>
                <w:rFonts w:eastAsiaTheme="minorEastAsia"/>
                <w:color w:val="auto"/>
                <w:szCs w:val="24"/>
              </w:rPr>
            </w:pPr>
            <w:r>
              <w:rPr>
                <w:rFonts w:eastAsiaTheme="minorEastAsia"/>
                <w:color w:val="auto"/>
                <w:szCs w:val="24"/>
              </w:rPr>
              <w:t>——</w:t>
            </w:r>
          </w:p>
        </w:tc>
        <w:tc>
          <w:tcPr>
            <w:tcW w:w="5953" w:type="dxa"/>
            <w:vAlign w:val="center"/>
          </w:tcPr>
          <w:p w14:paraId="4EBC7A91">
            <w:pPr>
              <w:ind w:firstLine="0" w:firstLineChars="0"/>
              <w:rPr>
                <w:rFonts w:hint="eastAsia" w:eastAsia="宋体"/>
                <w:color w:val="auto"/>
                <w:lang w:eastAsia="zh-CN"/>
              </w:rPr>
            </w:pPr>
            <w:r>
              <w:rPr>
                <w:rFonts w:hint="eastAsia"/>
                <w:lang w:val="en-US" w:eastAsia="zh-CN"/>
              </w:rPr>
              <w:t>永久、短暂设计状况</w:t>
            </w:r>
            <w:r>
              <w:rPr>
                <w:rFonts w:hint="eastAsia"/>
                <w:color w:val="auto"/>
                <w:lang w:val="en-US" w:eastAsia="zh-CN"/>
              </w:rPr>
              <w:t>下</w:t>
            </w:r>
            <w:r>
              <w:rPr>
                <w:rFonts w:hint="eastAsia"/>
                <w:color w:val="auto"/>
              </w:rPr>
              <w:t>接缝剪力设计值</w:t>
            </w:r>
            <w:r>
              <w:rPr>
                <w:rFonts w:hint="eastAsia"/>
                <w:color w:val="auto"/>
                <w:lang w:eastAsia="zh-CN"/>
              </w:rPr>
              <w:t>（</w:t>
            </w:r>
            <w:r>
              <w:rPr>
                <w:rFonts w:hint="eastAsia"/>
                <w:color w:val="auto"/>
                <w:lang w:val="en-US" w:eastAsia="zh-CN"/>
              </w:rPr>
              <w:t>N</w:t>
            </w:r>
            <w:r>
              <w:rPr>
                <w:rFonts w:hint="eastAsia"/>
                <w:color w:val="auto"/>
                <w:lang w:eastAsia="zh-CN"/>
              </w:rPr>
              <w:t>）；</w:t>
            </w:r>
          </w:p>
        </w:tc>
      </w:tr>
      <w:tr w14:paraId="0B518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5C34C7FE">
            <w:pPr>
              <w:ind w:firstLine="0" w:firstLineChars="0"/>
              <w:jc w:val="center"/>
              <w:rPr>
                <w:color w:val="auto"/>
              </w:rPr>
            </w:pPr>
          </w:p>
        </w:tc>
        <w:tc>
          <w:tcPr>
            <w:tcW w:w="968" w:type="dxa"/>
            <w:vAlign w:val="top"/>
          </w:tcPr>
          <w:p w14:paraId="3AF1BB96">
            <w:pPr>
              <w:ind w:firstLine="0" w:firstLineChars="0"/>
              <w:jc w:val="right"/>
              <w:rPr>
                <w:color w:val="auto"/>
                <w:position w:val="-12"/>
                <w:vertAlign w:val="subscript"/>
              </w:rPr>
            </w:pPr>
            <w:r>
              <w:rPr>
                <w:color w:val="auto"/>
                <w:position w:val="-12"/>
                <w:vertAlign w:val="subscript"/>
              </w:rPr>
              <w:object>
                <v:shape id="_x0000_i1119" o:spt="75" type="#_x0000_t75" style="height:20pt;width:19pt;" o:ole="t" filled="f" o:preferrelative="t" stroked="f" coordsize="21600,21600">
                  <v:path/>
                  <v:fill on="f" focussize="0,0"/>
                  <v:stroke on="f"/>
                  <v:imagedata r:id="rId247" o:title=""/>
                  <o:lock v:ext="edit" aspectratio="f"/>
                  <w10:wrap type="none"/>
                  <w10:anchorlock/>
                </v:shape>
                <o:OLEObject Type="Embed" ProgID="Equation.DSMT4" ShapeID="_x0000_i1119" DrawAspect="Content" ObjectID="_1468075819" r:id="rId246">
                  <o:LockedField>false</o:LockedField>
                </o:OLEObject>
              </w:object>
            </w:r>
          </w:p>
        </w:tc>
        <w:tc>
          <w:tcPr>
            <w:tcW w:w="760" w:type="dxa"/>
            <w:vAlign w:val="top"/>
          </w:tcPr>
          <w:p w14:paraId="676DB6DC">
            <w:pPr>
              <w:ind w:firstLine="0" w:firstLineChars="0"/>
              <w:jc w:val="center"/>
              <w:rPr>
                <w:rFonts w:eastAsiaTheme="minorEastAsia"/>
                <w:color w:val="auto"/>
                <w:szCs w:val="24"/>
              </w:rPr>
            </w:pPr>
            <w:r>
              <w:rPr>
                <w:rFonts w:eastAsiaTheme="minorEastAsia"/>
                <w:color w:val="auto"/>
                <w:szCs w:val="24"/>
              </w:rPr>
              <w:t>——</w:t>
            </w:r>
          </w:p>
        </w:tc>
        <w:tc>
          <w:tcPr>
            <w:tcW w:w="5953" w:type="dxa"/>
            <w:vAlign w:val="center"/>
          </w:tcPr>
          <w:p w14:paraId="24F00AB2">
            <w:pPr>
              <w:ind w:firstLine="0" w:firstLineChars="0"/>
              <w:rPr>
                <w:rFonts w:hint="eastAsia" w:eastAsia="宋体"/>
                <w:color w:val="auto"/>
                <w:lang w:eastAsia="zh-CN"/>
              </w:rPr>
            </w:pPr>
            <w:r>
              <w:rPr>
                <w:rFonts w:hint="eastAsia"/>
                <w:color w:val="auto"/>
              </w:rPr>
              <w:t>地震设计状况下接缝剪力设计值</w:t>
            </w:r>
            <w:r>
              <w:rPr>
                <w:rFonts w:hint="eastAsia"/>
                <w:color w:val="auto"/>
                <w:lang w:eastAsia="zh-CN"/>
              </w:rPr>
              <w:t>（</w:t>
            </w:r>
            <w:r>
              <w:rPr>
                <w:rFonts w:hint="eastAsia"/>
                <w:color w:val="auto"/>
                <w:lang w:val="en-US" w:eastAsia="zh-CN"/>
              </w:rPr>
              <w:t>N</w:t>
            </w:r>
            <w:r>
              <w:rPr>
                <w:rFonts w:hint="eastAsia"/>
                <w:color w:val="auto"/>
                <w:lang w:eastAsia="zh-CN"/>
              </w:rPr>
              <w:t>）；</w:t>
            </w:r>
          </w:p>
        </w:tc>
      </w:tr>
      <w:tr w14:paraId="52043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65BE580F">
            <w:pPr>
              <w:ind w:firstLine="0" w:firstLineChars="0"/>
              <w:jc w:val="center"/>
              <w:rPr>
                <w:color w:val="auto"/>
              </w:rPr>
            </w:pPr>
          </w:p>
        </w:tc>
        <w:tc>
          <w:tcPr>
            <w:tcW w:w="968" w:type="dxa"/>
            <w:vAlign w:val="top"/>
          </w:tcPr>
          <w:p w14:paraId="624D8DA5">
            <w:pPr>
              <w:ind w:firstLine="0" w:firstLineChars="0"/>
              <w:jc w:val="right"/>
              <w:rPr>
                <w:color w:val="auto"/>
                <w:position w:val="-14"/>
                <w:vertAlign w:val="subscript"/>
              </w:rPr>
            </w:pPr>
            <w:r>
              <w:rPr>
                <w:color w:val="auto"/>
                <w:position w:val="-12"/>
                <w:vertAlign w:val="subscript"/>
              </w:rPr>
              <w:object>
                <v:shape id="_x0000_i1120" o:spt="75" type="#_x0000_t75" style="height:20pt;width:18pt;" o:ole="t" filled="f" o:preferrelative="t" stroked="f" coordsize="21600,21600">
                  <v:path/>
                  <v:fill on="f" focussize="0,0"/>
                  <v:stroke on="f"/>
                  <v:imagedata r:id="rId249" o:title=""/>
                  <o:lock v:ext="edit" aspectratio="f"/>
                  <w10:wrap type="none"/>
                  <w10:anchorlock/>
                </v:shape>
                <o:OLEObject Type="Embed" ProgID="Equation.DSMT4" ShapeID="_x0000_i1120" DrawAspect="Content" ObjectID="_1468075820" r:id="rId248">
                  <o:LockedField>false</o:LockedField>
                </o:OLEObject>
              </w:object>
            </w:r>
          </w:p>
        </w:tc>
        <w:tc>
          <w:tcPr>
            <w:tcW w:w="760" w:type="dxa"/>
            <w:shd w:val="clear" w:color="auto" w:fill="auto"/>
            <w:vAlign w:val="top"/>
          </w:tcPr>
          <w:p w14:paraId="16E519F3">
            <w:pPr>
              <w:ind w:firstLine="0" w:firstLineChars="0"/>
              <w:jc w:val="center"/>
              <w:rPr>
                <w:rFonts w:eastAsiaTheme="minorEastAsia"/>
                <w:color w:val="auto"/>
                <w:szCs w:val="24"/>
              </w:rPr>
            </w:pPr>
            <w:r>
              <w:rPr>
                <w:rFonts w:eastAsiaTheme="minorEastAsia"/>
                <w:color w:val="auto"/>
                <w:szCs w:val="24"/>
              </w:rPr>
              <w:t>——</w:t>
            </w:r>
          </w:p>
        </w:tc>
        <w:tc>
          <w:tcPr>
            <w:tcW w:w="5953" w:type="dxa"/>
            <w:shd w:val="clear" w:color="auto" w:fill="auto"/>
            <w:vAlign w:val="center"/>
          </w:tcPr>
          <w:p w14:paraId="5AF6FEC7">
            <w:pPr>
              <w:ind w:firstLine="0" w:firstLineChars="0"/>
              <w:rPr>
                <w:rFonts w:hint="eastAsia" w:eastAsia="宋体"/>
                <w:color w:val="auto"/>
                <w:lang w:eastAsia="zh-CN"/>
              </w:rPr>
            </w:pPr>
            <w:r>
              <w:rPr>
                <w:rFonts w:hint="eastAsia"/>
                <w:color w:val="auto"/>
              </w:rPr>
              <w:t>梁与柱连接的</w:t>
            </w:r>
            <w:r>
              <w:rPr>
                <w:rFonts w:ascii="宋体" w:hAnsi="宋体" w:eastAsia="宋体" w:cs="宋体"/>
                <w:sz w:val="24"/>
                <w:szCs w:val="24"/>
              </w:rPr>
              <w:t>受剪承载力设计值</w:t>
            </w:r>
            <w:r>
              <w:rPr>
                <w:rFonts w:hint="eastAsia"/>
                <w:color w:val="auto"/>
                <w:lang w:eastAsia="zh-CN"/>
              </w:rPr>
              <w:t>（</w:t>
            </w:r>
            <w:r>
              <w:rPr>
                <w:rFonts w:hint="eastAsia"/>
                <w:color w:val="auto"/>
                <w:lang w:val="en-US" w:eastAsia="zh-CN"/>
              </w:rPr>
              <w:t>N</w:t>
            </w:r>
            <w:r>
              <w:rPr>
                <w:rFonts w:hint="eastAsia"/>
                <w:color w:val="auto"/>
                <w:lang w:eastAsia="zh-CN"/>
              </w:rPr>
              <w:t>）</w:t>
            </w:r>
            <w:r>
              <w:rPr>
                <w:rFonts w:hint="eastAsia" w:ascii="宋体" w:hAnsi="宋体" w:eastAsia="宋体" w:cs="宋体"/>
                <w:sz w:val="24"/>
                <w:szCs w:val="24"/>
                <w:lang w:eastAsia="zh-CN"/>
              </w:rPr>
              <w:t>；</w:t>
            </w:r>
          </w:p>
        </w:tc>
      </w:tr>
      <w:tr w14:paraId="50A48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56A71FDA">
            <w:pPr>
              <w:ind w:firstLine="0" w:firstLineChars="0"/>
              <w:jc w:val="center"/>
              <w:rPr>
                <w:color w:val="auto"/>
              </w:rPr>
            </w:pPr>
          </w:p>
        </w:tc>
        <w:tc>
          <w:tcPr>
            <w:tcW w:w="968" w:type="dxa"/>
            <w:shd w:val="clear" w:color="auto" w:fill="auto"/>
            <w:vAlign w:val="top"/>
          </w:tcPr>
          <w:p w14:paraId="24553217">
            <w:pPr>
              <w:ind w:firstLine="0" w:firstLineChars="0"/>
              <w:jc w:val="right"/>
              <w:rPr>
                <w:rFonts w:ascii="Times New Roman" w:hAnsi="Times New Roman" w:eastAsia="宋体" w:cs="Times New Roman"/>
                <w:color w:val="auto"/>
                <w:kern w:val="2"/>
                <w:position w:val="-14"/>
                <w:sz w:val="24"/>
                <w:vertAlign w:val="subscript"/>
                <w:lang w:val="en-US" w:eastAsia="zh-CN" w:bidi="ar-SA"/>
              </w:rPr>
            </w:pPr>
            <w:r>
              <w:rPr>
                <w:color w:val="auto"/>
                <w:position w:val="-12"/>
                <w:vertAlign w:val="subscript"/>
              </w:rPr>
              <w:object>
                <v:shape id="_x0000_i1121" o:spt="75" type="#_x0000_t75" style="height:20pt;width:18pt;" o:ole="t" filled="f" o:preferrelative="t" stroked="f" coordsize="21600,21600">
                  <v:path/>
                  <v:fill on="f" focussize="0,0"/>
                  <v:stroke on="f"/>
                  <v:imagedata r:id="rId251" o:title=""/>
                  <o:lock v:ext="edit" aspectratio="f"/>
                  <w10:wrap type="none"/>
                  <w10:anchorlock/>
                </v:shape>
                <o:OLEObject Type="Embed" ProgID="Equation.DSMT4" ShapeID="_x0000_i1121" DrawAspect="Content" ObjectID="_1468075821" r:id="rId250">
                  <o:LockedField>false</o:LockedField>
                </o:OLEObject>
              </w:object>
            </w:r>
          </w:p>
        </w:tc>
        <w:tc>
          <w:tcPr>
            <w:tcW w:w="760" w:type="dxa"/>
            <w:shd w:val="clear" w:color="auto" w:fill="auto"/>
            <w:vAlign w:val="top"/>
          </w:tcPr>
          <w:p w14:paraId="34B0EE31">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5953" w:type="dxa"/>
            <w:shd w:val="clear" w:color="auto" w:fill="auto"/>
            <w:vAlign w:val="center"/>
          </w:tcPr>
          <w:p w14:paraId="5F9B42A0">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梁与柱连接的</w:t>
            </w:r>
            <w:r>
              <w:rPr>
                <w:rFonts w:ascii="宋体" w:hAnsi="宋体" w:eastAsia="宋体" w:cs="宋体"/>
                <w:sz w:val="24"/>
                <w:szCs w:val="24"/>
              </w:rPr>
              <w:t>受剪承载力</w:t>
            </w:r>
            <w:r>
              <w:rPr>
                <w:rFonts w:hint="eastAsia" w:ascii="宋体" w:hAnsi="宋体" w:cs="宋体"/>
                <w:sz w:val="24"/>
                <w:szCs w:val="24"/>
                <w:lang w:val="en-US" w:eastAsia="zh-CN"/>
              </w:rPr>
              <w:t>标准值</w:t>
            </w:r>
            <w:r>
              <w:rPr>
                <w:rFonts w:hint="eastAsia"/>
                <w:color w:val="auto"/>
                <w:lang w:eastAsia="zh-CN"/>
              </w:rPr>
              <w:t>（</w:t>
            </w:r>
            <w:r>
              <w:rPr>
                <w:rFonts w:hint="eastAsia"/>
                <w:color w:val="auto"/>
                <w:lang w:val="en-US" w:eastAsia="zh-CN"/>
              </w:rPr>
              <w:t>N</w:t>
            </w:r>
            <w:r>
              <w:rPr>
                <w:rFonts w:hint="eastAsia"/>
                <w:color w:val="auto"/>
                <w:lang w:eastAsia="zh-CN"/>
              </w:rPr>
              <w:t>），</w:t>
            </w:r>
            <w:r>
              <w:rPr>
                <w:rFonts w:hint="eastAsia"/>
                <w:color w:val="auto"/>
              </w:rPr>
              <w:t>计算时</w:t>
            </w:r>
            <w:r>
              <w:rPr>
                <w:rFonts w:hint="eastAsia"/>
                <w:color w:val="auto"/>
                <w:lang w:val="en-US" w:eastAsia="zh-CN"/>
              </w:rPr>
              <w:t>按本规程连接的</w:t>
            </w:r>
            <w:r>
              <w:rPr>
                <w:rFonts w:ascii="宋体" w:hAnsi="宋体" w:eastAsia="宋体" w:cs="宋体"/>
                <w:sz w:val="24"/>
                <w:szCs w:val="24"/>
              </w:rPr>
              <w:t>受剪承载力设计值</w:t>
            </w:r>
            <w:r>
              <w:rPr>
                <w:rFonts w:hint="eastAsia" w:ascii="宋体" w:hAnsi="宋体" w:eastAsia="宋体" w:cs="宋体"/>
                <w:sz w:val="24"/>
                <w:szCs w:val="24"/>
                <w:lang w:val="en-US" w:eastAsia="zh-CN"/>
              </w:rPr>
              <w:t>对应公式计算，</w:t>
            </w:r>
            <w:r>
              <w:rPr>
                <w:rFonts w:hint="eastAsia"/>
                <w:color w:val="auto"/>
                <w:lang w:val="en-US" w:eastAsia="zh-CN"/>
              </w:rPr>
              <w:t>不</w:t>
            </w:r>
            <w:r>
              <w:rPr>
                <w:rFonts w:hint="eastAsia"/>
                <w:color w:val="auto"/>
              </w:rPr>
              <w:t>考虑承载力抗震调整系数，材料强度取标准值</w:t>
            </w:r>
            <w:r>
              <w:rPr>
                <w:rFonts w:hint="eastAsia"/>
                <w:color w:val="auto"/>
                <w:lang w:eastAsia="zh-CN"/>
              </w:rPr>
              <w:t>；</w:t>
            </w:r>
          </w:p>
        </w:tc>
      </w:tr>
      <w:tr w14:paraId="6F96A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03D25067">
            <w:pPr>
              <w:ind w:firstLine="0" w:firstLineChars="0"/>
              <w:jc w:val="center"/>
              <w:rPr>
                <w:color w:val="auto"/>
              </w:rPr>
            </w:pPr>
          </w:p>
        </w:tc>
        <w:tc>
          <w:tcPr>
            <w:tcW w:w="968" w:type="dxa"/>
            <w:shd w:val="clear" w:color="auto" w:fill="auto"/>
            <w:vAlign w:val="top"/>
          </w:tcPr>
          <w:p w14:paraId="49A93895">
            <w:pPr>
              <w:ind w:firstLine="0" w:firstLineChars="0"/>
              <w:jc w:val="right"/>
              <w:rPr>
                <w:color w:val="auto"/>
                <w:position w:val="-12"/>
                <w:vertAlign w:val="subscript"/>
              </w:rPr>
            </w:pPr>
            <w:r>
              <w:rPr>
                <w:color w:val="auto"/>
                <w:position w:val="-14"/>
                <w:vertAlign w:val="subscript"/>
              </w:rPr>
              <w:object>
                <v:shape id="_x0000_i1122" o:spt="75" type="#_x0000_t75" style="height:19pt;width:13pt;" o:ole="t" filled="f" o:preferrelative="t" stroked="f" coordsize="21600,21600">
                  <v:path/>
                  <v:fill on="f" focussize="0,0"/>
                  <v:stroke on="f"/>
                  <v:imagedata r:id="rId253" o:title=""/>
                  <o:lock v:ext="edit" aspectratio="f"/>
                  <w10:wrap type="none"/>
                  <w10:anchorlock/>
                </v:shape>
                <o:OLEObject Type="Embed" ProgID="Equation.DSMT4" ShapeID="_x0000_i1122" DrawAspect="Content" ObjectID="_1468075822" r:id="rId252">
                  <o:LockedField>false</o:LockedField>
                </o:OLEObject>
              </w:object>
            </w:r>
          </w:p>
        </w:tc>
        <w:tc>
          <w:tcPr>
            <w:tcW w:w="760" w:type="dxa"/>
            <w:shd w:val="clear" w:color="auto" w:fill="auto"/>
            <w:vAlign w:val="top"/>
          </w:tcPr>
          <w:p w14:paraId="77C4EC9A">
            <w:pPr>
              <w:ind w:firstLine="0" w:firstLineChars="0"/>
              <w:jc w:val="center"/>
              <w:rPr>
                <w:rFonts w:eastAsiaTheme="minorEastAsia"/>
                <w:color w:val="auto"/>
                <w:szCs w:val="24"/>
              </w:rPr>
            </w:pPr>
            <w:r>
              <w:rPr>
                <w:rFonts w:eastAsiaTheme="minorEastAsia"/>
                <w:color w:val="auto"/>
                <w:szCs w:val="24"/>
              </w:rPr>
              <w:t>——</w:t>
            </w:r>
          </w:p>
        </w:tc>
        <w:tc>
          <w:tcPr>
            <w:tcW w:w="5953" w:type="dxa"/>
            <w:shd w:val="clear" w:color="auto" w:fill="auto"/>
            <w:vAlign w:val="center"/>
          </w:tcPr>
          <w:p w14:paraId="53D2CF4D">
            <w:pPr>
              <w:ind w:firstLine="0" w:firstLineChars="0"/>
              <w:rPr>
                <w:rFonts w:ascii="宋体" w:hAnsi="宋体" w:eastAsia="宋体" w:cs="宋体"/>
                <w:sz w:val="24"/>
                <w:szCs w:val="24"/>
              </w:rPr>
            </w:pPr>
            <w:r>
              <w:rPr>
                <w:rFonts w:hint="eastAsia"/>
                <w:color w:val="auto"/>
              </w:rPr>
              <w:t>梁与柱连接的接缝受剪承载力增大系数</w:t>
            </w:r>
            <w:r>
              <w:rPr>
                <w:rFonts w:hint="eastAsia"/>
                <w:color w:val="auto"/>
                <w:lang w:eastAsia="zh-CN"/>
              </w:rPr>
              <w:t>，</w:t>
            </w:r>
            <w:r>
              <w:rPr>
                <w:rFonts w:hint="eastAsia" w:ascii="Times New Roman" w:hAnsi="Times New Roman" w:eastAsia="宋体" w:cs="Times New Roman"/>
                <w:color w:val="auto"/>
              </w:rPr>
              <w:t>对一级抗震等级取1.35，对二</w:t>
            </w:r>
            <w:r>
              <w:rPr>
                <w:rFonts w:hint="eastAsia" w:cs="Times New Roman"/>
                <w:color w:val="auto"/>
                <w:lang w:val="en-US" w:eastAsia="zh-CN"/>
              </w:rPr>
              <w:t>级</w:t>
            </w:r>
            <w:r>
              <w:rPr>
                <w:rFonts w:hint="eastAsia" w:ascii="Times New Roman" w:hAnsi="Times New Roman" w:eastAsia="宋体" w:cs="Times New Roman"/>
                <w:color w:val="auto"/>
              </w:rPr>
              <w:t>、三</w:t>
            </w:r>
            <w:r>
              <w:rPr>
                <w:rFonts w:hint="eastAsia" w:cs="Times New Roman"/>
                <w:color w:val="auto"/>
                <w:lang w:val="en-US" w:eastAsia="zh-CN"/>
              </w:rPr>
              <w:t>级</w:t>
            </w:r>
            <w:r>
              <w:rPr>
                <w:rFonts w:hint="eastAsia" w:ascii="Times New Roman" w:hAnsi="Times New Roman" w:eastAsia="宋体" w:cs="Times New Roman"/>
                <w:color w:val="auto"/>
              </w:rPr>
              <w:t>、四级抗震等级取1.2</w:t>
            </w:r>
            <w:r>
              <w:rPr>
                <w:rFonts w:hint="eastAsia"/>
                <w:color w:val="auto"/>
                <w:lang w:eastAsia="zh-CN"/>
              </w:rPr>
              <w:t>。</w:t>
            </w:r>
          </w:p>
        </w:tc>
      </w:tr>
    </w:tbl>
    <w:p w14:paraId="1C2F1A14">
      <w:pPr>
        <w:pStyle w:val="42"/>
        <w:rPr>
          <w:rFonts w:hint="eastAsia"/>
          <w:lang w:val="en-US" w:eastAsia="zh-CN"/>
        </w:rPr>
      </w:pPr>
      <w:r>
        <w:rPr>
          <w:rFonts w:hint="eastAsia"/>
          <w:lang w:val="en-US" w:eastAsia="zh-CN"/>
        </w:rPr>
        <w:t>梁柱连接接缝截面的受剪承载力应按下列公式计算：</w:t>
      </w:r>
    </w:p>
    <w:p w14:paraId="54DAC369">
      <w:pPr>
        <w:pStyle w:val="43"/>
        <w:rPr>
          <w:rFonts w:hint="eastAsia"/>
          <w:lang w:val="en-US" w:eastAsia="zh-CN"/>
        </w:rPr>
      </w:pPr>
      <w:r>
        <w:rPr>
          <w:rFonts w:hint="eastAsia"/>
          <w:lang w:val="en-US" w:eastAsia="zh-CN"/>
        </w:rPr>
        <w:t>当梁柱连接接缝为粗糙面，且仅有钢筋和钢组件腹板垂直穿过接缝时</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2"/>
        <w:gridCol w:w="5659"/>
        <w:gridCol w:w="1425"/>
      </w:tblGrid>
      <w:tr w14:paraId="38E0B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 w:type="pct"/>
            <w:vAlign w:val="center"/>
          </w:tcPr>
          <w:p w14:paraId="1AFEB96C">
            <w:pPr>
              <w:pStyle w:val="43"/>
              <w:numPr>
                <w:ilvl w:val="3"/>
                <w:numId w:val="0"/>
              </w:numPr>
              <w:jc w:val="center"/>
              <w:rPr>
                <w:color w:val="auto"/>
              </w:rPr>
            </w:pPr>
          </w:p>
        </w:tc>
        <w:tc>
          <w:tcPr>
            <w:tcW w:w="3322" w:type="pct"/>
            <w:vAlign w:val="center"/>
          </w:tcPr>
          <w:p w14:paraId="7468E96C">
            <w:pPr>
              <w:pStyle w:val="43"/>
              <w:numPr>
                <w:ilvl w:val="3"/>
                <w:numId w:val="0"/>
              </w:numPr>
              <w:jc w:val="center"/>
              <w:rPr>
                <w:color w:val="auto"/>
                <w:position w:val="-14"/>
              </w:rPr>
            </w:pPr>
            <w:r>
              <w:rPr>
                <w:color w:val="auto"/>
                <w:position w:val="-12"/>
              </w:rPr>
              <w:object>
                <v:shape id="_x0000_i1123" o:spt="75" type="#_x0000_t75" style="height:20.5pt;width:80.6pt;" o:ole="t" filled="f" o:preferrelative="t" stroked="f" coordsize="21600,21600">
                  <v:path/>
                  <v:fill on="f" focussize="0,0"/>
                  <v:stroke on="f"/>
                  <v:imagedata r:id="rId255" o:title=""/>
                  <o:lock v:ext="edit" aspectratio="t"/>
                  <w10:wrap type="none"/>
                  <w10:anchorlock/>
                </v:shape>
                <o:OLEObject Type="Embed" ProgID="Equation.DSMT4" ShapeID="_x0000_i1123" DrawAspect="Content" ObjectID="_1468075823" r:id="rId254">
                  <o:LockedField>false</o:LockedField>
                </o:OLEObject>
              </w:object>
            </w:r>
          </w:p>
        </w:tc>
        <w:tc>
          <w:tcPr>
            <w:tcW w:w="836" w:type="pct"/>
            <w:vAlign w:val="center"/>
          </w:tcPr>
          <w:p w14:paraId="01A2BE2D">
            <w:pPr>
              <w:pStyle w:val="43"/>
              <w:numPr>
                <w:ilvl w:val="3"/>
                <w:numId w:val="0"/>
              </w:numPr>
              <w:jc w:val="right"/>
              <w:rPr>
                <w:rFonts w:hint="eastAsia"/>
                <w:color w:val="auto"/>
              </w:rPr>
            </w:pP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1</w:t>
            </w:r>
            <w:r>
              <w:rPr>
                <w:rFonts w:hint="eastAsia"/>
                <w:color w:val="auto"/>
              </w:rPr>
              <w:t>）</w:t>
            </w:r>
          </w:p>
        </w:tc>
      </w:tr>
      <w:tr w14:paraId="27966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 w:type="pct"/>
            <w:vAlign w:val="center"/>
          </w:tcPr>
          <w:p w14:paraId="29516003">
            <w:pPr>
              <w:pStyle w:val="43"/>
              <w:numPr>
                <w:ilvl w:val="3"/>
                <w:numId w:val="0"/>
              </w:numPr>
              <w:jc w:val="center"/>
              <w:rPr>
                <w:color w:val="auto"/>
              </w:rPr>
            </w:pPr>
            <w:r>
              <w:rPr>
                <w:rFonts w:hint="eastAsia"/>
                <w:lang w:val="en-US" w:eastAsia="zh-CN"/>
              </w:rPr>
              <w:t>钢筋</w:t>
            </w:r>
          </w:p>
        </w:tc>
        <w:tc>
          <w:tcPr>
            <w:tcW w:w="3322" w:type="pct"/>
            <w:vAlign w:val="center"/>
          </w:tcPr>
          <w:p w14:paraId="30921359">
            <w:pPr>
              <w:pStyle w:val="43"/>
              <w:numPr>
                <w:ilvl w:val="3"/>
                <w:numId w:val="0"/>
              </w:numPr>
              <w:jc w:val="center"/>
              <w:rPr>
                <w:color w:val="auto"/>
                <w:position w:val="-18"/>
              </w:rPr>
            </w:pPr>
            <w:r>
              <w:rPr>
                <w:color w:val="auto"/>
                <w:position w:val="-16"/>
              </w:rPr>
              <w:object>
                <v:shape id="_x0000_i1124" o:spt="75" type="#_x0000_t75" style="height:22.55pt;width:159.15pt;" o:ole="t" filled="f" o:preferrelative="t" stroked="f" coordsize="21600,21600">
                  <v:path/>
                  <v:fill on="f" focussize="0,0"/>
                  <v:stroke on="f"/>
                  <v:imagedata r:id="rId257" o:title=""/>
                  <o:lock v:ext="edit" aspectratio="t"/>
                  <w10:wrap type="none"/>
                  <w10:anchorlock/>
                </v:shape>
                <o:OLEObject Type="Embed" ProgID="Equation.DSMT4" ShapeID="_x0000_i1124" DrawAspect="Content" ObjectID="_1468075824" r:id="rId256">
                  <o:LockedField>false</o:LockedField>
                </o:OLEObject>
              </w:object>
            </w:r>
          </w:p>
        </w:tc>
        <w:tc>
          <w:tcPr>
            <w:tcW w:w="836" w:type="pct"/>
            <w:vAlign w:val="center"/>
          </w:tcPr>
          <w:p w14:paraId="00FD183D">
            <w:pPr>
              <w:pStyle w:val="43"/>
              <w:numPr>
                <w:ilvl w:val="3"/>
                <w:numId w:val="0"/>
              </w:numPr>
              <w:jc w:val="right"/>
              <w:rPr>
                <w:rFonts w:hint="eastAsia"/>
                <w:color w:val="auto"/>
              </w:rPr>
            </w:pP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2</w:t>
            </w:r>
            <w:r>
              <w:rPr>
                <w:rFonts w:hint="eastAsia"/>
                <w:color w:val="auto"/>
              </w:rPr>
              <w:t>）</w:t>
            </w:r>
          </w:p>
        </w:tc>
      </w:tr>
      <w:tr w14:paraId="40553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 w:type="pct"/>
            <w:vAlign w:val="center"/>
          </w:tcPr>
          <w:p w14:paraId="719EAAEF">
            <w:pPr>
              <w:pStyle w:val="43"/>
              <w:numPr>
                <w:ilvl w:val="3"/>
                <w:numId w:val="0"/>
              </w:numPr>
              <w:jc w:val="center"/>
              <w:rPr>
                <w:color w:val="auto"/>
              </w:rPr>
            </w:pPr>
            <w:r>
              <w:rPr>
                <w:rFonts w:hint="eastAsia"/>
                <w:lang w:val="en-US" w:eastAsia="zh-CN"/>
              </w:rPr>
              <w:t>钢组件腹板</w:t>
            </w:r>
          </w:p>
        </w:tc>
        <w:tc>
          <w:tcPr>
            <w:tcW w:w="3322" w:type="pct"/>
            <w:vAlign w:val="center"/>
          </w:tcPr>
          <w:p w14:paraId="4A407368">
            <w:pPr>
              <w:pStyle w:val="43"/>
              <w:numPr>
                <w:ilvl w:val="3"/>
                <w:numId w:val="0"/>
              </w:numPr>
              <w:jc w:val="center"/>
              <w:rPr>
                <w:color w:val="auto"/>
                <w:position w:val="-18"/>
              </w:rPr>
            </w:pPr>
            <w:r>
              <w:rPr>
                <w:color w:val="auto"/>
                <w:position w:val="-12"/>
              </w:rPr>
              <w:object>
                <v:shape id="_x0000_i1125" o:spt="75" type="#_x0000_t75" style="height:20.6pt;width:101.8pt;" o:ole="t" filled="f" o:preferrelative="t" stroked="f" coordsize="21600,21600">
                  <v:path/>
                  <v:fill on="f" focussize="0,0"/>
                  <v:stroke on="f"/>
                  <v:imagedata r:id="rId259" o:title=""/>
                  <o:lock v:ext="edit" aspectratio="t"/>
                  <w10:wrap type="none"/>
                  <w10:anchorlock/>
                </v:shape>
                <o:OLEObject Type="Embed" ProgID="Equation.DSMT4" ShapeID="_x0000_i1125" DrawAspect="Content" ObjectID="_1468075825" r:id="rId258">
                  <o:LockedField>false</o:LockedField>
                </o:OLEObject>
              </w:object>
            </w:r>
          </w:p>
        </w:tc>
        <w:tc>
          <w:tcPr>
            <w:tcW w:w="836" w:type="pct"/>
            <w:vAlign w:val="center"/>
          </w:tcPr>
          <w:p w14:paraId="7AAAE0F1">
            <w:pPr>
              <w:pStyle w:val="43"/>
              <w:numPr>
                <w:ilvl w:val="3"/>
                <w:numId w:val="0"/>
              </w:numPr>
              <w:jc w:val="right"/>
              <w:rPr>
                <w:rFonts w:hint="eastAsia"/>
                <w:color w:val="auto"/>
              </w:rPr>
            </w:pP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3</w:t>
            </w:r>
            <w:r>
              <w:rPr>
                <w:rFonts w:hint="eastAsia"/>
                <w:color w:val="auto"/>
              </w:rPr>
              <w:t>）</w:t>
            </w:r>
          </w:p>
        </w:tc>
      </w:tr>
    </w:tbl>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5"/>
        <w:gridCol w:w="968"/>
        <w:gridCol w:w="760"/>
        <w:gridCol w:w="5953"/>
      </w:tblGrid>
      <w:tr w14:paraId="4A68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835" w:type="dxa"/>
            <w:vAlign w:val="center"/>
          </w:tcPr>
          <w:p w14:paraId="6065B932">
            <w:pPr>
              <w:ind w:firstLine="0" w:firstLineChars="0"/>
              <w:jc w:val="center"/>
              <w:rPr>
                <w:color w:val="auto"/>
              </w:rPr>
            </w:pPr>
            <w:r>
              <w:rPr>
                <w:rFonts w:hint="eastAsia"/>
                <w:color w:val="auto"/>
              </w:rPr>
              <w:t>式中：</w:t>
            </w:r>
          </w:p>
        </w:tc>
        <w:tc>
          <w:tcPr>
            <w:tcW w:w="968" w:type="dxa"/>
            <w:vAlign w:val="top"/>
          </w:tcPr>
          <w:p w14:paraId="17014ABD">
            <w:pPr>
              <w:ind w:firstLine="0" w:firstLineChars="0"/>
              <w:jc w:val="right"/>
              <w:rPr>
                <w:rFonts w:eastAsiaTheme="minorEastAsia"/>
                <w:color w:val="auto"/>
                <w:vertAlign w:val="subscript"/>
              </w:rPr>
            </w:pPr>
            <w:r>
              <w:rPr>
                <w:rFonts w:hint="default" w:ascii="Times New Roman" w:hAnsi="Times New Roman" w:cs="Times New Roman"/>
                <w:i/>
                <w:iCs/>
                <w:color w:val="auto"/>
                <w:lang w:val="en-US" w:eastAsia="zh-CN"/>
              </w:rPr>
              <w:t>μ</w:t>
            </w:r>
          </w:p>
        </w:tc>
        <w:tc>
          <w:tcPr>
            <w:tcW w:w="760" w:type="dxa"/>
            <w:vAlign w:val="top"/>
          </w:tcPr>
          <w:p w14:paraId="515F232E">
            <w:pPr>
              <w:ind w:firstLine="0" w:firstLineChars="0"/>
              <w:jc w:val="center"/>
              <w:rPr>
                <w:rFonts w:eastAsiaTheme="minorEastAsia"/>
                <w:color w:val="auto"/>
              </w:rPr>
            </w:pPr>
            <w:r>
              <w:rPr>
                <w:rFonts w:eastAsiaTheme="minorEastAsia"/>
                <w:color w:val="auto"/>
                <w:szCs w:val="24"/>
              </w:rPr>
              <w:t>——</w:t>
            </w:r>
          </w:p>
        </w:tc>
        <w:tc>
          <w:tcPr>
            <w:tcW w:w="5953" w:type="dxa"/>
            <w:vAlign w:val="center"/>
          </w:tcPr>
          <w:p w14:paraId="46D2D9A4">
            <w:pPr>
              <w:ind w:firstLine="0" w:firstLineChars="0"/>
              <w:rPr>
                <w:rFonts w:eastAsiaTheme="minorEastAsia"/>
                <w:color w:val="auto"/>
              </w:rPr>
            </w:pPr>
            <w:r>
              <w:rPr>
                <w:rFonts w:hint="eastAsia"/>
                <w:color w:val="auto"/>
                <w:lang w:val="en-US" w:eastAsia="zh-CN"/>
              </w:rPr>
              <w:t>梁柱接缝截面摩擦系数，对于粗糙面一般取0.6</w:t>
            </w:r>
            <w:r>
              <w:rPr>
                <w:rFonts w:hint="eastAsia" w:eastAsiaTheme="minorEastAsia"/>
                <w:color w:val="auto"/>
              </w:rPr>
              <w:t>；</w:t>
            </w:r>
          </w:p>
        </w:tc>
      </w:tr>
      <w:tr w14:paraId="364C9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48F3F14C">
            <w:pPr>
              <w:ind w:firstLine="0" w:firstLineChars="0"/>
              <w:jc w:val="center"/>
              <w:rPr>
                <w:color w:val="auto"/>
              </w:rPr>
            </w:pPr>
          </w:p>
        </w:tc>
        <w:tc>
          <w:tcPr>
            <w:tcW w:w="968" w:type="dxa"/>
            <w:vAlign w:val="top"/>
          </w:tcPr>
          <w:p w14:paraId="57C34A52">
            <w:pPr>
              <w:ind w:firstLine="0" w:firstLineChars="0"/>
              <w:jc w:val="right"/>
              <w:rPr>
                <w:rFonts w:hint="default"/>
                <w:color w:val="auto"/>
                <w:position w:val="-12"/>
                <w:lang w:val="en-US"/>
              </w:rPr>
            </w:pPr>
            <w:r>
              <w:rPr>
                <w:rFonts w:hint="default" w:ascii="Times New Roman" w:hAnsi="Times New Roman" w:cs="Times New Roman"/>
                <w:i/>
                <w:iCs/>
                <w:color w:val="auto"/>
                <w:position w:val="-12"/>
                <w:lang w:val="en-US" w:eastAsia="zh-CN"/>
              </w:rPr>
              <w:object>
                <v:shape id="_x0000_i1126" o:spt="75" type="#_x0000_t75" style="height:18pt;width:19pt;" o:ole="t" filled="f" o:preferrelative="t" stroked="f" coordsize="21600,21600">
                  <v:path/>
                  <v:fill on="f" focussize="0,0"/>
                  <v:stroke on="f"/>
                  <v:imagedata r:id="rId261" o:title=""/>
                  <o:lock v:ext="edit" aspectratio="f"/>
                  <w10:wrap type="none"/>
                  <w10:anchorlock/>
                </v:shape>
                <o:OLEObject Type="Embed" ProgID="Equation.DSMT4" ShapeID="_x0000_i1126" DrawAspect="Content" ObjectID="_1468075826" r:id="rId260">
                  <o:LockedField>false</o:LockedField>
                </o:OLEObject>
              </w:object>
            </w:r>
          </w:p>
        </w:tc>
        <w:tc>
          <w:tcPr>
            <w:tcW w:w="760" w:type="dxa"/>
            <w:vAlign w:val="top"/>
          </w:tcPr>
          <w:p w14:paraId="0B4CC946">
            <w:pPr>
              <w:ind w:firstLine="0" w:firstLineChars="0"/>
              <w:jc w:val="center"/>
              <w:rPr>
                <w:rFonts w:eastAsiaTheme="minorEastAsia"/>
                <w:color w:val="auto"/>
                <w:szCs w:val="24"/>
              </w:rPr>
            </w:pPr>
            <w:r>
              <w:rPr>
                <w:rFonts w:eastAsiaTheme="minorEastAsia"/>
                <w:color w:val="auto"/>
                <w:szCs w:val="24"/>
              </w:rPr>
              <w:t>——</w:t>
            </w:r>
          </w:p>
        </w:tc>
        <w:tc>
          <w:tcPr>
            <w:tcW w:w="5953" w:type="dxa"/>
            <w:vAlign w:val="center"/>
          </w:tcPr>
          <w:p w14:paraId="7B8444D0">
            <w:pPr>
              <w:ind w:firstLine="0" w:firstLineChars="0"/>
              <w:rPr>
                <w:rFonts w:hint="eastAsia" w:eastAsia="宋体"/>
                <w:color w:val="auto"/>
                <w:lang w:eastAsia="zh-CN"/>
              </w:rPr>
            </w:pPr>
            <w:r>
              <w:rPr>
                <w:rFonts w:hint="eastAsia"/>
                <w:lang w:val="en-US" w:eastAsia="zh-CN"/>
              </w:rPr>
              <w:t>垂直穿过接缝的所有钢筋</w:t>
            </w:r>
            <w:r>
              <w:rPr>
                <w:rFonts w:hint="eastAsia"/>
                <w:color w:val="auto"/>
                <w:lang w:val="en-US" w:eastAsia="zh-CN"/>
              </w:rPr>
              <w:t>截面面积（mm）</w:t>
            </w:r>
            <w:r>
              <w:rPr>
                <w:rFonts w:hint="eastAsia"/>
                <w:color w:val="auto"/>
                <w:lang w:eastAsia="zh-CN"/>
              </w:rPr>
              <w:t>；</w:t>
            </w:r>
          </w:p>
        </w:tc>
      </w:tr>
      <w:tr w14:paraId="6510F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6B07257B">
            <w:pPr>
              <w:ind w:firstLine="0" w:firstLineChars="0"/>
              <w:jc w:val="center"/>
              <w:rPr>
                <w:color w:val="auto"/>
              </w:rPr>
            </w:pPr>
          </w:p>
        </w:tc>
        <w:tc>
          <w:tcPr>
            <w:tcW w:w="968" w:type="dxa"/>
            <w:vAlign w:val="top"/>
          </w:tcPr>
          <w:p w14:paraId="5056336C">
            <w:pPr>
              <w:ind w:firstLine="0" w:firstLineChars="0"/>
              <w:jc w:val="right"/>
              <w:rPr>
                <w:rFonts w:hint="default" w:ascii="Times New Roman" w:hAnsi="Times New Roman" w:cs="Times New Roman"/>
                <w:i/>
                <w:iCs/>
                <w:color w:val="auto"/>
                <w:lang w:val="en-US" w:eastAsia="zh-CN"/>
              </w:rPr>
            </w:pPr>
            <w:r>
              <w:rPr>
                <w:color w:val="auto"/>
                <w:position w:val="-12"/>
                <w:vertAlign w:val="subscript"/>
              </w:rPr>
              <w:object>
                <v:shape id="_x0000_i1127" o:spt="75" type="#_x0000_t75" style="height:18pt;width:13.95pt;" o:ole="t" filled="f" o:preferrelative="t" stroked="f" coordsize="21600,21600">
                  <v:path/>
                  <v:fill on="f" focussize="0,0"/>
                  <v:stroke on="f"/>
                  <v:imagedata r:id="rId263" o:title=""/>
                  <o:lock v:ext="edit" aspectratio="f"/>
                  <w10:wrap type="none"/>
                  <w10:anchorlock/>
                </v:shape>
                <o:OLEObject Type="Embed" ProgID="Equation.DSMT4" ShapeID="_x0000_i1127" DrawAspect="Content" ObjectID="_1468075827" r:id="rId262">
                  <o:LockedField>false</o:LockedField>
                </o:OLEObject>
              </w:object>
            </w:r>
          </w:p>
        </w:tc>
        <w:tc>
          <w:tcPr>
            <w:tcW w:w="760" w:type="dxa"/>
            <w:vAlign w:val="top"/>
          </w:tcPr>
          <w:p w14:paraId="702C54CB">
            <w:pPr>
              <w:ind w:firstLine="0" w:firstLineChars="0"/>
              <w:jc w:val="center"/>
              <w:rPr>
                <w:rFonts w:eastAsiaTheme="minorEastAsia"/>
                <w:color w:val="auto"/>
                <w:szCs w:val="24"/>
              </w:rPr>
            </w:pPr>
            <w:r>
              <w:rPr>
                <w:rFonts w:eastAsiaTheme="minorEastAsia"/>
                <w:color w:val="auto"/>
                <w:szCs w:val="24"/>
              </w:rPr>
              <w:t>——</w:t>
            </w:r>
          </w:p>
        </w:tc>
        <w:tc>
          <w:tcPr>
            <w:tcW w:w="5953" w:type="dxa"/>
            <w:vAlign w:val="center"/>
          </w:tcPr>
          <w:p w14:paraId="51E8CD96">
            <w:pPr>
              <w:ind w:firstLine="0" w:firstLineChars="0"/>
              <w:rPr>
                <w:rFonts w:hint="default"/>
                <w:color w:val="auto"/>
                <w:lang w:val="en-US" w:eastAsia="zh-CN"/>
              </w:rPr>
            </w:pPr>
            <w:r>
              <w:rPr>
                <w:rFonts w:hint="eastAsia"/>
                <w:color w:val="auto"/>
              </w:rPr>
              <w:t>混凝土轴心抗压强度设计值</w:t>
            </w:r>
            <w:r>
              <w:rPr>
                <w:rFonts w:hint="eastAsia"/>
                <w:color w:val="auto"/>
                <w:lang w:eastAsia="zh-CN"/>
              </w:rPr>
              <w:t>（</w:t>
            </w:r>
            <w:r>
              <w:rPr>
                <w:rFonts w:hint="eastAsia"/>
                <w:color w:val="auto"/>
              </w:rPr>
              <w:t>N/mm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w:t>
            </w:r>
          </w:p>
        </w:tc>
      </w:tr>
      <w:tr w14:paraId="3910A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vAlign w:val="center"/>
          </w:tcPr>
          <w:p w14:paraId="671AE1A2">
            <w:pPr>
              <w:ind w:firstLine="0" w:firstLineChars="0"/>
              <w:jc w:val="center"/>
              <w:rPr>
                <w:color w:val="auto"/>
              </w:rPr>
            </w:pPr>
          </w:p>
        </w:tc>
        <w:tc>
          <w:tcPr>
            <w:tcW w:w="968" w:type="dxa"/>
            <w:vAlign w:val="top"/>
          </w:tcPr>
          <w:p w14:paraId="14A23EAC">
            <w:pPr>
              <w:ind w:firstLine="0" w:firstLineChars="0"/>
              <w:jc w:val="right"/>
              <w:rPr>
                <w:rFonts w:hint="default" w:ascii="Times New Roman" w:hAnsi="Times New Roman" w:cs="Times New Roman"/>
                <w:i/>
                <w:iCs/>
                <w:color w:val="auto"/>
                <w:position w:val="-12"/>
                <w:lang w:val="en-US" w:eastAsia="zh-CN"/>
              </w:rPr>
            </w:pPr>
            <w:r>
              <w:rPr>
                <w:rFonts w:hint="default" w:ascii="Times New Roman" w:hAnsi="Times New Roman" w:cs="Times New Roman"/>
                <w:i/>
                <w:iCs/>
                <w:color w:val="auto"/>
                <w:lang w:val="en-US" w:eastAsia="zh-CN"/>
              </w:rPr>
              <w:t>η</w:t>
            </w:r>
            <w:r>
              <w:rPr>
                <w:rFonts w:hint="eastAsia" w:cs="Times New Roman"/>
                <w:i w:val="0"/>
                <w:iCs w:val="0"/>
                <w:color w:val="auto"/>
                <w:vertAlign w:val="subscript"/>
                <w:lang w:val="en-US" w:eastAsia="zh-CN"/>
              </w:rPr>
              <w:t>w</w:t>
            </w:r>
          </w:p>
        </w:tc>
        <w:tc>
          <w:tcPr>
            <w:tcW w:w="760" w:type="dxa"/>
            <w:vAlign w:val="top"/>
          </w:tcPr>
          <w:p w14:paraId="067E6E7B">
            <w:pPr>
              <w:ind w:firstLine="0" w:firstLineChars="0"/>
              <w:jc w:val="center"/>
              <w:rPr>
                <w:rFonts w:eastAsiaTheme="minorEastAsia"/>
                <w:color w:val="auto"/>
                <w:szCs w:val="24"/>
              </w:rPr>
            </w:pPr>
            <w:r>
              <w:rPr>
                <w:rFonts w:eastAsiaTheme="minorEastAsia"/>
                <w:color w:val="auto"/>
                <w:szCs w:val="24"/>
              </w:rPr>
              <w:t>——</w:t>
            </w:r>
          </w:p>
        </w:tc>
        <w:tc>
          <w:tcPr>
            <w:tcW w:w="5953" w:type="dxa"/>
            <w:vAlign w:val="center"/>
          </w:tcPr>
          <w:p w14:paraId="579BE109">
            <w:pPr>
              <w:ind w:firstLine="0" w:firstLineChars="0"/>
              <w:rPr>
                <w:rFonts w:hint="eastAsia"/>
                <w:color w:val="auto"/>
                <w:lang w:val="en-US" w:eastAsia="zh-CN"/>
              </w:rPr>
            </w:pPr>
            <w:r>
              <w:rPr>
                <w:rFonts w:hint="eastAsia"/>
                <w:color w:val="auto"/>
                <w:lang w:val="en-US" w:eastAsia="zh-CN"/>
              </w:rPr>
              <w:t>钢腹板作用系数，对于单锚钢板取0.4，对于双锚钢板取1.0</w:t>
            </w:r>
            <w:r>
              <w:rPr>
                <w:rFonts w:hint="eastAsia"/>
                <w:color w:val="auto"/>
                <w:lang w:eastAsia="zh-CN"/>
              </w:rPr>
              <w:t>；</w:t>
            </w:r>
          </w:p>
        </w:tc>
      </w:tr>
      <w:tr w14:paraId="50E1C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835" w:type="dxa"/>
            <w:shd w:val="clear" w:color="auto" w:fill="auto"/>
            <w:vAlign w:val="center"/>
          </w:tcPr>
          <w:p w14:paraId="4E3EFA95">
            <w:pPr>
              <w:ind w:firstLine="0" w:firstLineChars="0"/>
              <w:jc w:val="center"/>
              <w:rPr>
                <w:rFonts w:ascii="Times New Roman" w:hAnsi="Times New Roman" w:eastAsia="宋体" w:cs="Times New Roman"/>
                <w:color w:val="auto"/>
                <w:kern w:val="2"/>
                <w:sz w:val="24"/>
                <w:lang w:val="en-US" w:eastAsia="zh-CN" w:bidi="ar-SA"/>
              </w:rPr>
            </w:pPr>
          </w:p>
        </w:tc>
        <w:tc>
          <w:tcPr>
            <w:tcW w:w="968" w:type="dxa"/>
            <w:shd w:val="clear" w:color="auto" w:fill="auto"/>
            <w:vAlign w:val="top"/>
          </w:tcPr>
          <w:p w14:paraId="7C376280">
            <w:pPr>
              <w:ind w:firstLine="0" w:firstLineChars="0"/>
              <w:jc w:val="right"/>
              <w:rPr>
                <w:rFonts w:hint="default" w:ascii="Times New Roman" w:hAnsi="Times New Roman" w:eastAsia="宋体" w:cs="Times New Roman"/>
                <w:color w:val="auto"/>
                <w:kern w:val="2"/>
                <w:position w:val="-12"/>
                <w:sz w:val="24"/>
                <w:vertAlign w:val="subscript"/>
                <w:lang w:val="en-US" w:eastAsia="zh-CN" w:bidi="ar-SA"/>
              </w:rPr>
            </w:pPr>
            <w:r>
              <w:rPr>
                <w:rFonts w:hint="default" w:ascii="Times New Roman" w:hAnsi="Times New Roman" w:cs="Times New Roman"/>
                <w:i/>
                <w:iCs/>
                <w:color w:val="auto"/>
                <w:position w:val="-12"/>
                <w:lang w:val="en-US" w:eastAsia="zh-CN"/>
              </w:rPr>
              <w:object>
                <v:shape id="_x0000_i1128" o:spt="75" type="#_x0000_t75" style="height:18pt;width:18pt;" o:ole="t" filled="f" o:preferrelative="t" stroked="f" coordsize="21600,21600">
                  <v:path/>
                  <v:fill on="f" focussize="0,0"/>
                  <v:stroke on="f"/>
                  <v:imagedata r:id="rId265" o:title=""/>
                  <o:lock v:ext="edit" aspectratio="f"/>
                  <w10:wrap type="none"/>
                  <w10:anchorlock/>
                </v:shape>
                <o:OLEObject Type="Embed" ProgID="Equation.DSMT4" ShapeID="_x0000_i1128" DrawAspect="Content" ObjectID="_1468075828" r:id="rId264">
                  <o:LockedField>false</o:LockedField>
                </o:OLEObject>
              </w:object>
            </w:r>
          </w:p>
        </w:tc>
        <w:tc>
          <w:tcPr>
            <w:tcW w:w="760" w:type="dxa"/>
            <w:shd w:val="clear" w:color="auto" w:fill="auto"/>
            <w:vAlign w:val="top"/>
          </w:tcPr>
          <w:p w14:paraId="675CFAD0">
            <w:pPr>
              <w:ind w:firstLine="0" w:firstLineChars="0"/>
              <w:jc w:val="center"/>
              <w:rPr>
                <w:rFonts w:hint="default"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5953" w:type="dxa"/>
            <w:shd w:val="clear" w:color="auto" w:fill="auto"/>
            <w:vAlign w:val="center"/>
          </w:tcPr>
          <w:p w14:paraId="67F0EB44">
            <w:pPr>
              <w:ind w:firstLine="0" w:firstLineChars="0"/>
              <w:rPr>
                <w:rFonts w:hint="eastAsia" w:ascii="Times New Roman" w:hAnsi="Times New Roman" w:eastAsia="宋体" w:cs="Times New Roman"/>
                <w:color w:val="auto"/>
                <w:kern w:val="2"/>
                <w:sz w:val="24"/>
                <w:lang w:val="en-US" w:eastAsia="zh-CN" w:bidi="ar-SA"/>
              </w:rPr>
            </w:pPr>
            <w:r>
              <w:rPr>
                <w:rFonts w:hint="eastAsia"/>
                <w:lang w:val="en-US" w:eastAsia="zh-CN"/>
              </w:rPr>
              <w:t>垂直穿过接缝的</w:t>
            </w:r>
            <w:r>
              <w:rPr>
                <w:rFonts w:hint="eastAsia"/>
                <w:color w:val="auto"/>
                <w:lang w:val="en-US" w:eastAsia="zh-CN"/>
              </w:rPr>
              <w:t>钢腹板截面面积（mm）。</w:t>
            </w:r>
          </w:p>
        </w:tc>
      </w:tr>
    </w:tbl>
    <w:p w14:paraId="22FDA234">
      <w:pPr>
        <w:pStyle w:val="43"/>
        <w:rPr>
          <w:rFonts w:hint="eastAsia"/>
          <w:lang w:val="en-US" w:eastAsia="zh-CN"/>
        </w:rPr>
      </w:pPr>
      <w:r>
        <w:rPr>
          <w:rFonts w:hint="eastAsia"/>
          <w:lang w:val="en-US" w:eastAsia="zh-CN"/>
        </w:rPr>
        <w:t>当梁柱连接接缝为粗糙面，且仅有钢筋和抗剪锚筋或抗剪栓钉垂直穿过接缝时</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2"/>
        <w:gridCol w:w="5659"/>
        <w:gridCol w:w="1425"/>
      </w:tblGrid>
      <w:tr w14:paraId="62AC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 w:type="pct"/>
            <w:vAlign w:val="center"/>
          </w:tcPr>
          <w:p w14:paraId="4A1AA6D2">
            <w:pPr>
              <w:pStyle w:val="43"/>
              <w:numPr>
                <w:ilvl w:val="3"/>
                <w:numId w:val="0"/>
              </w:numPr>
              <w:jc w:val="center"/>
              <w:rPr>
                <w:color w:val="auto"/>
              </w:rPr>
            </w:pPr>
          </w:p>
        </w:tc>
        <w:tc>
          <w:tcPr>
            <w:tcW w:w="3322" w:type="pct"/>
            <w:vAlign w:val="center"/>
          </w:tcPr>
          <w:p w14:paraId="27E980DA">
            <w:pPr>
              <w:pStyle w:val="43"/>
              <w:numPr>
                <w:ilvl w:val="3"/>
                <w:numId w:val="0"/>
              </w:numPr>
              <w:jc w:val="center"/>
              <w:rPr>
                <w:color w:val="auto"/>
                <w:position w:val="-14"/>
              </w:rPr>
            </w:pPr>
            <w:r>
              <w:rPr>
                <w:color w:val="auto"/>
                <w:position w:val="-12"/>
              </w:rPr>
              <w:object>
                <v:shape id="_x0000_i1129" o:spt="75" type="#_x0000_t75" style="height:20.5pt;width:79.55pt;" o:ole="t" filled="f" o:preferrelative="t" stroked="f" coordsize="21600,21600">
                  <v:path/>
                  <v:fill on="f" focussize="0,0"/>
                  <v:stroke on="f"/>
                  <v:imagedata r:id="rId267" o:title=""/>
                  <o:lock v:ext="edit" aspectratio="t"/>
                  <w10:wrap type="none"/>
                  <w10:anchorlock/>
                </v:shape>
                <o:OLEObject Type="Embed" ProgID="Equation.DSMT4" ShapeID="_x0000_i1129" DrawAspect="Content" ObjectID="_1468075829" r:id="rId266">
                  <o:LockedField>false</o:LockedField>
                </o:OLEObject>
              </w:object>
            </w:r>
          </w:p>
        </w:tc>
        <w:tc>
          <w:tcPr>
            <w:tcW w:w="836" w:type="pct"/>
            <w:vAlign w:val="center"/>
          </w:tcPr>
          <w:p w14:paraId="357CF4AD">
            <w:pPr>
              <w:pStyle w:val="43"/>
              <w:numPr>
                <w:ilvl w:val="3"/>
                <w:numId w:val="0"/>
              </w:numPr>
              <w:jc w:val="right"/>
              <w:rPr>
                <w:rFonts w:hint="eastAsia"/>
                <w:color w:val="auto"/>
              </w:rPr>
            </w:pP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4</w:t>
            </w:r>
            <w:r>
              <w:rPr>
                <w:rFonts w:hint="eastAsia"/>
                <w:color w:val="auto"/>
              </w:rPr>
              <w:t>）</w:t>
            </w:r>
          </w:p>
        </w:tc>
      </w:tr>
      <w:tr w14:paraId="4DB2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 w:type="pct"/>
            <w:shd w:val="clear" w:color="auto" w:fill="auto"/>
            <w:vAlign w:val="center"/>
          </w:tcPr>
          <w:p w14:paraId="5DA29582">
            <w:pPr>
              <w:pStyle w:val="43"/>
              <w:numPr>
                <w:ilvl w:val="3"/>
                <w:numId w:val="0"/>
              </w:numPr>
              <w:ind w:left="0" w:leftChars="0" w:firstLine="0" w:firstLineChars="0"/>
              <w:jc w:val="center"/>
              <w:rPr>
                <w:rFonts w:hint="default" w:ascii="Times New Roman" w:hAnsi="Times New Roman" w:eastAsia="宋体" w:cs="Times New Roman"/>
                <w:color w:val="auto"/>
                <w:kern w:val="2"/>
                <w:sz w:val="24"/>
                <w:lang w:val="en-US" w:eastAsia="zh-CN" w:bidi="ar-SA"/>
              </w:rPr>
            </w:pPr>
            <w:r>
              <w:rPr>
                <w:rFonts w:hint="eastAsia"/>
                <w:color w:val="auto"/>
                <w:lang w:val="en-US" w:eastAsia="zh-CN"/>
              </w:rPr>
              <w:t>抗剪栓钉</w:t>
            </w:r>
          </w:p>
        </w:tc>
        <w:tc>
          <w:tcPr>
            <w:tcW w:w="3322" w:type="pct"/>
            <w:shd w:val="clear" w:color="auto" w:fill="auto"/>
            <w:vAlign w:val="center"/>
          </w:tcPr>
          <w:p w14:paraId="666C414F">
            <w:pPr>
              <w:pStyle w:val="43"/>
              <w:numPr>
                <w:ilvl w:val="3"/>
                <w:numId w:val="0"/>
              </w:numPr>
              <w:ind w:left="0" w:leftChars="0" w:firstLine="0" w:firstLineChars="0"/>
              <w:jc w:val="center"/>
              <w:rPr>
                <w:rFonts w:ascii="Times New Roman" w:hAnsi="Times New Roman" w:eastAsia="宋体" w:cs="Times New Roman"/>
                <w:color w:val="auto"/>
                <w:kern w:val="2"/>
                <w:position w:val="-14"/>
                <w:sz w:val="24"/>
                <w:lang w:val="en-US" w:eastAsia="zh-CN" w:bidi="ar-SA"/>
              </w:rPr>
            </w:pPr>
            <w:r>
              <w:rPr>
                <w:color w:val="auto"/>
                <w:position w:val="-14"/>
              </w:rPr>
              <w:object>
                <v:shape id="_x0000_i1130" o:spt="75" type="#_x0000_t75" style="height:21.45pt;width:153.2pt;" o:ole="t" filled="f" o:preferrelative="t" stroked="f" coordsize="21600,21600">
                  <v:path/>
                  <v:fill on="f" focussize="0,0"/>
                  <v:stroke on="f"/>
                  <v:imagedata r:id="rId269" o:title=""/>
                  <o:lock v:ext="edit" aspectratio="t"/>
                  <w10:wrap type="none"/>
                  <w10:anchorlock/>
                </v:shape>
                <o:OLEObject Type="Embed" ProgID="Equation.DSMT4" ShapeID="_x0000_i1130" DrawAspect="Content" ObjectID="_1468075830" r:id="rId268">
                  <o:LockedField>false</o:LockedField>
                </o:OLEObject>
              </w:object>
            </w:r>
          </w:p>
        </w:tc>
        <w:tc>
          <w:tcPr>
            <w:tcW w:w="836" w:type="pct"/>
            <w:vAlign w:val="center"/>
          </w:tcPr>
          <w:p w14:paraId="76BD09A8">
            <w:pPr>
              <w:pStyle w:val="43"/>
              <w:numPr>
                <w:ilvl w:val="3"/>
                <w:numId w:val="0"/>
              </w:numPr>
              <w:jc w:val="right"/>
              <w:rPr>
                <w:rFonts w:hint="eastAsia"/>
                <w:color w:val="auto"/>
              </w:rPr>
            </w:pP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5</w:t>
            </w:r>
            <w:r>
              <w:rPr>
                <w:rFonts w:hint="eastAsia"/>
                <w:color w:val="auto"/>
              </w:rPr>
              <w:t>）</w:t>
            </w:r>
          </w:p>
        </w:tc>
      </w:tr>
      <w:tr w14:paraId="44A35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 w:type="pct"/>
            <w:shd w:val="clear" w:color="auto" w:fill="auto"/>
            <w:vAlign w:val="center"/>
          </w:tcPr>
          <w:p w14:paraId="11567B8B">
            <w:pPr>
              <w:pStyle w:val="43"/>
              <w:numPr>
                <w:ilvl w:val="3"/>
                <w:numId w:val="0"/>
              </w:numPr>
              <w:ind w:left="0" w:leftChars="0" w:firstLine="0" w:firstLineChars="0"/>
              <w:jc w:val="center"/>
              <w:rPr>
                <w:rFonts w:hint="default" w:ascii="Times New Roman" w:hAnsi="Times New Roman" w:eastAsia="宋体" w:cs="Times New Roman"/>
                <w:color w:val="auto"/>
                <w:kern w:val="2"/>
                <w:sz w:val="24"/>
                <w:lang w:val="en-US" w:eastAsia="zh-CN" w:bidi="ar-SA"/>
              </w:rPr>
            </w:pPr>
            <w:r>
              <w:rPr>
                <w:rFonts w:hint="eastAsia"/>
                <w:color w:val="auto"/>
                <w:lang w:val="en-US" w:eastAsia="zh-CN"/>
              </w:rPr>
              <w:t>抗剪锚筋</w:t>
            </w:r>
          </w:p>
        </w:tc>
        <w:tc>
          <w:tcPr>
            <w:tcW w:w="3322" w:type="pct"/>
            <w:shd w:val="clear" w:color="auto" w:fill="auto"/>
            <w:vAlign w:val="center"/>
          </w:tcPr>
          <w:p w14:paraId="3B26B48F">
            <w:pPr>
              <w:pStyle w:val="43"/>
              <w:numPr>
                <w:ilvl w:val="3"/>
                <w:numId w:val="0"/>
              </w:numPr>
              <w:ind w:left="0" w:leftChars="0" w:firstLine="0" w:firstLineChars="0"/>
              <w:jc w:val="center"/>
              <w:rPr>
                <w:rFonts w:ascii="Times New Roman" w:hAnsi="Times New Roman" w:eastAsia="宋体" w:cs="Times New Roman"/>
                <w:color w:val="auto"/>
                <w:kern w:val="2"/>
                <w:position w:val="-14"/>
                <w:sz w:val="24"/>
                <w:lang w:val="en-US" w:eastAsia="zh-CN" w:bidi="ar-SA"/>
              </w:rPr>
            </w:pPr>
            <w:r>
              <w:rPr>
                <w:color w:val="auto"/>
                <w:position w:val="-14"/>
              </w:rPr>
              <w:object>
                <v:shape id="_x0000_i1131" o:spt="75" type="#_x0000_t75" style="height:21.45pt;width:84.65pt;" o:ole="t" filled="f" o:preferrelative="t" stroked="f" coordsize="21600,21600">
                  <v:path/>
                  <v:fill on="f" focussize="0,0"/>
                  <v:stroke on="f"/>
                  <v:imagedata r:id="rId271" o:title=""/>
                  <o:lock v:ext="edit" aspectratio="t"/>
                  <w10:wrap type="none"/>
                  <w10:anchorlock/>
                </v:shape>
                <o:OLEObject Type="Embed" ProgID="Equation.DSMT4" ShapeID="_x0000_i1131" DrawAspect="Content" ObjectID="_1468075831" r:id="rId270">
                  <o:LockedField>false</o:LockedField>
                </o:OLEObject>
              </w:object>
            </w:r>
          </w:p>
        </w:tc>
        <w:tc>
          <w:tcPr>
            <w:tcW w:w="836" w:type="pct"/>
            <w:vAlign w:val="center"/>
          </w:tcPr>
          <w:p w14:paraId="75643D3C">
            <w:pPr>
              <w:pStyle w:val="43"/>
              <w:numPr>
                <w:ilvl w:val="3"/>
                <w:numId w:val="0"/>
              </w:numPr>
              <w:jc w:val="right"/>
              <w:rPr>
                <w:rFonts w:hint="eastAsia"/>
                <w:color w:val="auto"/>
              </w:rPr>
            </w:pP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6</w:t>
            </w:r>
            <w:r>
              <w:rPr>
                <w:rFonts w:hint="eastAsia"/>
                <w:color w:val="auto"/>
              </w:rPr>
              <w:t>）</w:t>
            </w:r>
          </w:p>
        </w:tc>
      </w:tr>
    </w:tbl>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5"/>
        <w:gridCol w:w="968"/>
        <w:gridCol w:w="760"/>
        <w:gridCol w:w="5953"/>
      </w:tblGrid>
      <w:tr w14:paraId="2E1E5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90" w:type="pct"/>
            <w:vAlign w:val="center"/>
          </w:tcPr>
          <w:p w14:paraId="265C6C2D">
            <w:pPr>
              <w:ind w:firstLine="0" w:firstLineChars="0"/>
              <w:jc w:val="center"/>
              <w:rPr>
                <w:color w:val="auto"/>
              </w:rPr>
            </w:pPr>
            <w:r>
              <w:rPr>
                <w:rFonts w:hint="eastAsia"/>
                <w:color w:val="auto"/>
              </w:rPr>
              <w:t>式中：</w:t>
            </w:r>
          </w:p>
        </w:tc>
        <w:tc>
          <w:tcPr>
            <w:tcW w:w="568" w:type="pct"/>
            <w:shd w:val="clear" w:color="auto" w:fill="auto"/>
            <w:vAlign w:val="top"/>
          </w:tcPr>
          <w:p w14:paraId="724A3153">
            <w:pPr>
              <w:ind w:firstLine="0" w:firstLineChars="0"/>
              <w:jc w:val="right"/>
              <w:rPr>
                <w:rFonts w:ascii="Times New Roman" w:hAnsi="Times New Roman" w:eastAsia="宋体" w:cs="Times New Roman"/>
                <w:color w:val="auto"/>
                <w:kern w:val="2"/>
                <w:position w:val="-14"/>
                <w:sz w:val="24"/>
                <w:vertAlign w:val="subscript"/>
                <w:lang w:val="en-US" w:eastAsia="zh-CN" w:bidi="ar-SA"/>
              </w:rPr>
            </w:pPr>
            <w:r>
              <w:rPr>
                <w:color w:val="auto"/>
                <w:position w:val="-12"/>
                <w:vertAlign w:val="subscript"/>
              </w:rPr>
              <w:object>
                <v:shape id="_x0000_i1132" o:spt="75" type="#_x0000_t75" style="height:18pt;width:17pt;" o:ole="t" filled="f" o:preferrelative="t" stroked="f" coordsize="21600,21600">
                  <v:path/>
                  <v:fill on="f" focussize="0,0"/>
                  <v:stroke on="f"/>
                  <v:imagedata r:id="rId273" o:title=""/>
                  <o:lock v:ext="edit" aspectratio="f"/>
                  <w10:wrap type="none"/>
                  <w10:anchorlock/>
                </v:shape>
                <o:OLEObject Type="Embed" ProgID="Equation.DSMT4" ShapeID="_x0000_i1132" DrawAspect="Content" ObjectID="_1468075832" r:id="rId272">
                  <o:LockedField>false</o:LockedField>
                </o:OLEObject>
              </w:object>
            </w:r>
          </w:p>
        </w:tc>
        <w:tc>
          <w:tcPr>
            <w:tcW w:w="446" w:type="pct"/>
            <w:shd w:val="clear" w:color="auto" w:fill="auto"/>
            <w:vAlign w:val="top"/>
          </w:tcPr>
          <w:p w14:paraId="7DD9F55F">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495" w:type="pct"/>
            <w:shd w:val="clear" w:color="auto" w:fill="auto"/>
            <w:vAlign w:val="center"/>
          </w:tcPr>
          <w:p w14:paraId="4E40D7C4">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圆柱头焊钉钉杆截面面积</w:t>
            </w:r>
            <w:r>
              <w:rPr>
                <w:rFonts w:hint="eastAsia"/>
                <w:color w:val="auto"/>
                <w:lang w:eastAsia="zh-CN"/>
              </w:rPr>
              <w:t>（</w:t>
            </w:r>
            <w:r>
              <w:rPr>
                <w:rFonts w:hint="eastAsia"/>
                <w:color w:val="auto"/>
                <w:lang w:val="en-US" w:eastAsia="zh-CN"/>
              </w:rPr>
              <w:t>mm</w:t>
            </w:r>
            <w:r>
              <w:rPr>
                <w:rFonts w:hint="eastAsia"/>
                <w:color w:val="auto"/>
                <w:vertAlign w:val="superscript"/>
                <w:lang w:val="en-US" w:eastAsia="zh-CN"/>
              </w:rPr>
              <w:t>2</w:t>
            </w:r>
            <w:r>
              <w:rPr>
                <w:rFonts w:hint="eastAsia"/>
                <w:color w:val="auto"/>
                <w:lang w:eastAsia="zh-CN"/>
              </w:rPr>
              <w:t>）；</w:t>
            </w:r>
          </w:p>
        </w:tc>
      </w:tr>
      <w:tr w14:paraId="118E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77307AFC">
            <w:pPr>
              <w:ind w:firstLine="0" w:firstLineChars="0"/>
              <w:jc w:val="center"/>
              <w:rPr>
                <w:color w:val="auto"/>
              </w:rPr>
            </w:pPr>
          </w:p>
        </w:tc>
        <w:tc>
          <w:tcPr>
            <w:tcW w:w="568" w:type="pct"/>
            <w:shd w:val="clear" w:color="auto" w:fill="auto"/>
            <w:vAlign w:val="top"/>
          </w:tcPr>
          <w:p w14:paraId="789FA57C">
            <w:pPr>
              <w:ind w:firstLine="0" w:firstLineChars="0"/>
              <w:jc w:val="right"/>
              <w:rPr>
                <w:rFonts w:hint="default" w:ascii="Times New Roman" w:hAnsi="Times New Roman" w:eastAsia="宋体" w:cs="Times New Roman"/>
                <w:color w:val="auto"/>
                <w:kern w:val="2"/>
                <w:position w:val="-12"/>
                <w:sz w:val="24"/>
                <w:vertAlign w:val="subscript"/>
                <w:lang w:val="en-US" w:eastAsia="zh-CN" w:bidi="ar-SA"/>
              </w:rPr>
            </w:pPr>
            <w:r>
              <w:rPr>
                <w:color w:val="auto"/>
                <w:position w:val="-12"/>
                <w:vertAlign w:val="subscript"/>
              </w:rPr>
              <w:object>
                <v:shape id="_x0000_i1133" o:spt="75" type="#_x0000_t75" style="height:18pt;width:15pt;" o:ole="t" filled="f" o:preferrelative="t" stroked="f" coordsize="21600,21600">
                  <v:path/>
                  <v:fill on="f" focussize="0,0"/>
                  <v:stroke on="f"/>
                  <v:imagedata r:id="rId275" o:title=""/>
                  <o:lock v:ext="edit" aspectratio="f"/>
                  <w10:wrap type="none"/>
                  <w10:anchorlock/>
                </v:shape>
                <o:OLEObject Type="Embed" ProgID="Equation.DSMT4" ShapeID="_x0000_i1133" DrawAspect="Content" ObjectID="_1468075833" r:id="rId274">
                  <o:LockedField>false</o:LockedField>
                </o:OLEObject>
              </w:object>
            </w:r>
          </w:p>
        </w:tc>
        <w:tc>
          <w:tcPr>
            <w:tcW w:w="446" w:type="pct"/>
            <w:shd w:val="clear" w:color="auto" w:fill="auto"/>
            <w:vAlign w:val="top"/>
          </w:tcPr>
          <w:p w14:paraId="28DE6C20">
            <w:pPr>
              <w:ind w:firstLine="0" w:firstLineChars="0"/>
              <w:jc w:val="center"/>
              <w:rPr>
                <w:rFonts w:hint="default"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495" w:type="pct"/>
            <w:shd w:val="clear" w:color="auto" w:fill="auto"/>
            <w:vAlign w:val="center"/>
          </w:tcPr>
          <w:p w14:paraId="533B5B24">
            <w:pPr>
              <w:ind w:firstLine="0" w:firstLineChars="0"/>
              <w:rPr>
                <w:rFonts w:hint="default" w:ascii="Times New Roman" w:hAnsi="Times New Roman" w:eastAsia="宋体" w:cs="Times New Roman"/>
                <w:color w:val="auto"/>
                <w:kern w:val="2"/>
                <w:sz w:val="24"/>
                <w:lang w:val="en-US" w:eastAsia="zh-CN" w:bidi="ar-SA"/>
              </w:rPr>
            </w:pPr>
            <w:r>
              <w:rPr>
                <w:rFonts w:hint="eastAsia"/>
                <w:color w:val="auto"/>
              </w:rPr>
              <w:t>混凝土的弹性模量</w:t>
            </w:r>
            <w:r>
              <w:rPr>
                <w:rFonts w:hint="eastAsia"/>
                <w:color w:val="auto"/>
                <w:lang w:eastAsia="zh-CN"/>
              </w:rPr>
              <w:t>（</w:t>
            </w:r>
            <w:r>
              <w:rPr>
                <w:rFonts w:hint="eastAsia"/>
                <w:color w:val="auto"/>
                <w:lang w:val="en-US" w:eastAsia="zh-CN"/>
              </w:rPr>
              <w:t>N/mm</w:t>
            </w:r>
            <w:r>
              <w:rPr>
                <w:rFonts w:hint="eastAsia"/>
                <w:color w:val="auto"/>
                <w:vertAlign w:val="superscript"/>
                <w:lang w:val="en-US" w:eastAsia="zh-CN"/>
              </w:rPr>
              <w:t>2</w:t>
            </w:r>
            <w:r>
              <w:rPr>
                <w:rFonts w:hint="eastAsia"/>
                <w:color w:val="auto"/>
                <w:lang w:eastAsia="zh-CN"/>
              </w:rPr>
              <w:t>）；</w:t>
            </w:r>
          </w:p>
        </w:tc>
      </w:tr>
      <w:tr w14:paraId="2E6E4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69864D3C">
            <w:pPr>
              <w:ind w:firstLine="0" w:firstLineChars="0"/>
              <w:jc w:val="center"/>
              <w:rPr>
                <w:color w:val="auto"/>
              </w:rPr>
            </w:pPr>
          </w:p>
        </w:tc>
        <w:tc>
          <w:tcPr>
            <w:tcW w:w="568" w:type="pct"/>
            <w:shd w:val="clear" w:color="auto" w:fill="auto"/>
            <w:vAlign w:val="top"/>
          </w:tcPr>
          <w:p w14:paraId="331DFA4D">
            <w:pPr>
              <w:ind w:firstLine="0" w:firstLineChars="0"/>
              <w:jc w:val="right"/>
              <w:rPr>
                <w:rFonts w:hint="default" w:ascii="Times New Roman" w:hAnsi="Times New Roman" w:eastAsia="宋体" w:cs="Times New Roman"/>
                <w:color w:val="auto"/>
                <w:kern w:val="2"/>
                <w:position w:val="-12"/>
                <w:sz w:val="24"/>
                <w:vertAlign w:val="subscript"/>
                <w:lang w:val="en-US" w:eastAsia="zh-CN" w:bidi="ar-SA"/>
              </w:rPr>
            </w:pPr>
            <w:r>
              <w:rPr>
                <w:color w:val="auto"/>
                <w:position w:val="-12"/>
                <w:vertAlign w:val="subscript"/>
              </w:rPr>
              <w:object>
                <v:shape id="_x0000_i1134" o:spt="75" type="#_x0000_t75" style="height:18pt;width:15pt;" o:ole="t" filled="f" o:preferrelative="t" stroked="f" coordsize="21600,21600">
                  <v:path/>
                  <v:fill on="f" focussize="0,0"/>
                  <v:stroke on="f"/>
                  <v:imagedata r:id="rId277" o:title=""/>
                  <o:lock v:ext="edit" aspectratio="f"/>
                  <w10:wrap type="none"/>
                  <w10:anchorlock/>
                </v:shape>
                <o:OLEObject Type="Embed" ProgID="Equation.DSMT4" ShapeID="_x0000_i1134" DrawAspect="Content" ObjectID="_1468075834" r:id="rId276">
                  <o:LockedField>false</o:LockedField>
                </o:OLEObject>
              </w:object>
            </w:r>
          </w:p>
        </w:tc>
        <w:tc>
          <w:tcPr>
            <w:tcW w:w="446" w:type="pct"/>
            <w:shd w:val="clear" w:color="auto" w:fill="auto"/>
            <w:vAlign w:val="top"/>
          </w:tcPr>
          <w:p w14:paraId="6422605D">
            <w:pPr>
              <w:ind w:firstLine="0" w:firstLineChars="0"/>
              <w:jc w:val="center"/>
              <w:rPr>
                <w:rFonts w:hint="default"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495" w:type="pct"/>
            <w:shd w:val="clear" w:color="auto" w:fill="auto"/>
            <w:vAlign w:val="center"/>
          </w:tcPr>
          <w:p w14:paraId="47477A34">
            <w:pPr>
              <w:ind w:firstLine="0" w:firstLineChars="0"/>
              <w:rPr>
                <w:rFonts w:hint="default" w:ascii="Times New Roman" w:hAnsi="Times New Roman" w:eastAsia="宋体" w:cs="Times New Roman"/>
                <w:color w:val="auto"/>
                <w:kern w:val="2"/>
                <w:sz w:val="24"/>
                <w:lang w:val="en-US" w:eastAsia="zh-CN" w:bidi="ar-SA"/>
              </w:rPr>
            </w:pPr>
            <w:r>
              <w:rPr>
                <w:rFonts w:hint="eastAsia"/>
                <w:color w:val="auto"/>
              </w:rPr>
              <w:t>圆柱头焊钉极限抗拉强度设计值，需满足现行国家标准《电弧螺柱焊用圆柱头焊钉》GB/T</w:t>
            </w:r>
            <w:r>
              <w:rPr>
                <w:rFonts w:hint="eastAsia"/>
                <w:color w:val="auto"/>
                <w:lang w:val="en-US" w:eastAsia="zh-CN"/>
              </w:rPr>
              <w:t xml:space="preserve"> </w:t>
            </w:r>
            <w:r>
              <w:rPr>
                <w:rFonts w:hint="eastAsia"/>
                <w:color w:val="auto"/>
              </w:rPr>
              <w:t>10433的</w:t>
            </w:r>
            <w:r>
              <w:rPr>
                <w:rFonts w:hint="eastAsia"/>
                <w:color w:val="auto"/>
                <w:lang w:val="en-US" w:eastAsia="zh-CN"/>
              </w:rPr>
              <w:t>规定</w:t>
            </w:r>
            <w:r>
              <w:rPr>
                <w:rFonts w:hint="eastAsia"/>
                <w:color w:val="auto"/>
                <w:lang w:eastAsia="zh-CN"/>
              </w:rPr>
              <w:t>（</w:t>
            </w:r>
            <w:r>
              <w:rPr>
                <w:rFonts w:hint="eastAsia"/>
                <w:color w:val="auto"/>
              </w:rPr>
              <w:t>N/mm</w:t>
            </w:r>
            <w:r>
              <w:rPr>
                <w:rFonts w:hint="eastAsia"/>
                <w:color w:val="auto"/>
                <w:vertAlign w:val="superscript"/>
                <w:lang w:val="en-US" w:eastAsia="zh-CN"/>
              </w:rPr>
              <w:t>2</w:t>
            </w:r>
            <w:r>
              <w:rPr>
                <w:rFonts w:hint="eastAsia"/>
                <w:color w:val="auto"/>
                <w:lang w:eastAsia="zh-CN"/>
              </w:rPr>
              <w:t>）；</w:t>
            </w:r>
          </w:p>
        </w:tc>
      </w:tr>
      <w:tr w14:paraId="15A32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tcPr>
          <w:p w14:paraId="2E094210">
            <w:pPr>
              <w:ind w:firstLine="0" w:firstLineChars="0"/>
              <w:jc w:val="center"/>
              <w:rPr>
                <w:color w:val="auto"/>
              </w:rPr>
            </w:pPr>
          </w:p>
        </w:tc>
        <w:tc>
          <w:tcPr>
            <w:tcW w:w="568" w:type="pct"/>
            <w:shd w:val="clear" w:color="auto" w:fill="auto"/>
            <w:vAlign w:val="top"/>
          </w:tcPr>
          <w:p w14:paraId="5289993F">
            <w:pPr>
              <w:ind w:firstLine="0" w:firstLineChars="0"/>
              <w:jc w:val="right"/>
              <w:rPr>
                <w:rFonts w:hint="default" w:ascii="Times New Roman" w:hAnsi="Times New Roman" w:eastAsia="宋体" w:cs="Times New Roman"/>
                <w:color w:val="auto"/>
                <w:kern w:val="2"/>
                <w:position w:val="-12"/>
                <w:sz w:val="24"/>
                <w:vertAlign w:val="subscript"/>
                <w:lang w:val="en-US" w:eastAsia="zh-CN" w:bidi="ar-SA"/>
              </w:rPr>
            </w:pPr>
            <w:r>
              <w:rPr>
                <w:color w:val="auto"/>
                <w:position w:val="-12"/>
                <w:vertAlign w:val="subscript"/>
              </w:rPr>
              <w:object>
                <v:shape id="_x0000_i1135" o:spt="75" type="#_x0000_t75" style="height:18pt;width:18pt;" o:ole="t" filled="f" o:preferrelative="t" stroked="f" coordsize="21600,21600">
                  <v:path/>
                  <v:fill on="f" focussize="0,0"/>
                  <v:stroke on="f"/>
                  <v:imagedata r:id="rId279" o:title=""/>
                  <o:lock v:ext="edit" aspectratio="f"/>
                  <w10:wrap type="none"/>
                  <w10:anchorlock/>
                </v:shape>
                <o:OLEObject Type="Embed" ProgID="Equation.DSMT4" ShapeID="_x0000_i1135" DrawAspect="Content" ObjectID="_1468075835" r:id="rId278">
                  <o:LockedField>false</o:LockedField>
                </o:OLEObject>
              </w:object>
            </w:r>
          </w:p>
        </w:tc>
        <w:tc>
          <w:tcPr>
            <w:tcW w:w="446" w:type="pct"/>
            <w:shd w:val="clear" w:color="auto" w:fill="auto"/>
            <w:vAlign w:val="top"/>
          </w:tcPr>
          <w:p w14:paraId="311866F7">
            <w:pPr>
              <w:ind w:left="0" w:leftChars="0" w:firstLine="0" w:firstLineChars="0"/>
              <w:jc w:val="both"/>
              <w:rPr>
                <w:rFonts w:hint="default"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495" w:type="pct"/>
            <w:shd w:val="clear" w:color="auto" w:fill="auto"/>
            <w:vAlign w:val="center"/>
          </w:tcPr>
          <w:p w14:paraId="3214B03A">
            <w:pPr>
              <w:ind w:firstLine="0" w:firstLineChars="0"/>
              <w:rPr>
                <w:rFonts w:hint="default" w:ascii="Times New Roman" w:hAnsi="Times New Roman" w:eastAsia="宋体" w:cs="Times New Roman"/>
                <w:color w:val="auto"/>
                <w:kern w:val="2"/>
                <w:sz w:val="24"/>
                <w:lang w:val="en-US" w:eastAsia="zh-CN" w:bidi="ar-SA"/>
              </w:rPr>
            </w:pPr>
            <w:r>
              <w:rPr>
                <w:rFonts w:hint="eastAsia"/>
                <w:color w:val="auto"/>
              </w:rPr>
              <w:t>锚筋的总截面面积</w:t>
            </w:r>
            <w:r>
              <w:rPr>
                <w:rFonts w:hint="eastAsia"/>
                <w:color w:val="auto"/>
                <w:lang w:eastAsia="zh-CN"/>
              </w:rPr>
              <w:t>（</w:t>
            </w:r>
            <w:r>
              <w:rPr>
                <w:rFonts w:hint="eastAsia"/>
                <w:color w:val="auto"/>
                <w:lang w:val="en-US" w:eastAsia="zh-CN"/>
              </w:rPr>
              <w:t>mm</w:t>
            </w:r>
            <w:r>
              <w:rPr>
                <w:rFonts w:hint="eastAsia"/>
                <w:color w:val="auto"/>
                <w:vertAlign w:val="superscript"/>
                <w:lang w:val="en-US" w:eastAsia="zh-CN"/>
              </w:rPr>
              <w:t>2</w:t>
            </w:r>
            <w:r>
              <w:rPr>
                <w:rFonts w:hint="eastAsia"/>
                <w:color w:val="auto"/>
                <w:lang w:eastAsia="zh-CN"/>
              </w:rPr>
              <w:t>）；</w:t>
            </w:r>
          </w:p>
        </w:tc>
      </w:tr>
      <w:tr w14:paraId="5F330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490" w:type="pct"/>
          </w:tcPr>
          <w:p w14:paraId="60ECCBF5">
            <w:pPr>
              <w:ind w:firstLine="0" w:firstLineChars="0"/>
              <w:jc w:val="center"/>
              <w:rPr>
                <w:color w:val="auto"/>
              </w:rPr>
            </w:pPr>
          </w:p>
        </w:tc>
        <w:tc>
          <w:tcPr>
            <w:tcW w:w="568" w:type="pct"/>
            <w:shd w:val="clear" w:color="auto" w:fill="auto"/>
            <w:vAlign w:val="top"/>
          </w:tcPr>
          <w:p w14:paraId="6756632A">
            <w:pPr>
              <w:ind w:firstLine="0" w:firstLineChars="0"/>
              <w:jc w:val="right"/>
              <w:rPr>
                <w:rFonts w:hint="default" w:ascii="Times New Roman" w:hAnsi="Times New Roman" w:eastAsia="宋体" w:cs="Times New Roman"/>
                <w:color w:val="auto"/>
                <w:kern w:val="2"/>
                <w:position w:val="-12"/>
                <w:sz w:val="24"/>
                <w:vertAlign w:val="subscript"/>
                <w:lang w:val="en-US" w:eastAsia="zh-CN" w:bidi="ar-SA"/>
              </w:rPr>
            </w:pPr>
            <w:r>
              <w:rPr>
                <w:color w:val="auto"/>
                <w:position w:val="-12"/>
                <w:vertAlign w:val="subscript"/>
              </w:rPr>
              <w:object>
                <v:shape id="_x0000_i1136" o:spt="75" type="#_x0000_t75" style="height:18pt;width:13.95pt;" o:ole="t" filled="f" o:preferrelative="t" stroked="f" coordsize="21600,21600">
                  <v:path/>
                  <v:fill on="f" focussize="0,0"/>
                  <v:stroke on="f"/>
                  <v:imagedata r:id="rId281" o:title=""/>
                  <o:lock v:ext="edit" aspectratio="f"/>
                  <w10:wrap type="none"/>
                  <w10:anchorlock/>
                </v:shape>
                <o:OLEObject Type="Embed" ProgID="Equation.DSMT4" ShapeID="_x0000_i1136" DrawAspect="Content" ObjectID="_1468075836" r:id="rId280">
                  <o:LockedField>false</o:LockedField>
                </o:OLEObject>
              </w:object>
            </w:r>
          </w:p>
        </w:tc>
        <w:tc>
          <w:tcPr>
            <w:tcW w:w="446" w:type="pct"/>
            <w:shd w:val="clear" w:color="auto" w:fill="auto"/>
            <w:vAlign w:val="top"/>
          </w:tcPr>
          <w:p w14:paraId="64380B30">
            <w:pPr>
              <w:ind w:left="0" w:leftChars="0" w:firstLine="0" w:firstLineChars="0"/>
              <w:jc w:val="both"/>
              <w:rPr>
                <w:rFonts w:hint="default"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495" w:type="pct"/>
            <w:shd w:val="clear" w:color="auto" w:fill="auto"/>
            <w:vAlign w:val="center"/>
          </w:tcPr>
          <w:p w14:paraId="3CFFC643">
            <w:pPr>
              <w:ind w:firstLine="0" w:firstLineChars="0"/>
              <w:rPr>
                <w:rFonts w:hint="default" w:ascii="Times New Roman" w:hAnsi="Times New Roman" w:eastAsia="宋体" w:cs="Times New Roman"/>
                <w:color w:val="auto"/>
                <w:kern w:val="2"/>
                <w:sz w:val="24"/>
                <w:lang w:val="en-US" w:eastAsia="zh-CN" w:bidi="ar-SA"/>
              </w:rPr>
            </w:pPr>
            <w:r>
              <w:rPr>
                <w:rFonts w:hint="eastAsia"/>
                <w:color w:val="auto"/>
              </w:rPr>
              <w:t>锚筋层数的影响系数；当锚筋按等问距布置时：两层取1.0</w:t>
            </w:r>
            <w:r>
              <w:rPr>
                <w:rFonts w:hint="eastAsia"/>
                <w:color w:val="auto"/>
                <w:lang w:eastAsia="zh-CN"/>
              </w:rPr>
              <w:t>，</w:t>
            </w:r>
            <w:r>
              <w:rPr>
                <w:rFonts w:hint="eastAsia"/>
                <w:color w:val="auto"/>
              </w:rPr>
              <w:t>三层取0.9</w:t>
            </w:r>
            <w:r>
              <w:rPr>
                <w:rFonts w:hint="eastAsia"/>
                <w:color w:val="auto"/>
                <w:lang w:eastAsia="zh-CN"/>
              </w:rPr>
              <w:t>，</w:t>
            </w:r>
            <w:r>
              <w:rPr>
                <w:rFonts w:hint="eastAsia"/>
                <w:color w:val="auto"/>
              </w:rPr>
              <w:t>四层取0.85</w:t>
            </w:r>
            <w:r>
              <w:rPr>
                <w:rFonts w:hint="eastAsia"/>
                <w:color w:val="auto"/>
                <w:lang w:eastAsia="zh-CN"/>
              </w:rPr>
              <w:t>；</w:t>
            </w:r>
          </w:p>
        </w:tc>
      </w:tr>
      <w:tr w14:paraId="7E70C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tcPr>
          <w:p w14:paraId="200A65C9">
            <w:pPr>
              <w:ind w:firstLine="0" w:firstLineChars="0"/>
              <w:jc w:val="center"/>
              <w:rPr>
                <w:color w:val="auto"/>
              </w:rPr>
            </w:pPr>
          </w:p>
        </w:tc>
        <w:tc>
          <w:tcPr>
            <w:tcW w:w="568" w:type="pct"/>
            <w:shd w:val="clear" w:color="auto" w:fill="auto"/>
            <w:vAlign w:val="top"/>
          </w:tcPr>
          <w:p w14:paraId="128DE11F">
            <w:pPr>
              <w:ind w:firstLine="0" w:firstLineChars="0"/>
              <w:jc w:val="right"/>
              <w:rPr>
                <w:rFonts w:hint="default" w:ascii="Times New Roman" w:hAnsi="Times New Roman" w:eastAsia="宋体" w:cs="Times New Roman"/>
                <w:color w:val="auto"/>
                <w:kern w:val="2"/>
                <w:position w:val="-12"/>
                <w:sz w:val="24"/>
                <w:vertAlign w:val="subscript"/>
                <w:lang w:val="en-US" w:eastAsia="zh-CN" w:bidi="ar-SA"/>
              </w:rPr>
            </w:pPr>
            <w:r>
              <w:rPr>
                <w:color w:val="auto"/>
                <w:position w:val="-12"/>
                <w:vertAlign w:val="subscript"/>
              </w:rPr>
              <w:object>
                <v:shape id="_x0000_i1137" o:spt="75" type="#_x0000_t75" style="height:18pt;width:16pt;" o:ole="t" filled="f" o:preferrelative="t" stroked="f" coordsize="21600,21600">
                  <v:path/>
                  <v:fill on="f" focussize="0,0"/>
                  <v:stroke on="f"/>
                  <v:imagedata r:id="rId283" o:title=""/>
                  <o:lock v:ext="edit" aspectratio="f"/>
                  <w10:wrap type="none"/>
                  <w10:anchorlock/>
                </v:shape>
                <o:OLEObject Type="Embed" ProgID="Equation.DSMT4" ShapeID="_x0000_i1137" DrawAspect="Content" ObjectID="_1468075837" r:id="rId282">
                  <o:LockedField>false</o:LockedField>
                </o:OLEObject>
              </w:object>
            </w:r>
          </w:p>
        </w:tc>
        <w:tc>
          <w:tcPr>
            <w:tcW w:w="446" w:type="pct"/>
            <w:shd w:val="clear" w:color="auto" w:fill="auto"/>
            <w:vAlign w:val="top"/>
          </w:tcPr>
          <w:p w14:paraId="74115864">
            <w:pPr>
              <w:ind w:left="0" w:leftChars="0" w:firstLine="0" w:firstLineChars="0"/>
              <w:jc w:val="both"/>
              <w:rPr>
                <w:rFonts w:hint="default"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495" w:type="pct"/>
            <w:shd w:val="clear" w:color="auto" w:fill="auto"/>
            <w:vAlign w:val="center"/>
          </w:tcPr>
          <w:p w14:paraId="5F9EEA6F">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rPr>
              <w:t>锚筋的受剪承载力系数</w:t>
            </w:r>
            <w:r>
              <w:rPr>
                <w:rFonts w:hint="eastAsia"/>
                <w:color w:val="auto"/>
                <w:lang w:eastAsia="zh-CN"/>
              </w:rPr>
              <w:t>，</w:t>
            </w:r>
            <w:r>
              <w:rPr>
                <w:rFonts w:hint="eastAsia"/>
                <w:color w:val="auto"/>
              </w:rPr>
              <w:t>需满足现行国家标准《</w:t>
            </w:r>
            <w:r>
              <w:rPr>
                <w:rFonts w:hint="eastAsia"/>
                <w:color w:val="auto"/>
                <w:lang w:val="en-US" w:eastAsia="zh-CN"/>
              </w:rPr>
              <w:t>混凝土结构设计标准</w:t>
            </w:r>
            <w:r>
              <w:rPr>
                <w:rFonts w:hint="eastAsia"/>
                <w:color w:val="auto"/>
              </w:rPr>
              <w:t>》GB/T</w:t>
            </w:r>
            <w:r>
              <w:rPr>
                <w:rFonts w:hint="eastAsia"/>
                <w:color w:val="auto"/>
                <w:lang w:val="en-US" w:eastAsia="zh-CN"/>
              </w:rPr>
              <w:t xml:space="preserve"> 50010</w:t>
            </w:r>
            <w:r>
              <w:rPr>
                <w:rFonts w:hint="eastAsia"/>
                <w:color w:val="auto"/>
              </w:rPr>
              <w:t>的要求</w:t>
            </w:r>
            <w:r>
              <w:rPr>
                <w:rFonts w:hint="eastAsia"/>
                <w:color w:val="auto"/>
                <w:lang w:eastAsia="zh-CN"/>
              </w:rPr>
              <w:t>。</w:t>
            </w:r>
          </w:p>
        </w:tc>
      </w:tr>
    </w:tbl>
    <w:p w14:paraId="10A6C41B">
      <w:pPr>
        <w:rPr>
          <w:rFonts w:hint="eastAsia"/>
          <w:lang w:val="en-US" w:eastAsia="zh-CN"/>
        </w:rPr>
      </w:pPr>
    </w:p>
    <w:p w14:paraId="7457F7A9">
      <w:pPr>
        <w:pStyle w:val="42"/>
        <w:rPr>
          <w:rFonts w:hint="eastAsia"/>
          <w:lang w:val="en-US" w:eastAsia="zh-CN"/>
        </w:rPr>
      </w:pPr>
      <w:r>
        <w:rPr>
          <w:rFonts w:hint="eastAsia"/>
          <w:lang w:val="en-US" w:eastAsia="zh-CN"/>
        </w:rPr>
        <w:t>采用B型梁柱连接和C型梁柱连接时，梁柱连接接缝的正截面受弯承载力应按照现行国家标准《混凝土结构设计标准》GB/T 50010和《建筑抗震设计标准》GB/T 50011进行持久设计状况和地震设计状况的计算，承载力计算时不应考虑钢组件的作用。</w:t>
      </w:r>
    </w:p>
    <w:p w14:paraId="58664EC8">
      <w:pPr>
        <w:pStyle w:val="42"/>
        <w:keepNext w:val="0"/>
        <w:keepLines w:val="0"/>
        <w:pageBreakBefore w:val="0"/>
        <w:widowControl w:val="0"/>
        <w:numPr>
          <w:ilvl w:val="2"/>
          <w:numId w:val="0"/>
        </w:numPr>
        <w:kinsoku/>
        <w:wordWrap/>
        <w:overflowPunct/>
        <w:topLinePunct w:val="0"/>
        <w:autoSpaceDE/>
        <w:autoSpaceDN/>
        <w:bidi w:val="0"/>
        <w:adjustRightInd w:val="0"/>
        <w:snapToGrid w:val="0"/>
        <w:jc w:val="center"/>
        <w:textAlignment w:val="auto"/>
        <w:rPr>
          <w:rFonts w:hint="eastAsia"/>
          <w:b/>
          <w:bCs/>
          <w:color w:val="auto"/>
        </w:rPr>
      </w:pPr>
      <w:r>
        <w:rPr>
          <w:b/>
          <w:bCs/>
          <w:color w:val="auto"/>
        </w:rPr>
        <w:t>Ⅱ</w:t>
      </w:r>
      <w:bookmarkEnd w:id="46"/>
      <w:r>
        <w:rPr>
          <w:rFonts w:hint="eastAsia"/>
          <w:b/>
          <w:bCs/>
          <w:color w:val="auto"/>
        </w:rPr>
        <w:t xml:space="preserve"> </w:t>
      </w:r>
      <w:r>
        <w:rPr>
          <w:rFonts w:hint="eastAsia"/>
          <w:b/>
          <w:bCs/>
          <w:color w:val="auto"/>
          <w:lang w:val="en-US" w:eastAsia="zh-CN"/>
        </w:rPr>
        <w:t xml:space="preserve"> A型梁柱连接</w:t>
      </w:r>
    </w:p>
    <w:p w14:paraId="1DF0AFDC">
      <w:pPr>
        <w:pStyle w:val="42"/>
      </w:pPr>
      <w:r>
        <w:rPr>
          <w:rFonts w:hint="eastAsia"/>
          <w:lang w:val="en-US" w:eastAsia="zh-CN"/>
        </w:rPr>
        <w:t>采用A型梁柱连接时，</w:t>
      </w:r>
      <w:r>
        <w:rPr>
          <w:rFonts w:hint="eastAsia"/>
        </w:rPr>
        <w:t>预制梁与预制柱应通过</w:t>
      </w:r>
      <w:r>
        <w:rPr>
          <w:rFonts w:hint="eastAsia"/>
          <w:lang w:val="en-US" w:eastAsia="zh-CN"/>
        </w:rPr>
        <w:t>A型</w:t>
      </w:r>
      <w:r>
        <w:rPr>
          <w:rFonts w:hint="eastAsia"/>
        </w:rPr>
        <w:t>梁端钢</w:t>
      </w:r>
      <w:r>
        <w:rPr>
          <w:rFonts w:hint="eastAsia"/>
          <w:lang w:val="en-US" w:eastAsia="zh-CN"/>
        </w:rPr>
        <w:t>组</w:t>
      </w:r>
      <w:r>
        <w:rPr>
          <w:rFonts w:hint="eastAsia"/>
        </w:rPr>
        <w:t>件和</w:t>
      </w:r>
      <w:r>
        <w:rPr>
          <w:rFonts w:hint="eastAsia"/>
          <w:lang w:val="en-US" w:eastAsia="zh-CN"/>
        </w:rPr>
        <w:t>节点域</w:t>
      </w:r>
      <w:r>
        <w:rPr>
          <w:rFonts w:hint="eastAsia"/>
        </w:rPr>
        <w:t>钢</w:t>
      </w:r>
      <w:r>
        <w:rPr>
          <w:rFonts w:hint="eastAsia"/>
          <w:lang w:val="en-US" w:eastAsia="zh-CN"/>
        </w:rPr>
        <w:t>组</w:t>
      </w:r>
      <w:r>
        <w:rPr>
          <w:rFonts w:hint="eastAsia"/>
        </w:rPr>
        <w:t>件进行连接，</w:t>
      </w:r>
      <w:r>
        <w:rPr>
          <w:rFonts w:hint="eastAsia"/>
          <w:lang w:val="en-US" w:eastAsia="zh-CN"/>
        </w:rPr>
        <w:t>且</w:t>
      </w:r>
      <w:r>
        <w:rPr>
          <w:rFonts w:hint="eastAsia"/>
        </w:rPr>
        <w:t>宜采用栓焊连接</w:t>
      </w:r>
      <w:r>
        <w:rPr>
          <w:rFonts w:hint="eastAsia"/>
          <w:lang w:val="en-US" w:eastAsia="zh-CN"/>
        </w:rPr>
        <w:t>方式</w:t>
      </w:r>
      <w:r>
        <w:rPr>
          <w:rFonts w:hint="eastAsia"/>
        </w:rPr>
        <w:t>。</w:t>
      </w:r>
    </w:p>
    <w:p w14:paraId="02E3921E">
      <w:pPr>
        <w:pStyle w:val="42"/>
        <w:rPr>
          <w:color w:val="auto"/>
        </w:rPr>
      </w:pPr>
      <w:r>
        <w:rPr>
          <w:rFonts w:hint="eastAsia"/>
          <w:color w:val="auto"/>
          <w:lang w:val="en-US" w:eastAsia="zh-CN"/>
        </w:rPr>
        <w:t>A型梁柱连接</w:t>
      </w:r>
      <w:r>
        <w:rPr>
          <w:rFonts w:hint="eastAsia"/>
          <w:color w:val="auto"/>
        </w:rPr>
        <w:t>构造应符合下列规定：</w:t>
      </w:r>
    </w:p>
    <w:p w14:paraId="4DF9ECE9">
      <w:pPr>
        <w:pStyle w:val="43"/>
      </w:pPr>
      <w:r>
        <w:rPr>
          <w:rFonts w:hint="eastAsia"/>
        </w:rPr>
        <w:t>梁端钢</w:t>
      </w:r>
      <w:r>
        <w:rPr>
          <w:rFonts w:hint="eastAsia"/>
          <w:lang w:val="en-US" w:eastAsia="zh-CN"/>
        </w:rPr>
        <w:t>组</w:t>
      </w:r>
      <w:r>
        <w:rPr>
          <w:rFonts w:hint="eastAsia"/>
        </w:rPr>
        <w:t>件</w:t>
      </w:r>
      <w:r>
        <w:rPr>
          <w:rFonts w:hint="eastAsia"/>
          <w:lang w:val="en-US" w:eastAsia="zh-CN"/>
        </w:rPr>
        <w:t>对应于节点域</w:t>
      </w:r>
      <w:r>
        <w:rPr>
          <w:rFonts w:hint="eastAsia"/>
        </w:rPr>
        <w:t>钢</w:t>
      </w:r>
      <w:r>
        <w:rPr>
          <w:rFonts w:hint="eastAsia"/>
          <w:lang w:val="en-US" w:eastAsia="zh-CN"/>
        </w:rPr>
        <w:t>组</w:t>
      </w:r>
      <w:r>
        <w:rPr>
          <w:rFonts w:hint="eastAsia"/>
        </w:rPr>
        <w:t>件</w:t>
      </w:r>
      <w:r>
        <w:rPr>
          <w:rFonts w:hint="eastAsia"/>
          <w:lang w:val="en-US" w:eastAsia="zh-CN"/>
        </w:rPr>
        <w:t>侧板处的翼缘外侧应设置盖板，</w:t>
      </w:r>
      <w:r>
        <w:rPr>
          <w:rFonts w:hint="eastAsia"/>
          <w:color w:val="auto"/>
        </w:rPr>
        <w:t>厚度不应小于</w:t>
      </w:r>
      <w:r>
        <w:rPr>
          <w:rFonts w:hint="eastAsia"/>
          <w:color w:val="auto"/>
          <w:lang w:val="en-US" w:eastAsia="zh-CN"/>
        </w:rPr>
        <w:t>6</w:t>
      </w:r>
      <w:r>
        <w:rPr>
          <w:rFonts w:hint="eastAsia"/>
          <w:color w:val="auto"/>
        </w:rPr>
        <w:t>mm</w:t>
      </w:r>
      <w:r>
        <w:rPr>
          <w:rFonts w:hint="eastAsia"/>
          <w:lang w:val="en-US" w:eastAsia="zh-CN"/>
        </w:rPr>
        <w:t>，盖板与</w:t>
      </w:r>
      <w:r>
        <w:rPr>
          <w:rFonts w:hint="eastAsia"/>
        </w:rPr>
        <w:t>梁端钢</w:t>
      </w:r>
      <w:r>
        <w:rPr>
          <w:rFonts w:hint="eastAsia"/>
          <w:lang w:val="en-US" w:eastAsia="zh-CN"/>
        </w:rPr>
        <w:t>组</w:t>
      </w:r>
      <w:r>
        <w:rPr>
          <w:rFonts w:hint="eastAsia"/>
        </w:rPr>
        <w:t>件</w:t>
      </w:r>
      <w:r>
        <w:rPr>
          <w:rFonts w:hint="eastAsia"/>
          <w:lang w:val="en-US" w:eastAsia="zh-CN"/>
        </w:rPr>
        <w:t>翼缘应采用角焊缝连接</w:t>
      </w:r>
      <w:r>
        <w:rPr>
          <w:rFonts w:hint="eastAsia"/>
          <w:lang w:eastAsia="zh-CN"/>
        </w:rPr>
        <w:t>（</w:t>
      </w:r>
      <w:r>
        <w:rPr>
          <w:rFonts w:hint="eastAsia"/>
          <w:lang w:val="en-US" w:eastAsia="zh-CN"/>
        </w:rPr>
        <w:t>图6.1.9</w:t>
      </w:r>
      <w:r>
        <w:rPr>
          <w:rFonts w:hint="eastAsia"/>
          <w:lang w:eastAsia="zh-CN"/>
        </w:rPr>
        <w:t>）</w:t>
      </w:r>
      <w:r>
        <w:rPr>
          <w:rFonts w:hint="eastAsia"/>
          <w:color w:val="auto"/>
          <w:lang w:eastAsia="zh-CN"/>
        </w:rPr>
        <w:t>；</w:t>
      </w:r>
    </w:p>
    <w:p w14:paraId="28096C85">
      <w:pPr>
        <w:pStyle w:val="43"/>
      </w:pPr>
      <w:r>
        <w:rPr>
          <w:rFonts w:hint="eastAsia"/>
          <w:lang w:val="en-US" w:eastAsia="zh-CN"/>
        </w:rPr>
        <w:t>当预制柱两侧</w:t>
      </w:r>
      <w:r>
        <w:rPr>
          <w:rFonts w:hint="eastAsia"/>
        </w:rPr>
        <w:t>梁</w:t>
      </w:r>
      <w:r>
        <w:rPr>
          <w:rFonts w:hint="eastAsia"/>
          <w:lang w:val="en-US" w:eastAsia="zh-CN"/>
        </w:rPr>
        <w:t>高不同时，应在节点域钢组件内设置水平隔板，水平隔板的净截面受拉承载力设计值不应小于连接的梁端钢组件翼缘截面受拉承载力设计值的1.1倍，且厚度</w:t>
      </w:r>
      <w:r>
        <w:rPr>
          <w:rFonts w:hint="eastAsia"/>
          <w:color w:val="auto"/>
        </w:rPr>
        <w:t>不应小于</w:t>
      </w:r>
      <w:r>
        <w:rPr>
          <w:rFonts w:hint="eastAsia"/>
          <w:color w:val="auto"/>
          <w:lang w:val="en-US" w:eastAsia="zh-CN"/>
        </w:rPr>
        <w:t>梁端钢组件翼缘厚度加2mm；</w:t>
      </w:r>
      <w:r>
        <w:rPr>
          <w:rFonts w:hint="eastAsia"/>
          <w:color w:val="auto"/>
        </w:rPr>
        <w:t>水平隔板与</w:t>
      </w:r>
      <w:r>
        <w:rPr>
          <w:rFonts w:hint="eastAsia"/>
          <w:color w:val="auto"/>
          <w:lang w:val="en-US" w:eastAsia="zh-CN"/>
        </w:rPr>
        <w:t>侧板</w:t>
      </w:r>
      <w:r>
        <w:rPr>
          <w:rFonts w:hint="eastAsia"/>
          <w:color w:val="auto"/>
        </w:rPr>
        <w:t>的连接</w:t>
      </w:r>
      <w:r>
        <w:rPr>
          <w:rFonts w:hint="eastAsia"/>
          <w:color w:val="auto"/>
          <w:lang w:val="en-US" w:eastAsia="zh-CN"/>
        </w:rPr>
        <w:t>应</w:t>
      </w:r>
      <w:r>
        <w:rPr>
          <w:rFonts w:hint="eastAsia"/>
          <w:color w:val="auto"/>
        </w:rPr>
        <w:t>采用焊透的T型对接焊缝</w:t>
      </w:r>
      <w:r>
        <w:rPr>
          <w:rFonts w:hint="eastAsia"/>
          <w:lang w:eastAsia="zh-CN"/>
        </w:rPr>
        <w:t>（</w:t>
      </w:r>
      <w:r>
        <w:rPr>
          <w:rFonts w:hint="eastAsia"/>
          <w:lang w:val="en-US" w:eastAsia="zh-CN"/>
        </w:rPr>
        <w:t>图6.1.9</w:t>
      </w:r>
      <w:r>
        <w:rPr>
          <w:rFonts w:hint="eastAsia"/>
          <w:lang w:eastAsia="zh-CN"/>
        </w:rPr>
        <w:t>）</w:t>
      </w:r>
      <w:r>
        <w:rPr>
          <w:rFonts w:hint="eastAsia"/>
          <w:color w:val="auto"/>
          <w:lang w:eastAsia="zh-CN"/>
        </w:rPr>
        <w:t>。</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4"/>
      </w:tblGrid>
      <w:tr w14:paraId="2A0E0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4" w:type="dxa"/>
            <w:shd w:val="clear" w:color="auto" w:fill="auto"/>
            <w:vAlign w:val="center"/>
          </w:tcPr>
          <w:p w14:paraId="0F042CB3">
            <w:pPr>
              <w:pStyle w:val="45"/>
              <w:ind w:firstLine="0" w:firstLineChars="0"/>
              <w:rPr>
                <w:rFonts w:hint="eastAsia"/>
                <w:color w:val="auto"/>
              </w:rPr>
            </w:pPr>
            <w:r>
              <w:drawing>
                <wp:inline distT="0" distB="0" distL="114300" distR="114300">
                  <wp:extent cx="2915285" cy="2879725"/>
                  <wp:effectExtent l="0" t="0" r="18415" b="15875"/>
                  <wp:docPr id="21" name="图片 21" descr="ba1d5a1ed923779a8c4703fbea00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a1d5a1ed923779a8c4703fbea00b46"/>
                          <pic:cNvPicPr>
                            <a:picLocks noChangeAspect="1"/>
                          </pic:cNvPicPr>
                        </pic:nvPicPr>
                        <pic:blipFill>
                          <a:blip r:embed="rId284"/>
                          <a:stretch>
                            <a:fillRect/>
                          </a:stretch>
                        </pic:blipFill>
                        <pic:spPr>
                          <a:xfrm>
                            <a:off x="0" y="0"/>
                            <a:ext cx="2915285" cy="2879725"/>
                          </a:xfrm>
                          <a:prstGeom prst="rect">
                            <a:avLst/>
                          </a:prstGeom>
                        </pic:spPr>
                      </pic:pic>
                    </a:graphicData>
                  </a:graphic>
                </wp:inline>
              </w:drawing>
            </w:r>
          </w:p>
        </w:tc>
      </w:tr>
    </w:tbl>
    <w:p w14:paraId="16AB7E20">
      <w:pPr>
        <w:pStyle w:val="45"/>
        <w:rPr>
          <w:color w:val="auto"/>
        </w:rPr>
      </w:pPr>
    </w:p>
    <w:p w14:paraId="43BA6AED">
      <w:pPr>
        <w:pStyle w:val="45"/>
        <w:rPr>
          <w:color w:val="auto"/>
        </w:rPr>
      </w:pPr>
      <w:r>
        <w:rPr>
          <w:color w:val="auto"/>
        </w:rPr>
        <w:t>1—</w:t>
      </w:r>
      <w:r>
        <w:rPr>
          <w:rFonts w:hint="eastAsia"/>
          <w:color w:val="auto"/>
          <w:lang w:val="en-US" w:eastAsia="zh-CN"/>
        </w:rPr>
        <w:t>混凝土柱身</w:t>
      </w:r>
      <w:r>
        <w:rPr>
          <w:color w:val="auto"/>
        </w:rPr>
        <w:t>；2—</w:t>
      </w:r>
      <w:r>
        <w:rPr>
          <w:rFonts w:hint="eastAsia"/>
          <w:color w:val="auto"/>
          <w:lang w:val="en-US" w:eastAsia="zh-CN"/>
        </w:rPr>
        <w:t>节点域钢组件</w:t>
      </w:r>
      <w:r>
        <w:rPr>
          <w:color w:val="auto"/>
        </w:rPr>
        <w:t>；</w:t>
      </w:r>
      <w:r>
        <w:rPr>
          <w:rFonts w:hint="eastAsia"/>
          <w:color w:val="auto"/>
          <w:lang w:val="en-US" w:eastAsia="zh-CN"/>
        </w:rPr>
        <w:t>3</w:t>
      </w:r>
      <w:r>
        <w:rPr>
          <w:color w:val="auto"/>
        </w:rPr>
        <w:t>—</w:t>
      </w:r>
      <w:r>
        <w:rPr>
          <w:rFonts w:hint="eastAsia"/>
          <w:color w:val="auto"/>
          <w:lang w:val="en-US" w:eastAsia="zh-CN"/>
        </w:rPr>
        <w:t>侧板</w:t>
      </w:r>
      <w:r>
        <w:rPr>
          <w:color w:val="auto"/>
        </w:rPr>
        <w:t>；</w:t>
      </w:r>
      <w:r>
        <w:rPr>
          <w:rFonts w:hint="eastAsia"/>
          <w:color w:val="auto"/>
          <w:lang w:val="en-US" w:eastAsia="zh-CN"/>
        </w:rPr>
        <w:t>4</w:t>
      </w:r>
      <w:r>
        <w:rPr>
          <w:color w:val="auto"/>
        </w:rPr>
        <w:t>—</w:t>
      </w:r>
      <w:r>
        <w:rPr>
          <w:rFonts w:hint="eastAsia"/>
          <w:color w:val="auto"/>
          <w:lang w:val="en-US" w:eastAsia="zh-CN"/>
        </w:rPr>
        <w:t>隔板</w:t>
      </w:r>
      <w:r>
        <w:rPr>
          <w:color w:val="auto"/>
        </w:rPr>
        <w:t>；</w:t>
      </w:r>
    </w:p>
    <w:p w14:paraId="162A622A">
      <w:pPr>
        <w:pStyle w:val="45"/>
        <w:rPr>
          <w:rFonts w:hint="default" w:eastAsia="黑体"/>
          <w:color w:val="auto"/>
          <w:lang w:val="en-US" w:eastAsia="zh-CN"/>
        </w:rPr>
      </w:pPr>
      <w:r>
        <w:rPr>
          <w:rFonts w:hint="eastAsia"/>
          <w:color w:val="auto"/>
          <w:lang w:val="en-US" w:eastAsia="zh-CN"/>
        </w:rPr>
        <w:t>5</w:t>
      </w:r>
      <w:r>
        <w:rPr>
          <w:color w:val="auto"/>
        </w:rPr>
        <w:t>—</w:t>
      </w:r>
      <w:r>
        <w:rPr>
          <w:rFonts w:hint="eastAsia"/>
          <w:color w:val="auto"/>
          <w:lang w:val="en-US" w:eastAsia="zh-CN"/>
        </w:rPr>
        <w:t>盖板</w:t>
      </w:r>
      <w:r>
        <w:rPr>
          <w:color w:val="auto"/>
        </w:rPr>
        <w:t>；</w:t>
      </w:r>
      <w:r>
        <w:rPr>
          <w:rFonts w:hint="eastAsia"/>
          <w:color w:val="auto"/>
          <w:lang w:val="en-US" w:eastAsia="zh-CN"/>
        </w:rPr>
        <w:t>6</w:t>
      </w:r>
      <w:r>
        <w:rPr>
          <w:color w:val="auto"/>
        </w:rPr>
        <w:t>—</w:t>
      </w:r>
      <w:r>
        <w:rPr>
          <w:rFonts w:hint="eastAsia"/>
          <w:color w:val="auto"/>
          <w:lang w:val="en-US" w:eastAsia="zh-CN"/>
        </w:rPr>
        <w:t>混凝土梁身</w:t>
      </w:r>
      <w:r>
        <w:rPr>
          <w:color w:val="auto"/>
        </w:rPr>
        <w:t>；</w:t>
      </w:r>
      <w:r>
        <w:rPr>
          <w:rFonts w:hint="eastAsia"/>
          <w:color w:val="auto"/>
          <w:lang w:val="en-US" w:eastAsia="zh-CN"/>
        </w:rPr>
        <w:t>7</w:t>
      </w:r>
      <w:r>
        <w:rPr>
          <w:color w:val="auto"/>
        </w:rPr>
        <w:t>—</w:t>
      </w:r>
      <w:r>
        <w:rPr>
          <w:rFonts w:hint="eastAsia"/>
          <w:color w:val="auto"/>
          <w:lang w:val="en-US" w:eastAsia="zh-CN"/>
        </w:rPr>
        <w:t>翼缘；8</w:t>
      </w:r>
      <w:r>
        <w:rPr>
          <w:color w:val="auto"/>
        </w:rPr>
        <w:t>—</w:t>
      </w:r>
      <w:r>
        <w:rPr>
          <w:rFonts w:hint="eastAsia"/>
          <w:color w:val="auto"/>
          <w:lang w:val="en-US" w:eastAsia="zh-CN"/>
        </w:rPr>
        <w:t>水平隔板</w:t>
      </w:r>
    </w:p>
    <w:p w14:paraId="28C43B20">
      <w:pPr>
        <w:pStyle w:val="45"/>
        <w:rPr>
          <w:rFonts w:hint="eastAsia"/>
          <w:color w:val="auto"/>
        </w:rPr>
      </w:pPr>
      <w:r>
        <w:rPr>
          <w:rFonts w:hint="eastAsia"/>
          <w:color w:val="auto"/>
        </w:rPr>
        <w:t>图</w:t>
      </w:r>
      <w:r>
        <w:rPr>
          <w:rFonts w:hint="eastAsia"/>
          <w:color w:val="auto"/>
          <w:lang w:val="en-US" w:eastAsia="zh-CN"/>
        </w:rPr>
        <w:t>6.1.9</w:t>
      </w:r>
      <w:r>
        <w:rPr>
          <w:color w:val="auto"/>
        </w:rPr>
        <w:t xml:space="preserve"> </w:t>
      </w:r>
      <w:r>
        <w:rPr>
          <w:rFonts w:hint="eastAsia"/>
          <w:color w:val="auto"/>
        </w:rPr>
        <w:t xml:space="preserve"> </w:t>
      </w:r>
      <w:r>
        <w:rPr>
          <w:rFonts w:hint="eastAsia"/>
          <w:color w:val="auto"/>
          <w:lang w:val="en-US" w:eastAsia="zh-CN"/>
        </w:rPr>
        <w:t>A型梁柱连接构造</w:t>
      </w:r>
      <w:r>
        <w:rPr>
          <w:rFonts w:hint="eastAsia"/>
          <w:color w:val="auto"/>
        </w:rPr>
        <w:t>示意</w:t>
      </w:r>
    </w:p>
    <w:p w14:paraId="318CF2C9">
      <w:pPr>
        <w:pStyle w:val="42"/>
        <w:rPr>
          <w:color w:val="auto"/>
        </w:rPr>
      </w:pPr>
      <w:r>
        <w:rPr>
          <w:rFonts w:hint="eastAsia"/>
          <w:color w:val="auto"/>
          <w:lang w:val="en-US" w:eastAsia="zh-CN"/>
        </w:rPr>
        <w:t>对于A型梁柱连接，接缝的受剪承载力应按下列公式计算；</w:t>
      </w:r>
    </w:p>
    <w:p w14:paraId="243D4CB0">
      <w:pPr>
        <w:pStyle w:val="43"/>
      </w:pPr>
      <w:r>
        <w:rPr>
          <w:rFonts w:hint="eastAsia"/>
          <w:lang w:val="en-US" w:eastAsia="zh-CN"/>
        </w:rPr>
        <w:t>采用</w:t>
      </w:r>
      <w:r>
        <w:rPr>
          <w:rFonts w:hint="eastAsia"/>
          <w:color w:val="auto"/>
          <w:lang w:val="en-US" w:eastAsia="zh-CN"/>
        </w:rPr>
        <w:t>A</w:t>
      </w:r>
      <w:r>
        <w:rPr>
          <w:rFonts w:hint="default" w:ascii="Times New Roman" w:hAnsi="Times New Roman" w:eastAsia="微软雅黑" w:cs="Times New Roman"/>
          <w:color w:val="auto"/>
          <w:vertAlign w:val="subscript"/>
          <w:lang w:val="en-US" w:eastAsia="zh-CN"/>
        </w:rPr>
        <w:t>Ⅰ</w:t>
      </w:r>
      <w:r>
        <w:rPr>
          <w:rFonts w:hint="eastAsia"/>
          <w:color w:val="auto"/>
          <w:lang w:val="en-US" w:eastAsia="zh-CN"/>
        </w:rPr>
        <w:t>型</w:t>
      </w:r>
      <w:r>
        <w:rPr>
          <w:rFonts w:hint="eastAsia"/>
          <w:lang w:val="en-US" w:eastAsia="zh-CN"/>
        </w:rPr>
        <w:t>梁端钢组件：</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2"/>
        <w:gridCol w:w="5659"/>
        <w:gridCol w:w="1425"/>
      </w:tblGrid>
      <w:tr w14:paraId="6400C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40" w:type="pct"/>
            <w:vAlign w:val="center"/>
          </w:tcPr>
          <w:p w14:paraId="424DA9F3">
            <w:pPr>
              <w:pStyle w:val="43"/>
              <w:numPr>
                <w:ilvl w:val="3"/>
                <w:numId w:val="0"/>
              </w:numPr>
              <w:jc w:val="center"/>
              <w:rPr>
                <w:rFonts w:hint="default" w:eastAsia="宋体"/>
                <w:color w:val="auto"/>
                <w:lang w:val="en-US" w:eastAsia="zh-CN"/>
              </w:rPr>
            </w:pPr>
          </w:p>
        </w:tc>
        <w:tc>
          <w:tcPr>
            <w:tcW w:w="3322" w:type="pct"/>
            <w:vAlign w:val="center"/>
          </w:tcPr>
          <w:p w14:paraId="304B8881">
            <w:pPr>
              <w:pStyle w:val="43"/>
              <w:numPr>
                <w:ilvl w:val="3"/>
                <w:numId w:val="0"/>
              </w:numPr>
              <w:jc w:val="center"/>
              <w:rPr>
                <w:color w:val="auto"/>
                <w:position w:val="-14"/>
              </w:rPr>
            </w:pPr>
            <w:r>
              <w:rPr>
                <w:color w:val="auto"/>
                <w:position w:val="-12"/>
              </w:rPr>
              <w:object>
                <v:shape id="_x0000_i1138" o:spt="75" type="#_x0000_t75" style="height:20.45pt;width:50.35pt;" o:ole="t" filled="f" o:preferrelative="t" stroked="f" coordsize="21600,21600">
                  <v:path/>
                  <v:fill on="f" focussize="0,0"/>
                  <v:stroke on="f"/>
                  <v:imagedata r:id="rId286" o:title=""/>
                  <o:lock v:ext="edit" aspectratio="t"/>
                  <w10:wrap type="none"/>
                  <w10:anchorlock/>
                </v:shape>
                <o:OLEObject Type="Embed" ProgID="Equation.DSMT4" ShapeID="_x0000_i1138" DrawAspect="Content" ObjectID="_1468075838" r:id="rId285">
                  <o:LockedField>false</o:LockedField>
                </o:OLEObject>
              </w:object>
            </w:r>
          </w:p>
        </w:tc>
        <w:tc>
          <w:tcPr>
            <w:tcW w:w="836" w:type="pct"/>
            <w:vAlign w:val="center"/>
          </w:tcPr>
          <w:p w14:paraId="6C9192DE">
            <w:pPr>
              <w:pStyle w:val="43"/>
              <w:numPr>
                <w:ilvl w:val="3"/>
                <w:numId w:val="0"/>
              </w:numPr>
              <w:jc w:val="right"/>
              <w:rPr>
                <w:rFonts w:hint="eastAsia"/>
                <w:color w:val="auto"/>
              </w:rPr>
            </w:pPr>
            <w:r>
              <w:rPr>
                <w:rFonts w:hint="eastAsia"/>
                <w:color w:val="auto"/>
              </w:rPr>
              <w:t>（</w:t>
            </w:r>
            <w:r>
              <w:rPr>
                <w:rFonts w:hint="eastAsia"/>
                <w:color w:val="auto"/>
                <w:lang w:val="en-US" w:eastAsia="zh-CN"/>
              </w:rPr>
              <w:t>6.1.10</w:t>
            </w:r>
            <w:r>
              <w:rPr>
                <w:rFonts w:hint="eastAsia"/>
                <w:color w:val="auto"/>
              </w:rPr>
              <w:t>）</w:t>
            </w:r>
          </w:p>
        </w:tc>
      </w:tr>
    </w:tbl>
    <w:p w14:paraId="5389C464">
      <w:pPr>
        <w:pStyle w:val="43"/>
        <w:rPr>
          <w:rFonts w:hint="default"/>
          <w:color w:val="auto"/>
          <w:lang w:val="en-US"/>
        </w:rPr>
      </w:pPr>
      <w:r>
        <w:rPr>
          <w:rFonts w:hint="eastAsia"/>
          <w:color w:val="auto"/>
          <w:lang w:val="en-US" w:eastAsia="zh-CN"/>
        </w:rPr>
        <w:t>当采用A</w:t>
      </w:r>
      <w:r>
        <w:rPr>
          <w:rFonts w:hint="default" w:ascii="Times New Roman" w:hAnsi="Times New Roman" w:eastAsia="微软雅黑" w:cs="Times New Roman"/>
          <w:color w:val="auto"/>
          <w:vertAlign w:val="subscript"/>
          <w:lang w:val="en-US" w:eastAsia="zh-CN"/>
        </w:rPr>
        <w:t>Ⅱ</w:t>
      </w:r>
      <w:r>
        <w:rPr>
          <w:rFonts w:hint="eastAsia"/>
          <w:color w:val="auto"/>
          <w:lang w:val="en-US" w:eastAsia="zh-CN"/>
        </w:rPr>
        <w:t>型梁端钢组件时应分别按本规程式</w:t>
      </w: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1</w:t>
      </w:r>
      <w:r>
        <w:rPr>
          <w:rFonts w:hint="eastAsia"/>
          <w:color w:val="auto"/>
        </w:rPr>
        <w:t>）</w:t>
      </w:r>
      <w:r>
        <w:rPr>
          <w:rFonts w:hint="eastAsia"/>
          <w:color w:val="auto"/>
          <w:lang w:val="en-US" w:eastAsia="zh-CN"/>
        </w:rPr>
        <w:t>、（6.1.10）确定并取二者较小值。</w:t>
      </w:r>
    </w:p>
    <w:p w14:paraId="6EF05C33">
      <w:pPr>
        <w:pStyle w:val="42"/>
        <w:rPr>
          <w:color w:val="auto"/>
        </w:rPr>
      </w:pPr>
      <w:r>
        <w:rPr>
          <w:rFonts w:hint="eastAsia"/>
          <w:color w:val="auto"/>
          <w:lang w:val="en-US" w:eastAsia="zh-CN"/>
        </w:rPr>
        <w:t>采用A型梁柱连接时，</w:t>
      </w:r>
      <w:r>
        <w:rPr>
          <w:rFonts w:hint="eastAsia"/>
          <w:color w:val="auto"/>
        </w:rPr>
        <w:t>梁</w:t>
      </w:r>
      <w:r>
        <w:rPr>
          <w:rFonts w:hint="eastAsia"/>
          <w:color w:val="auto"/>
          <w:lang w:val="en-US" w:eastAsia="zh-CN"/>
        </w:rPr>
        <w:t>端钢组件与节点域钢组件栓焊</w:t>
      </w:r>
      <w:r>
        <w:rPr>
          <w:rFonts w:hint="eastAsia"/>
          <w:color w:val="auto"/>
        </w:rPr>
        <w:t>连接的极限</w:t>
      </w:r>
      <w:r>
        <w:rPr>
          <w:rFonts w:hint="eastAsia"/>
          <w:color w:val="auto"/>
          <w:lang w:val="en-US" w:eastAsia="zh-CN"/>
        </w:rPr>
        <w:t>受剪</w:t>
      </w:r>
      <w:r>
        <w:rPr>
          <w:rFonts w:hint="eastAsia"/>
          <w:color w:val="auto"/>
        </w:rPr>
        <w:t>承载力应满足下列公式要求：</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5"/>
        <w:gridCol w:w="597"/>
        <w:gridCol w:w="371"/>
        <w:gridCol w:w="760"/>
        <w:gridCol w:w="4528"/>
        <w:gridCol w:w="1425"/>
      </w:tblGrid>
      <w:tr w14:paraId="7FC77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0" w:type="pct"/>
            <w:gridSpan w:val="2"/>
            <w:vAlign w:val="center"/>
          </w:tcPr>
          <w:p w14:paraId="036B6F6A">
            <w:pPr>
              <w:pStyle w:val="43"/>
              <w:numPr>
                <w:ilvl w:val="3"/>
                <w:numId w:val="0"/>
              </w:numPr>
              <w:jc w:val="center"/>
              <w:rPr>
                <w:color w:val="auto"/>
              </w:rPr>
            </w:pPr>
          </w:p>
        </w:tc>
        <w:tc>
          <w:tcPr>
            <w:tcW w:w="3322" w:type="pct"/>
            <w:gridSpan w:val="3"/>
            <w:vAlign w:val="center"/>
          </w:tcPr>
          <w:p w14:paraId="65E73509">
            <w:pPr>
              <w:pStyle w:val="43"/>
              <w:numPr>
                <w:ilvl w:val="3"/>
                <w:numId w:val="0"/>
              </w:numPr>
              <w:jc w:val="center"/>
              <w:rPr>
                <w:color w:val="auto"/>
                <w:position w:val="-14"/>
              </w:rPr>
            </w:pPr>
            <w:r>
              <w:rPr>
                <w:color w:val="auto"/>
                <w:position w:val="-14"/>
              </w:rPr>
              <w:object>
                <v:shape id="_x0000_i1139" o:spt="75" type="#_x0000_t75" style="height:21.4pt;width:138.8pt;" o:ole="t" filled="f" o:preferrelative="t" stroked="f" coordsize="21600,21600">
                  <v:path/>
                  <v:fill on="f" focussize="0,0"/>
                  <v:stroke on="f"/>
                  <v:imagedata r:id="rId288" o:title=""/>
                  <o:lock v:ext="edit" aspectratio="t"/>
                  <w10:wrap type="none"/>
                  <w10:anchorlock/>
                </v:shape>
                <o:OLEObject Type="Embed" ProgID="Equation.DSMT4" ShapeID="_x0000_i1139" DrawAspect="Content" ObjectID="_1468075839" r:id="rId287">
                  <o:LockedField>false</o:LockedField>
                </o:OLEObject>
              </w:object>
            </w:r>
          </w:p>
        </w:tc>
        <w:tc>
          <w:tcPr>
            <w:tcW w:w="836" w:type="pct"/>
            <w:vAlign w:val="center"/>
          </w:tcPr>
          <w:p w14:paraId="062F138A">
            <w:pPr>
              <w:pStyle w:val="43"/>
              <w:numPr>
                <w:ilvl w:val="3"/>
                <w:numId w:val="0"/>
              </w:numPr>
              <w:jc w:val="right"/>
              <w:rPr>
                <w:color w:val="auto"/>
              </w:rPr>
            </w:pPr>
            <w:r>
              <w:rPr>
                <w:rFonts w:hint="eastAsia"/>
                <w:color w:val="auto"/>
              </w:rPr>
              <w:t>（</w:t>
            </w:r>
            <w:r>
              <w:rPr>
                <w:rFonts w:hint="eastAsia"/>
                <w:color w:val="auto"/>
                <w:lang w:val="en-US" w:eastAsia="zh-CN"/>
              </w:rPr>
              <w:t>6.1.11</w:t>
            </w:r>
            <w:r>
              <w:rPr>
                <w:rFonts w:hint="eastAsia"/>
                <w:color w:val="auto"/>
              </w:rPr>
              <w:t>）</w:t>
            </w:r>
          </w:p>
        </w:tc>
      </w:tr>
      <w:tr w14:paraId="470E9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6820CF40">
            <w:pPr>
              <w:ind w:firstLine="0" w:firstLineChars="0"/>
              <w:jc w:val="center"/>
              <w:rPr>
                <w:color w:val="auto"/>
              </w:rPr>
            </w:pPr>
            <w:r>
              <w:rPr>
                <w:rFonts w:hint="eastAsia"/>
                <w:color w:val="auto"/>
              </w:rPr>
              <w:t>式中：</w:t>
            </w:r>
          </w:p>
        </w:tc>
        <w:tc>
          <w:tcPr>
            <w:tcW w:w="568" w:type="pct"/>
            <w:gridSpan w:val="2"/>
          </w:tcPr>
          <w:p w14:paraId="22D07A39">
            <w:pPr>
              <w:ind w:firstLine="0" w:firstLineChars="0"/>
              <w:jc w:val="right"/>
              <w:rPr>
                <w:color w:val="auto"/>
                <w:position w:val="-12"/>
              </w:rPr>
            </w:pPr>
            <w:r>
              <w:rPr>
                <w:color w:val="auto"/>
                <w:position w:val="-12"/>
              </w:rPr>
              <w:object>
                <v:shape id="_x0000_i1140" o:spt="75" type="#_x0000_t75" style="height:19.55pt;width:17pt;" o:ole="t" filled="f" o:preferrelative="t" stroked="f" coordsize="21600,21600">
                  <v:path/>
                  <v:fill on="f" focussize="0,0"/>
                  <v:stroke on="f"/>
                  <v:imagedata r:id="rId290" o:title=""/>
                  <o:lock v:ext="edit" aspectratio="t"/>
                  <w10:wrap type="none"/>
                  <w10:anchorlock/>
                </v:shape>
                <o:OLEObject Type="Embed" ProgID="Equation.DSMT4" ShapeID="_x0000_i1140" DrawAspect="Content" ObjectID="_1468075840" r:id="rId289">
                  <o:LockedField>false</o:LockedField>
                </o:OLEObject>
              </w:object>
            </w:r>
          </w:p>
        </w:tc>
        <w:tc>
          <w:tcPr>
            <w:tcW w:w="446" w:type="pct"/>
          </w:tcPr>
          <w:p w14:paraId="5AC788BE">
            <w:pPr>
              <w:ind w:firstLine="0" w:firstLineChars="0"/>
              <w:jc w:val="center"/>
              <w:rPr>
                <w:rFonts w:eastAsiaTheme="minorEastAsia"/>
                <w:color w:val="auto"/>
                <w:szCs w:val="24"/>
              </w:rPr>
            </w:pPr>
            <w:r>
              <w:rPr>
                <w:rFonts w:eastAsiaTheme="minorEastAsia"/>
                <w:color w:val="auto"/>
                <w:szCs w:val="24"/>
              </w:rPr>
              <w:t>——</w:t>
            </w:r>
          </w:p>
        </w:tc>
        <w:tc>
          <w:tcPr>
            <w:tcW w:w="3495" w:type="pct"/>
            <w:gridSpan w:val="2"/>
            <w:vAlign w:val="center"/>
          </w:tcPr>
          <w:p w14:paraId="7BF2BF50">
            <w:pPr>
              <w:ind w:firstLine="0" w:firstLineChars="0"/>
              <w:rPr>
                <w:rFonts w:hint="eastAsia" w:eastAsia="宋体"/>
                <w:color w:val="auto"/>
                <w:lang w:eastAsia="zh-CN"/>
              </w:rPr>
            </w:pPr>
            <w:r>
              <w:rPr>
                <w:rFonts w:hint="eastAsia"/>
                <w:color w:val="auto"/>
              </w:rPr>
              <w:t>梁与柱连接的极限受剪承载力（N）</w:t>
            </w:r>
            <w:r>
              <w:rPr>
                <w:rFonts w:hint="eastAsia"/>
                <w:color w:val="auto"/>
                <w:lang w:eastAsia="zh-CN"/>
              </w:rPr>
              <w:t>。</w:t>
            </w:r>
          </w:p>
        </w:tc>
      </w:tr>
    </w:tbl>
    <w:p w14:paraId="75D4A90C">
      <w:pPr>
        <w:bidi w:val="0"/>
      </w:pPr>
    </w:p>
    <w:p w14:paraId="3BD254DB">
      <w:pPr>
        <w:pStyle w:val="42"/>
        <w:keepNext w:val="0"/>
        <w:keepLines w:val="0"/>
        <w:pageBreakBefore w:val="0"/>
        <w:widowControl w:val="0"/>
        <w:numPr>
          <w:ilvl w:val="2"/>
          <w:numId w:val="0"/>
        </w:numPr>
        <w:kinsoku/>
        <w:wordWrap/>
        <w:overflowPunct/>
        <w:topLinePunct w:val="0"/>
        <w:autoSpaceDE/>
        <w:autoSpaceDN/>
        <w:bidi w:val="0"/>
        <w:adjustRightInd w:val="0"/>
        <w:snapToGrid w:val="0"/>
        <w:jc w:val="center"/>
        <w:textAlignment w:val="auto"/>
        <w:rPr>
          <w:rFonts w:hint="eastAsia"/>
          <w:b/>
          <w:bCs/>
          <w:color w:val="auto"/>
          <w:lang w:val="en-US" w:eastAsia="zh-CN"/>
        </w:rPr>
      </w:pPr>
      <w:r>
        <w:rPr>
          <w:rFonts w:hint="default" w:ascii="Times New Roman" w:hAnsi="Times New Roman" w:cs="Times New Roman"/>
          <w:b/>
          <w:bCs/>
          <w:color w:val="auto"/>
        </w:rPr>
        <w:t>Ⅲ</w:t>
      </w:r>
      <w:r>
        <w:rPr>
          <w:rFonts w:hint="eastAsia"/>
          <w:b/>
          <w:bCs/>
          <w:color w:val="auto"/>
        </w:rPr>
        <w:t xml:space="preserve"> </w:t>
      </w:r>
      <w:r>
        <w:rPr>
          <w:rFonts w:hint="eastAsia"/>
          <w:b/>
          <w:bCs/>
          <w:color w:val="auto"/>
          <w:lang w:val="en-US" w:eastAsia="zh-CN"/>
        </w:rPr>
        <w:t xml:space="preserve"> B型梁柱连接</w:t>
      </w:r>
    </w:p>
    <w:p w14:paraId="08B51B48">
      <w:pPr>
        <w:pStyle w:val="42"/>
      </w:pPr>
      <w:r>
        <w:rPr>
          <w:rFonts w:hint="eastAsia"/>
          <w:lang w:val="en-US" w:eastAsia="zh-CN"/>
        </w:rPr>
        <w:t>采用B型梁柱连接时，</w:t>
      </w:r>
      <w:r>
        <w:rPr>
          <w:rFonts w:hint="eastAsia"/>
        </w:rPr>
        <w:t>预制梁与预制柱应通过</w:t>
      </w:r>
      <w:r>
        <w:rPr>
          <w:rFonts w:hint="eastAsia"/>
          <w:lang w:val="en-US" w:eastAsia="zh-CN"/>
        </w:rPr>
        <w:t>B型</w:t>
      </w:r>
      <w:r>
        <w:rPr>
          <w:rFonts w:hint="eastAsia"/>
        </w:rPr>
        <w:t>梁端钢</w:t>
      </w:r>
      <w:r>
        <w:rPr>
          <w:rFonts w:hint="eastAsia"/>
          <w:lang w:val="en-US" w:eastAsia="zh-CN"/>
        </w:rPr>
        <w:t>组</w:t>
      </w:r>
      <w:r>
        <w:rPr>
          <w:rFonts w:hint="eastAsia"/>
        </w:rPr>
        <w:t>件和</w:t>
      </w:r>
      <w:r>
        <w:rPr>
          <w:rFonts w:hint="eastAsia"/>
          <w:lang w:val="en-US" w:eastAsia="zh-CN"/>
        </w:rPr>
        <w:t>B型柱侧</w:t>
      </w:r>
      <w:r>
        <w:rPr>
          <w:rFonts w:hint="eastAsia"/>
        </w:rPr>
        <w:t>钢</w:t>
      </w:r>
      <w:r>
        <w:rPr>
          <w:rFonts w:hint="eastAsia"/>
          <w:lang w:val="en-US" w:eastAsia="zh-CN"/>
        </w:rPr>
        <w:t>组</w:t>
      </w:r>
      <w:r>
        <w:rPr>
          <w:rFonts w:hint="eastAsia"/>
        </w:rPr>
        <w:t>件进行连接，</w:t>
      </w:r>
      <w:r>
        <w:rPr>
          <w:rFonts w:hint="eastAsia"/>
          <w:lang w:val="en-US" w:eastAsia="zh-CN"/>
        </w:rPr>
        <w:t>且</w:t>
      </w:r>
      <w:r>
        <w:rPr>
          <w:rFonts w:hint="eastAsia"/>
        </w:rPr>
        <w:t>宜采用栓焊连接</w:t>
      </w:r>
      <w:r>
        <w:rPr>
          <w:rFonts w:hint="eastAsia"/>
          <w:lang w:val="en-US" w:eastAsia="zh-CN"/>
        </w:rPr>
        <w:t>方式（图6.1.12）</w:t>
      </w:r>
      <w:r>
        <w:rPr>
          <w:rFonts w:hint="eastAsia"/>
        </w:rPr>
        <w:t>。</w:t>
      </w:r>
    </w:p>
    <w:p w14:paraId="1C002AD3">
      <w:pPr>
        <w:pStyle w:val="43"/>
        <w:numPr>
          <w:ilvl w:val="-1"/>
          <w:numId w:val="0"/>
        </w:numPr>
        <w:ind w:leftChars="0" w:firstLine="0" w:firstLineChars="0"/>
        <w:jc w:val="center"/>
      </w:pPr>
      <w:r>
        <w:drawing>
          <wp:inline distT="0" distB="0" distL="114300" distR="114300">
            <wp:extent cx="2857500" cy="2879725"/>
            <wp:effectExtent l="0" t="0" r="0" b="15875"/>
            <wp:docPr id="32"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0"/>
                    <pic:cNvPicPr>
                      <a:picLocks noChangeAspect="1"/>
                    </pic:cNvPicPr>
                  </pic:nvPicPr>
                  <pic:blipFill>
                    <a:blip r:embed="rId291"/>
                    <a:stretch>
                      <a:fillRect/>
                    </a:stretch>
                  </pic:blipFill>
                  <pic:spPr>
                    <a:xfrm>
                      <a:off x="0" y="0"/>
                      <a:ext cx="2857500" cy="2879725"/>
                    </a:xfrm>
                    <a:prstGeom prst="rect">
                      <a:avLst/>
                    </a:prstGeom>
                    <a:noFill/>
                    <a:ln>
                      <a:noFill/>
                    </a:ln>
                  </pic:spPr>
                </pic:pic>
              </a:graphicData>
            </a:graphic>
          </wp:inline>
        </w:drawing>
      </w:r>
    </w:p>
    <w:p w14:paraId="29E7D150">
      <w:pPr>
        <w:pStyle w:val="45"/>
        <w:rPr>
          <w:rFonts w:hint="eastAsia"/>
          <w:color w:val="auto"/>
          <w:lang w:val="en-US" w:eastAsia="zh-CN"/>
        </w:rPr>
      </w:pPr>
      <w:r>
        <w:rPr>
          <w:color w:val="auto"/>
        </w:rPr>
        <w:t>1—</w:t>
      </w:r>
      <w:r>
        <w:rPr>
          <w:rFonts w:hint="eastAsia"/>
          <w:color w:val="auto"/>
          <w:lang w:val="en-US" w:eastAsia="zh-CN"/>
        </w:rPr>
        <w:t>混凝土柱身</w:t>
      </w:r>
      <w:r>
        <w:rPr>
          <w:color w:val="auto"/>
        </w:rPr>
        <w:t>；2—</w:t>
      </w:r>
      <w:r>
        <w:rPr>
          <w:rFonts w:hint="eastAsia"/>
          <w:color w:val="auto"/>
          <w:lang w:val="en-US" w:eastAsia="zh-CN"/>
        </w:rPr>
        <w:t>节点域连接钢筋</w:t>
      </w:r>
      <w:r>
        <w:rPr>
          <w:color w:val="auto"/>
        </w:rPr>
        <w:t>；</w:t>
      </w:r>
      <w:r>
        <w:rPr>
          <w:rFonts w:hint="eastAsia"/>
          <w:color w:val="auto"/>
          <w:lang w:val="en-US" w:eastAsia="zh-CN"/>
        </w:rPr>
        <w:t>3</w:t>
      </w:r>
      <w:r>
        <w:rPr>
          <w:color w:val="auto"/>
        </w:rPr>
        <w:t>—</w:t>
      </w:r>
      <w:r>
        <w:rPr>
          <w:rFonts w:hint="eastAsia"/>
          <w:color w:val="auto"/>
          <w:lang w:val="en-US" w:eastAsia="zh-CN"/>
        </w:rPr>
        <w:t>连接段箍筋</w:t>
      </w:r>
      <w:r>
        <w:rPr>
          <w:color w:val="auto"/>
        </w:rPr>
        <w:t>；</w:t>
      </w:r>
      <w:r>
        <w:rPr>
          <w:rFonts w:hint="eastAsia"/>
          <w:color w:val="auto"/>
          <w:lang w:val="en-US" w:eastAsia="zh-CN"/>
        </w:rPr>
        <w:t>4</w:t>
      </w:r>
      <w:r>
        <w:rPr>
          <w:color w:val="auto"/>
        </w:rPr>
        <w:t>—</w:t>
      </w:r>
      <w:r>
        <w:rPr>
          <w:rFonts w:hint="eastAsia"/>
          <w:lang w:val="en-US" w:eastAsia="zh-CN"/>
        </w:rPr>
        <w:t>焊缝</w:t>
      </w:r>
      <w:r>
        <w:rPr>
          <w:color w:val="auto"/>
        </w:rPr>
        <w:t>；</w:t>
      </w:r>
      <w:r>
        <w:rPr>
          <w:rFonts w:hint="eastAsia"/>
          <w:color w:val="auto"/>
          <w:lang w:val="en-US" w:eastAsia="zh-CN"/>
        </w:rPr>
        <w:t>5</w:t>
      </w:r>
      <w:r>
        <w:rPr>
          <w:color w:val="auto"/>
        </w:rPr>
        <w:t>—</w:t>
      </w:r>
      <w:r>
        <w:rPr>
          <w:rFonts w:hint="eastAsia"/>
          <w:color w:val="auto"/>
          <w:lang w:val="en-US" w:eastAsia="zh-CN"/>
        </w:rPr>
        <w:t>B型梁端钢组件</w:t>
      </w:r>
      <w:r>
        <w:rPr>
          <w:color w:val="auto"/>
        </w:rPr>
        <w:t>；</w:t>
      </w:r>
      <w:r>
        <w:rPr>
          <w:rFonts w:hint="eastAsia"/>
          <w:color w:val="auto"/>
          <w:lang w:val="en-US" w:eastAsia="zh-CN"/>
        </w:rPr>
        <w:t>6</w:t>
      </w:r>
      <w:r>
        <w:rPr>
          <w:color w:val="auto"/>
        </w:rPr>
        <w:t>—</w:t>
      </w:r>
      <w:r>
        <w:rPr>
          <w:rFonts w:hint="eastAsia"/>
          <w:color w:val="auto"/>
          <w:lang w:val="en-US" w:eastAsia="zh-CN"/>
        </w:rPr>
        <w:t>混凝土梁身</w:t>
      </w:r>
      <w:r>
        <w:rPr>
          <w:color w:val="auto"/>
        </w:rPr>
        <w:t>；</w:t>
      </w:r>
      <w:r>
        <w:rPr>
          <w:rFonts w:hint="eastAsia"/>
          <w:color w:val="auto"/>
          <w:lang w:val="en-US" w:eastAsia="zh-CN"/>
        </w:rPr>
        <w:t>7</w:t>
      </w:r>
      <w:r>
        <w:rPr>
          <w:color w:val="auto"/>
        </w:rPr>
        <w:t>—</w:t>
      </w:r>
      <w:r>
        <w:rPr>
          <w:rFonts w:hint="eastAsia"/>
          <w:color w:val="auto"/>
          <w:lang w:val="en-US" w:eastAsia="zh-CN"/>
        </w:rPr>
        <w:t>连接段</w:t>
      </w:r>
      <w:r>
        <w:rPr>
          <w:color w:val="auto"/>
        </w:rPr>
        <w:t>；</w:t>
      </w:r>
      <w:r>
        <w:rPr>
          <w:rFonts w:hint="eastAsia"/>
          <w:color w:val="auto"/>
          <w:lang w:val="en-US" w:eastAsia="zh-CN"/>
        </w:rPr>
        <w:t>8</w:t>
      </w:r>
      <w:r>
        <w:rPr>
          <w:color w:val="auto"/>
        </w:rPr>
        <w:t>—</w:t>
      </w:r>
      <w:r>
        <w:rPr>
          <w:rFonts w:hint="eastAsia"/>
          <w:color w:val="auto"/>
          <w:lang w:val="en-US" w:eastAsia="zh-CN"/>
        </w:rPr>
        <w:t>螺栓</w:t>
      </w:r>
      <w:r>
        <w:rPr>
          <w:color w:val="auto"/>
        </w:rPr>
        <w:t>；</w:t>
      </w:r>
      <w:r>
        <w:rPr>
          <w:rFonts w:hint="eastAsia"/>
          <w:color w:val="auto"/>
          <w:lang w:val="en-US" w:eastAsia="zh-CN"/>
        </w:rPr>
        <w:t>9</w:t>
      </w:r>
      <w:r>
        <w:rPr>
          <w:color w:val="auto"/>
        </w:rPr>
        <w:t>—</w:t>
      </w:r>
      <w:r>
        <w:rPr>
          <w:rFonts w:hint="eastAsia"/>
          <w:color w:val="auto"/>
          <w:lang w:val="en-US" w:eastAsia="zh-CN"/>
        </w:rPr>
        <w:t>B型柱侧钢组件</w:t>
      </w:r>
    </w:p>
    <w:p w14:paraId="14A1E300">
      <w:pPr>
        <w:pStyle w:val="45"/>
        <w:rPr>
          <w:rFonts w:hint="default"/>
          <w:color w:val="auto"/>
          <w:lang w:val="en-US" w:eastAsia="zh-CN"/>
        </w:rPr>
      </w:pPr>
      <w:r>
        <w:rPr>
          <w:rFonts w:hint="eastAsia"/>
          <w:color w:val="auto"/>
        </w:rPr>
        <w:t>图</w:t>
      </w:r>
      <w:r>
        <w:rPr>
          <w:rFonts w:hint="eastAsia"/>
          <w:color w:val="auto"/>
          <w:lang w:val="en-US" w:eastAsia="zh-CN"/>
        </w:rPr>
        <w:t>6.1.12</w:t>
      </w:r>
      <w:r>
        <w:rPr>
          <w:color w:val="auto"/>
        </w:rPr>
        <w:t xml:space="preserve"> </w:t>
      </w:r>
      <w:r>
        <w:rPr>
          <w:rFonts w:hint="eastAsia"/>
          <w:color w:val="auto"/>
        </w:rPr>
        <w:t xml:space="preserve"> </w:t>
      </w:r>
      <w:r>
        <w:rPr>
          <w:rFonts w:hint="eastAsia"/>
          <w:color w:val="auto"/>
          <w:lang w:val="en-US" w:eastAsia="zh-CN"/>
        </w:rPr>
        <w:t>B型梁柱连接构造</w:t>
      </w:r>
      <w:r>
        <w:rPr>
          <w:rFonts w:hint="eastAsia"/>
          <w:color w:val="auto"/>
        </w:rPr>
        <w:t>示意</w:t>
      </w:r>
    </w:p>
    <w:p w14:paraId="2EC6DE42">
      <w:pPr>
        <w:pStyle w:val="42"/>
        <w:bidi w:val="0"/>
        <w:rPr>
          <w:rFonts w:hint="default"/>
          <w:lang w:val="en-US"/>
        </w:rPr>
      </w:pPr>
      <w:r>
        <w:rPr>
          <w:rFonts w:hint="eastAsia"/>
          <w:lang w:val="en-US" w:eastAsia="zh-CN"/>
        </w:rPr>
        <w:t>对于B型梁柱连接，接缝的受剪承载力</w:t>
      </w:r>
      <w:r>
        <w:rPr>
          <w:rFonts w:hint="eastAsia"/>
          <w:color w:val="auto"/>
          <w:lang w:val="en-US" w:eastAsia="zh-CN"/>
        </w:rPr>
        <w:t>应分别按本规程式</w:t>
      </w: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1</w:t>
      </w: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4）确定并取二者较小值。</w:t>
      </w:r>
    </w:p>
    <w:p w14:paraId="57A5E673">
      <w:pPr>
        <w:pStyle w:val="42"/>
        <w:numPr>
          <w:ilvl w:val="2"/>
          <w:numId w:val="0"/>
        </w:num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 xml:space="preserve">Ⅳ </w:t>
      </w:r>
      <w:r>
        <w:rPr>
          <w:rFonts w:hint="eastAsia" w:ascii="Times New Roman" w:hAnsi="Times New Roman" w:cs="Times New Roman"/>
          <w:b/>
          <w:bCs/>
          <w:color w:val="auto"/>
          <w:lang w:val="en-US" w:eastAsia="zh-CN"/>
        </w:rPr>
        <w:t xml:space="preserve"> C型梁柱连接</w:t>
      </w:r>
    </w:p>
    <w:p w14:paraId="04CC91A3">
      <w:pPr>
        <w:pStyle w:val="42"/>
      </w:pPr>
      <w:r>
        <w:rPr>
          <w:rFonts w:hint="eastAsia"/>
          <w:lang w:val="en-US" w:eastAsia="zh-CN"/>
        </w:rPr>
        <w:t>采用C型梁柱连接时，</w:t>
      </w:r>
      <w:r>
        <w:rPr>
          <w:rFonts w:hint="eastAsia"/>
        </w:rPr>
        <w:t>预制梁与预制柱应</w:t>
      </w:r>
      <w:r>
        <w:rPr>
          <w:rFonts w:hint="eastAsia"/>
          <w:lang w:val="en-US" w:eastAsia="zh-CN"/>
        </w:rPr>
        <w:t>通过C型</w:t>
      </w:r>
      <w:r>
        <w:rPr>
          <w:rFonts w:hint="eastAsia"/>
        </w:rPr>
        <w:t>梁端钢</w:t>
      </w:r>
      <w:r>
        <w:rPr>
          <w:rFonts w:hint="eastAsia"/>
          <w:lang w:val="en-US" w:eastAsia="zh-CN"/>
        </w:rPr>
        <w:t>组</w:t>
      </w:r>
      <w:r>
        <w:rPr>
          <w:rFonts w:hint="eastAsia"/>
        </w:rPr>
        <w:t>件和</w:t>
      </w:r>
      <w:r>
        <w:rPr>
          <w:rFonts w:hint="eastAsia"/>
          <w:lang w:val="en-US" w:eastAsia="zh-CN"/>
        </w:rPr>
        <w:t>C型柱侧</w:t>
      </w:r>
      <w:r>
        <w:rPr>
          <w:rFonts w:hint="eastAsia"/>
        </w:rPr>
        <w:t>钢</w:t>
      </w:r>
      <w:r>
        <w:rPr>
          <w:rFonts w:hint="eastAsia"/>
          <w:lang w:val="en-US" w:eastAsia="zh-CN"/>
        </w:rPr>
        <w:t>组</w:t>
      </w:r>
      <w:r>
        <w:rPr>
          <w:rFonts w:hint="eastAsia"/>
        </w:rPr>
        <w:t>件</w:t>
      </w:r>
      <w:r>
        <w:rPr>
          <w:rFonts w:hint="eastAsia"/>
          <w:lang w:val="en-US" w:eastAsia="zh-CN"/>
        </w:rPr>
        <w:t>进行连接，且宜采用钢组件螺栓</w:t>
      </w:r>
      <w:r>
        <w:rPr>
          <w:rFonts w:hint="eastAsia"/>
        </w:rPr>
        <w:t>连接</w:t>
      </w:r>
      <w:r>
        <w:rPr>
          <w:rFonts w:hint="eastAsia"/>
          <w:lang w:eastAsia="zh-CN"/>
        </w:rPr>
        <w:t>、</w:t>
      </w:r>
      <w:r>
        <w:rPr>
          <w:rFonts w:hint="eastAsia"/>
          <w:lang w:val="en-US" w:eastAsia="zh-CN"/>
        </w:rPr>
        <w:t>钢筋机械连接的方式（图6.1.14）</w:t>
      </w:r>
      <w:r>
        <w:rPr>
          <w:rFonts w:hint="eastAsia"/>
        </w:rPr>
        <w:t>。</w:t>
      </w:r>
    </w:p>
    <w:p w14:paraId="6B01317E">
      <w:pPr>
        <w:bidi w:val="0"/>
        <w:jc w:val="center"/>
      </w:pPr>
      <w:r>
        <w:drawing>
          <wp:inline distT="0" distB="0" distL="114300" distR="114300">
            <wp:extent cx="2874645" cy="2879725"/>
            <wp:effectExtent l="0" t="0" r="1905" b="15875"/>
            <wp:docPr id="33" name="图片 33" descr="e465c16ce80daae8098b9e550dbc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65c16ce80daae8098b9e550dbcddf"/>
                    <pic:cNvPicPr>
                      <a:picLocks noChangeAspect="1"/>
                    </pic:cNvPicPr>
                  </pic:nvPicPr>
                  <pic:blipFill>
                    <a:blip r:embed="rId292"/>
                    <a:stretch>
                      <a:fillRect/>
                    </a:stretch>
                  </pic:blipFill>
                  <pic:spPr>
                    <a:xfrm>
                      <a:off x="0" y="0"/>
                      <a:ext cx="2874645" cy="2879725"/>
                    </a:xfrm>
                    <a:prstGeom prst="rect">
                      <a:avLst/>
                    </a:prstGeom>
                  </pic:spPr>
                </pic:pic>
              </a:graphicData>
            </a:graphic>
          </wp:inline>
        </w:drawing>
      </w:r>
    </w:p>
    <w:p w14:paraId="4639326D">
      <w:pPr>
        <w:pStyle w:val="45"/>
        <w:rPr>
          <w:rFonts w:hint="eastAsia"/>
          <w:color w:val="auto"/>
          <w:lang w:val="en-US" w:eastAsia="zh-CN"/>
        </w:rPr>
      </w:pPr>
      <w:r>
        <w:rPr>
          <w:color w:val="auto"/>
        </w:rPr>
        <w:t>1—</w:t>
      </w:r>
      <w:r>
        <w:rPr>
          <w:rFonts w:hint="eastAsia"/>
          <w:color w:val="auto"/>
          <w:lang w:val="en-US" w:eastAsia="zh-CN"/>
        </w:rPr>
        <w:t>混凝土柱身</w:t>
      </w:r>
      <w:r>
        <w:rPr>
          <w:color w:val="auto"/>
        </w:rPr>
        <w:t>；2—</w:t>
      </w:r>
      <w:r>
        <w:rPr>
          <w:rFonts w:hint="eastAsia"/>
          <w:color w:val="auto"/>
          <w:lang w:val="en-US" w:eastAsia="zh-CN"/>
        </w:rPr>
        <w:t>节点域连接钢筋</w:t>
      </w:r>
      <w:r>
        <w:rPr>
          <w:color w:val="auto"/>
        </w:rPr>
        <w:t>；</w:t>
      </w:r>
      <w:r>
        <w:rPr>
          <w:rFonts w:hint="eastAsia"/>
          <w:color w:val="auto"/>
          <w:lang w:val="en-US" w:eastAsia="zh-CN"/>
        </w:rPr>
        <w:t>3</w:t>
      </w:r>
      <w:r>
        <w:rPr>
          <w:color w:val="auto"/>
        </w:rPr>
        <w:t>—</w:t>
      </w:r>
      <w:r>
        <w:rPr>
          <w:rFonts w:hint="eastAsia"/>
          <w:color w:val="auto"/>
          <w:lang w:val="en-US" w:eastAsia="zh-CN"/>
        </w:rPr>
        <w:t>连接段箍筋</w:t>
      </w:r>
      <w:r>
        <w:rPr>
          <w:color w:val="auto"/>
        </w:rPr>
        <w:t>；</w:t>
      </w:r>
      <w:r>
        <w:rPr>
          <w:rFonts w:hint="eastAsia"/>
          <w:color w:val="auto"/>
          <w:lang w:val="en-US" w:eastAsia="zh-CN"/>
        </w:rPr>
        <w:t>4</w:t>
      </w:r>
      <w:r>
        <w:rPr>
          <w:color w:val="auto"/>
        </w:rPr>
        <w:t>—</w:t>
      </w:r>
      <w:r>
        <w:rPr>
          <w:rFonts w:hint="eastAsia"/>
          <w:lang w:val="en-US" w:eastAsia="zh-CN"/>
        </w:rPr>
        <w:t>机械连接</w:t>
      </w:r>
      <w:r>
        <w:rPr>
          <w:color w:val="auto"/>
        </w:rPr>
        <w:t>；</w:t>
      </w:r>
      <w:r>
        <w:rPr>
          <w:rFonts w:hint="eastAsia"/>
          <w:color w:val="auto"/>
          <w:lang w:val="en-US" w:eastAsia="zh-CN"/>
        </w:rPr>
        <w:t>5</w:t>
      </w:r>
      <w:r>
        <w:rPr>
          <w:color w:val="auto"/>
        </w:rPr>
        <w:t>—</w:t>
      </w:r>
      <w:r>
        <w:rPr>
          <w:rFonts w:hint="eastAsia"/>
          <w:lang w:val="en-US" w:eastAsia="zh-CN"/>
        </w:rPr>
        <w:t>C型</w:t>
      </w:r>
      <w:r>
        <w:rPr>
          <w:rFonts w:hint="eastAsia"/>
          <w:color w:val="auto"/>
          <w:lang w:val="en-US" w:eastAsia="zh-CN"/>
        </w:rPr>
        <w:t>梁端钢组件</w:t>
      </w:r>
      <w:r>
        <w:rPr>
          <w:color w:val="auto"/>
        </w:rPr>
        <w:t>；</w:t>
      </w:r>
      <w:r>
        <w:rPr>
          <w:rFonts w:hint="eastAsia"/>
          <w:color w:val="auto"/>
          <w:lang w:val="en-US" w:eastAsia="zh-CN"/>
        </w:rPr>
        <w:t>6</w:t>
      </w:r>
      <w:r>
        <w:rPr>
          <w:color w:val="auto"/>
        </w:rPr>
        <w:t>—</w:t>
      </w:r>
      <w:r>
        <w:rPr>
          <w:rFonts w:hint="eastAsia"/>
          <w:color w:val="auto"/>
          <w:lang w:val="en-US" w:eastAsia="zh-CN"/>
        </w:rPr>
        <w:t>混凝土梁身</w:t>
      </w:r>
      <w:r>
        <w:rPr>
          <w:color w:val="auto"/>
        </w:rPr>
        <w:t>；</w:t>
      </w:r>
      <w:r>
        <w:rPr>
          <w:rFonts w:hint="eastAsia"/>
          <w:color w:val="auto"/>
          <w:lang w:val="en-US" w:eastAsia="zh-CN"/>
        </w:rPr>
        <w:t>7</w:t>
      </w:r>
      <w:r>
        <w:rPr>
          <w:color w:val="auto"/>
        </w:rPr>
        <w:t>—</w:t>
      </w:r>
      <w:r>
        <w:rPr>
          <w:rFonts w:hint="eastAsia"/>
          <w:color w:val="auto"/>
          <w:lang w:val="en-US" w:eastAsia="zh-CN"/>
        </w:rPr>
        <w:t>连接段</w:t>
      </w:r>
      <w:r>
        <w:rPr>
          <w:color w:val="auto"/>
        </w:rPr>
        <w:t>；</w:t>
      </w:r>
      <w:r>
        <w:rPr>
          <w:rFonts w:hint="eastAsia"/>
          <w:color w:val="auto"/>
          <w:lang w:val="en-US" w:eastAsia="zh-CN"/>
        </w:rPr>
        <w:t>8</w:t>
      </w:r>
      <w:r>
        <w:rPr>
          <w:color w:val="auto"/>
        </w:rPr>
        <w:t>—</w:t>
      </w:r>
      <w:r>
        <w:rPr>
          <w:rFonts w:hint="eastAsia"/>
          <w:color w:val="auto"/>
          <w:lang w:val="en-US" w:eastAsia="zh-CN"/>
        </w:rPr>
        <w:t>螺栓</w:t>
      </w:r>
      <w:r>
        <w:rPr>
          <w:color w:val="auto"/>
        </w:rPr>
        <w:t>；</w:t>
      </w:r>
      <w:r>
        <w:rPr>
          <w:rFonts w:hint="eastAsia"/>
          <w:color w:val="auto"/>
          <w:lang w:val="en-US" w:eastAsia="zh-CN"/>
        </w:rPr>
        <w:t>9</w:t>
      </w:r>
      <w:r>
        <w:rPr>
          <w:color w:val="auto"/>
        </w:rPr>
        <w:t>—</w:t>
      </w:r>
      <w:r>
        <w:rPr>
          <w:rFonts w:hint="eastAsia"/>
          <w:lang w:val="en-US" w:eastAsia="zh-CN"/>
        </w:rPr>
        <w:t>C型</w:t>
      </w:r>
      <w:r>
        <w:rPr>
          <w:rFonts w:hint="eastAsia"/>
          <w:color w:val="auto"/>
          <w:lang w:val="en-US" w:eastAsia="zh-CN"/>
        </w:rPr>
        <w:t>柱侧钢组件</w:t>
      </w:r>
    </w:p>
    <w:p w14:paraId="15F78757">
      <w:pPr>
        <w:pStyle w:val="45"/>
        <w:rPr>
          <w:rFonts w:hint="default"/>
          <w:color w:val="auto"/>
          <w:lang w:val="en-US" w:eastAsia="zh-CN"/>
        </w:rPr>
      </w:pPr>
      <w:r>
        <w:rPr>
          <w:rFonts w:hint="eastAsia"/>
          <w:color w:val="auto"/>
        </w:rPr>
        <w:t>图</w:t>
      </w:r>
      <w:r>
        <w:rPr>
          <w:rFonts w:hint="eastAsia"/>
          <w:color w:val="auto"/>
          <w:lang w:val="en-US" w:eastAsia="zh-CN"/>
        </w:rPr>
        <w:t>6.1.14</w:t>
      </w:r>
      <w:r>
        <w:rPr>
          <w:color w:val="auto"/>
        </w:rPr>
        <w:t xml:space="preserve"> </w:t>
      </w:r>
      <w:r>
        <w:rPr>
          <w:rFonts w:hint="eastAsia"/>
          <w:color w:val="auto"/>
        </w:rPr>
        <w:t xml:space="preserve"> </w:t>
      </w:r>
      <w:r>
        <w:rPr>
          <w:rFonts w:hint="eastAsia"/>
          <w:color w:val="auto"/>
          <w:lang w:val="en-US" w:eastAsia="zh-CN"/>
        </w:rPr>
        <w:t>C型梁柱连接构造</w:t>
      </w:r>
      <w:r>
        <w:rPr>
          <w:rFonts w:hint="eastAsia"/>
          <w:color w:val="auto"/>
        </w:rPr>
        <w:t>示意</w:t>
      </w:r>
    </w:p>
    <w:p w14:paraId="599CE98B">
      <w:pPr>
        <w:pStyle w:val="45"/>
        <w:rPr>
          <w:rFonts w:hint="eastAsia"/>
          <w:color w:val="auto"/>
          <w:lang w:val="en-US" w:eastAsia="zh-CN"/>
        </w:rPr>
      </w:pPr>
    </w:p>
    <w:p w14:paraId="46A6BF57">
      <w:pPr>
        <w:pStyle w:val="42"/>
      </w:pPr>
      <w:r>
        <w:rPr>
          <w:rFonts w:hint="eastAsia"/>
          <w:lang w:val="en-US" w:eastAsia="zh-CN"/>
        </w:rPr>
        <w:t>采用C型梁柱连接时，钢筋机械连接接头应满足现行行业标准《钢筋机械连接技术规程》JGJ 107中</w:t>
      </w:r>
      <w:r>
        <w:rPr>
          <w:rFonts w:hint="default" w:ascii="Times New Roman" w:hAnsi="Times New Roman" w:cs="Times New Roman"/>
          <w:lang w:val="en-US" w:eastAsia="zh-CN"/>
        </w:rPr>
        <w:t>Ⅰ级接头的有关规定。</w:t>
      </w:r>
    </w:p>
    <w:p w14:paraId="31EC9790">
      <w:pPr>
        <w:pStyle w:val="42"/>
      </w:pPr>
      <w:r>
        <w:rPr>
          <w:rFonts w:hint="eastAsia"/>
          <w:lang w:val="en-US" w:eastAsia="zh-CN"/>
        </w:rPr>
        <w:t>对于C型梁柱连接，接缝的受剪承载力</w:t>
      </w:r>
      <w:r>
        <w:rPr>
          <w:rFonts w:hint="eastAsia"/>
          <w:color w:val="auto"/>
          <w:lang w:val="en-US" w:eastAsia="zh-CN"/>
        </w:rPr>
        <w:t>应分别按本规程式</w:t>
      </w: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1</w:t>
      </w: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4）确定并取二者较小值</w:t>
      </w:r>
      <w:r>
        <w:rPr>
          <w:rFonts w:hint="eastAsia"/>
          <w:lang w:val="en-US" w:eastAsia="zh-CN"/>
        </w:rPr>
        <w:t>，根据式</w:t>
      </w:r>
      <w:r>
        <w:rPr>
          <w:rFonts w:hint="eastAsia"/>
          <w:color w:val="auto"/>
        </w:rPr>
        <w:t>（</w:t>
      </w:r>
      <w:r>
        <w:rPr>
          <w:rFonts w:hint="eastAsia"/>
          <w:color w:val="auto"/>
          <w:lang w:val="en-US" w:eastAsia="zh-CN"/>
        </w:rPr>
        <w:t>6.1.6</w:t>
      </w:r>
      <w:r>
        <w:rPr>
          <w:rFonts w:hint="eastAsia"/>
          <w:color w:val="auto"/>
        </w:rPr>
        <w:t>-</w:t>
      </w:r>
      <w:r>
        <w:rPr>
          <w:rFonts w:hint="eastAsia"/>
          <w:color w:val="auto"/>
          <w:lang w:val="en-US" w:eastAsia="zh-CN"/>
        </w:rPr>
        <w:t>1</w:t>
      </w:r>
      <w:r>
        <w:rPr>
          <w:rFonts w:hint="eastAsia"/>
          <w:color w:val="auto"/>
        </w:rPr>
        <w:t>）</w:t>
      </w:r>
      <w:r>
        <w:rPr>
          <w:rFonts w:hint="eastAsia"/>
          <w:lang w:val="en-US" w:eastAsia="zh-CN"/>
        </w:rPr>
        <w:t>计算时应分别考虑</w:t>
      </w:r>
      <w:r>
        <w:rPr>
          <w:rFonts w:hint="eastAsia"/>
          <w:color w:val="auto"/>
          <w:lang w:val="en-US" w:eastAsia="zh-CN"/>
        </w:rPr>
        <w:t>单锚钢板和双锚钢板的有利作用。</w:t>
      </w:r>
    </w:p>
    <w:p w14:paraId="4BC67979">
      <w:pPr>
        <w:pStyle w:val="41"/>
        <w:numPr>
          <w:ilvl w:val="1"/>
          <w:numId w:val="9"/>
        </w:numPr>
        <w:bidi w:val="0"/>
      </w:pPr>
      <w:bookmarkStart w:id="47" w:name="_Toc25550"/>
      <w:bookmarkStart w:id="48" w:name="_Toc5133"/>
      <w:bookmarkStart w:id="49" w:name="_Toc9533"/>
      <w:r>
        <w:rPr>
          <w:rFonts w:hint="eastAsia"/>
        </w:rPr>
        <w:t>预制柱连接</w:t>
      </w:r>
      <w:bookmarkEnd w:id="47"/>
      <w:bookmarkEnd w:id="48"/>
      <w:bookmarkEnd w:id="49"/>
    </w:p>
    <w:p w14:paraId="3039E40A">
      <w:pPr>
        <w:pStyle w:val="42"/>
        <w:numPr>
          <w:ilvl w:val="2"/>
          <w:numId w:val="0"/>
        </w:numPr>
        <w:jc w:val="center"/>
        <w:rPr>
          <w:rFonts w:hint="default" w:eastAsia="宋体"/>
          <w:lang w:val="en-US" w:eastAsia="zh-CN"/>
        </w:rPr>
      </w:pPr>
      <w:r>
        <w:rPr>
          <w:b/>
          <w:bCs/>
          <w:color w:val="auto"/>
        </w:rPr>
        <w:t>Ⅰ</w:t>
      </w:r>
      <w:r>
        <w:rPr>
          <w:rFonts w:hint="eastAsia"/>
          <w:b/>
          <w:bCs/>
          <w:color w:val="auto"/>
        </w:rPr>
        <w:t xml:space="preserve"> </w:t>
      </w:r>
      <w:r>
        <w:rPr>
          <w:rFonts w:hint="eastAsia"/>
          <w:b/>
          <w:bCs/>
          <w:color w:val="auto"/>
          <w:lang w:val="en-US" w:eastAsia="zh-CN"/>
        </w:rPr>
        <w:t>一般规定</w:t>
      </w:r>
    </w:p>
    <w:p w14:paraId="506EBB66">
      <w:pPr>
        <w:pStyle w:val="42"/>
        <w:rPr>
          <w:rFonts w:hint="eastAsia" w:ascii="Times New Roman" w:hAnsi="Times New Roman" w:eastAsia="宋体" w:cs="Times New Roman"/>
        </w:rPr>
      </w:pPr>
      <w:r>
        <w:rPr>
          <w:rFonts w:hint="eastAsia" w:cs="Times New Roman"/>
          <w:lang w:val="en-US" w:eastAsia="zh-CN"/>
        </w:rPr>
        <w:t>上、下节预制柱</w:t>
      </w:r>
      <w:r>
        <w:rPr>
          <w:rFonts w:hint="eastAsia" w:ascii="Times New Roman" w:hAnsi="Times New Roman" w:eastAsia="宋体" w:cs="Times New Roman"/>
          <w:lang w:val="en-US" w:eastAsia="zh-CN"/>
        </w:rPr>
        <w:t>可采用</w:t>
      </w:r>
      <w:r>
        <w:rPr>
          <w:rFonts w:hint="eastAsia" w:cs="Times New Roman"/>
          <w:lang w:val="en-US" w:eastAsia="zh-CN"/>
        </w:rPr>
        <w:t>钢组件螺栓连接、钢组件灌浆连接或钢组件焊接连接（图6.2.1）。</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8"/>
        <w:gridCol w:w="2838"/>
        <w:gridCol w:w="2838"/>
      </w:tblGrid>
      <w:tr w14:paraId="1341A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8" w:type="dxa"/>
            <w:shd w:val="clear" w:color="auto" w:fill="auto"/>
            <w:vAlign w:val="center"/>
          </w:tcPr>
          <w:p w14:paraId="6E8BBD2A">
            <w:pPr>
              <w:pStyle w:val="45"/>
              <w:ind w:firstLine="0" w:firstLineChars="0"/>
              <w:rPr>
                <w:rFonts w:hint="eastAsia"/>
                <w:color w:val="auto"/>
              </w:rPr>
            </w:pPr>
            <w:r>
              <w:drawing>
                <wp:inline distT="0" distB="0" distL="114300" distR="114300">
                  <wp:extent cx="1578610" cy="1656080"/>
                  <wp:effectExtent l="0" t="0" r="2540" b="1270"/>
                  <wp:docPr id="8"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2"/>
                          <pic:cNvPicPr>
                            <a:picLocks noChangeAspect="1"/>
                          </pic:cNvPicPr>
                        </pic:nvPicPr>
                        <pic:blipFill>
                          <a:blip r:embed="rId293"/>
                          <a:stretch>
                            <a:fillRect/>
                          </a:stretch>
                        </pic:blipFill>
                        <pic:spPr>
                          <a:xfrm>
                            <a:off x="0" y="0"/>
                            <a:ext cx="1578610" cy="1656080"/>
                          </a:xfrm>
                          <a:prstGeom prst="rect">
                            <a:avLst/>
                          </a:prstGeom>
                          <a:noFill/>
                          <a:ln>
                            <a:noFill/>
                          </a:ln>
                        </pic:spPr>
                      </pic:pic>
                    </a:graphicData>
                  </a:graphic>
                </wp:inline>
              </w:drawing>
            </w:r>
          </w:p>
        </w:tc>
        <w:tc>
          <w:tcPr>
            <w:tcW w:w="2838" w:type="dxa"/>
            <w:shd w:val="clear" w:color="auto" w:fill="auto"/>
            <w:vAlign w:val="center"/>
          </w:tcPr>
          <w:p w14:paraId="0DEA10D2">
            <w:pPr>
              <w:pStyle w:val="45"/>
              <w:ind w:firstLine="0" w:firstLineChars="0"/>
              <w:rPr>
                <w:rFonts w:hint="eastAsia"/>
                <w:color w:val="auto"/>
              </w:rPr>
            </w:pPr>
            <w:r>
              <w:drawing>
                <wp:inline distT="0" distB="0" distL="114300" distR="114300">
                  <wp:extent cx="1590675" cy="1656080"/>
                  <wp:effectExtent l="0" t="0" r="9525" b="1270"/>
                  <wp:docPr id="17"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3"/>
                          <pic:cNvPicPr>
                            <a:picLocks noChangeAspect="1"/>
                          </pic:cNvPicPr>
                        </pic:nvPicPr>
                        <pic:blipFill>
                          <a:blip r:embed="rId294"/>
                          <a:stretch>
                            <a:fillRect/>
                          </a:stretch>
                        </pic:blipFill>
                        <pic:spPr>
                          <a:xfrm>
                            <a:off x="0" y="0"/>
                            <a:ext cx="1590675" cy="1656080"/>
                          </a:xfrm>
                          <a:prstGeom prst="rect">
                            <a:avLst/>
                          </a:prstGeom>
                          <a:noFill/>
                          <a:ln>
                            <a:noFill/>
                          </a:ln>
                        </pic:spPr>
                      </pic:pic>
                    </a:graphicData>
                  </a:graphic>
                </wp:inline>
              </w:drawing>
            </w:r>
          </w:p>
        </w:tc>
        <w:tc>
          <w:tcPr>
            <w:tcW w:w="2838" w:type="dxa"/>
            <w:shd w:val="clear" w:color="auto" w:fill="auto"/>
            <w:vAlign w:val="center"/>
          </w:tcPr>
          <w:p w14:paraId="22488D8F">
            <w:pPr>
              <w:pStyle w:val="45"/>
              <w:ind w:firstLine="0" w:firstLineChars="0"/>
              <w:rPr>
                <w:rFonts w:hint="eastAsia"/>
                <w:color w:val="auto"/>
              </w:rPr>
            </w:pPr>
            <w:r>
              <w:drawing>
                <wp:inline distT="0" distB="0" distL="114300" distR="114300">
                  <wp:extent cx="1530985" cy="1656080"/>
                  <wp:effectExtent l="0" t="0" r="12065" b="1270"/>
                  <wp:docPr id="18"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4"/>
                          <pic:cNvPicPr>
                            <a:picLocks noChangeAspect="1"/>
                          </pic:cNvPicPr>
                        </pic:nvPicPr>
                        <pic:blipFill>
                          <a:blip r:embed="rId295"/>
                          <a:stretch>
                            <a:fillRect/>
                          </a:stretch>
                        </pic:blipFill>
                        <pic:spPr>
                          <a:xfrm>
                            <a:off x="0" y="0"/>
                            <a:ext cx="1530985" cy="1656080"/>
                          </a:xfrm>
                          <a:prstGeom prst="rect">
                            <a:avLst/>
                          </a:prstGeom>
                          <a:noFill/>
                          <a:ln>
                            <a:noFill/>
                          </a:ln>
                        </pic:spPr>
                      </pic:pic>
                    </a:graphicData>
                  </a:graphic>
                </wp:inline>
              </w:drawing>
            </w:r>
          </w:p>
        </w:tc>
      </w:tr>
      <w:tr w14:paraId="4D77A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8" w:type="dxa"/>
            <w:shd w:val="clear" w:color="auto" w:fill="auto"/>
            <w:vAlign w:val="center"/>
          </w:tcPr>
          <w:p w14:paraId="5FCD586C">
            <w:pPr>
              <w:pStyle w:val="45"/>
              <w:ind w:firstLine="0" w:firstLineChars="0"/>
              <w:rPr>
                <w:rFonts w:hint="eastAsia"/>
                <w:color w:val="auto"/>
              </w:rPr>
            </w:pPr>
            <w:r>
              <w:rPr>
                <w:rFonts w:hint="eastAsia" w:cs="Times New Roman"/>
                <w:lang w:val="en-US" w:eastAsia="zh-CN"/>
              </w:rPr>
              <w:t>（a）柱端钢组件螺栓连接</w:t>
            </w:r>
          </w:p>
        </w:tc>
        <w:tc>
          <w:tcPr>
            <w:tcW w:w="2838" w:type="dxa"/>
            <w:shd w:val="clear" w:color="auto" w:fill="auto"/>
            <w:vAlign w:val="center"/>
          </w:tcPr>
          <w:p w14:paraId="11500AC4">
            <w:pPr>
              <w:pStyle w:val="45"/>
              <w:ind w:firstLine="0" w:firstLineChars="0"/>
              <w:rPr>
                <w:rFonts w:hint="eastAsia"/>
                <w:color w:val="auto"/>
              </w:rPr>
            </w:pPr>
            <w:r>
              <w:rPr>
                <w:rFonts w:hint="eastAsia"/>
                <w:color w:val="auto"/>
              </w:rPr>
              <w:t>（</w:t>
            </w:r>
            <w:r>
              <w:rPr>
                <w:rFonts w:hint="eastAsia"/>
                <w:color w:val="auto"/>
                <w:lang w:val="en-US" w:eastAsia="zh-CN"/>
              </w:rPr>
              <w:t>b</w:t>
            </w:r>
            <w:r>
              <w:rPr>
                <w:rFonts w:hint="eastAsia"/>
                <w:color w:val="auto"/>
              </w:rPr>
              <w:t>）</w:t>
            </w:r>
            <w:r>
              <w:rPr>
                <w:rFonts w:hint="eastAsia" w:cs="Times New Roman"/>
                <w:lang w:val="en-US" w:eastAsia="zh-CN"/>
              </w:rPr>
              <w:t>柱端钢组件灌浆连接</w:t>
            </w:r>
          </w:p>
        </w:tc>
        <w:tc>
          <w:tcPr>
            <w:tcW w:w="2838" w:type="dxa"/>
            <w:shd w:val="clear" w:color="auto" w:fill="auto"/>
            <w:vAlign w:val="center"/>
          </w:tcPr>
          <w:p w14:paraId="044D7AB1">
            <w:pPr>
              <w:pStyle w:val="45"/>
              <w:ind w:firstLine="0" w:firstLineChars="0"/>
              <w:rPr>
                <w:rFonts w:hint="eastAsia"/>
                <w:color w:val="auto"/>
              </w:rPr>
            </w:pPr>
            <w:r>
              <w:rPr>
                <w:rFonts w:hint="eastAsia"/>
                <w:color w:val="auto"/>
              </w:rPr>
              <w:t>（</w:t>
            </w:r>
            <w:r>
              <w:rPr>
                <w:rFonts w:hint="eastAsia"/>
                <w:color w:val="auto"/>
                <w:lang w:val="en-US" w:eastAsia="zh-CN"/>
              </w:rPr>
              <w:t>c</w:t>
            </w:r>
            <w:r>
              <w:rPr>
                <w:rFonts w:hint="eastAsia"/>
                <w:color w:val="auto"/>
              </w:rPr>
              <w:t>）</w:t>
            </w:r>
            <w:r>
              <w:rPr>
                <w:rFonts w:hint="eastAsia" w:cs="Times New Roman"/>
                <w:lang w:val="en-US" w:eastAsia="zh-CN"/>
              </w:rPr>
              <w:t>柱端钢组件焊接连接</w:t>
            </w:r>
          </w:p>
        </w:tc>
      </w:tr>
    </w:tbl>
    <w:p w14:paraId="76436F53">
      <w:pPr>
        <w:pStyle w:val="45"/>
        <w:rPr>
          <w:color w:val="auto"/>
        </w:rPr>
      </w:pPr>
    </w:p>
    <w:p w14:paraId="27759609">
      <w:pPr>
        <w:pStyle w:val="45"/>
        <w:rPr>
          <w:color w:val="auto"/>
        </w:rPr>
      </w:pPr>
      <w:r>
        <w:rPr>
          <w:color w:val="auto"/>
        </w:rPr>
        <w:t>1—</w:t>
      </w:r>
      <w:r>
        <w:rPr>
          <w:rFonts w:hint="eastAsia"/>
          <w:color w:val="auto"/>
          <w:lang w:val="en-US" w:eastAsia="zh-CN"/>
        </w:rPr>
        <w:t>上节柱</w:t>
      </w:r>
      <w:r>
        <w:rPr>
          <w:color w:val="auto"/>
        </w:rPr>
        <w:t>；2—</w:t>
      </w:r>
      <w:r>
        <w:rPr>
          <w:rFonts w:hint="eastAsia"/>
          <w:color w:val="auto"/>
          <w:lang w:val="en-US" w:eastAsia="zh-CN"/>
        </w:rPr>
        <w:t>柱端钢组件</w:t>
      </w:r>
      <w:r>
        <w:rPr>
          <w:color w:val="auto"/>
        </w:rPr>
        <w:t>；</w:t>
      </w:r>
      <w:r>
        <w:rPr>
          <w:rFonts w:hint="eastAsia"/>
          <w:color w:val="auto"/>
          <w:lang w:val="en-US" w:eastAsia="zh-CN"/>
        </w:rPr>
        <w:t>3</w:t>
      </w:r>
      <w:r>
        <w:rPr>
          <w:color w:val="auto"/>
        </w:rPr>
        <w:t>—</w:t>
      </w:r>
      <w:r>
        <w:rPr>
          <w:rFonts w:hint="eastAsia"/>
          <w:color w:val="auto"/>
          <w:lang w:val="en-US" w:eastAsia="zh-CN"/>
        </w:rPr>
        <w:t>预留连接杆</w:t>
      </w:r>
      <w:r>
        <w:rPr>
          <w:color w:val="auto"/>
        </w:rPr>
        <w:t>；</w:t>
      </w:r>
      <w:r>
        <w:rPr>
          <w:rFonts w:hint="eastAsia"/>
          <w:color w:val="auto"/>
          <w:lang w:val="en-US" w:eastAsia="zh-CN"/>
        </w:rPr>
        <w:t>4</w:t>
      </w:r>
      <w:r>
        <w:rPr>
          <w:color w:val="auto"/>
        </w:rPr>
        <w:t>—</w:t>
      </w:r>
      <w:r>
        <w:rPr>
          <w:rFonts w:hint="eastAsia"/>
          <w:color w:val="auto"/>
          <w:lang w:val="en-US" w:eastAsia="zh-CN"/>
        </w:rPr>
        <w:t>连接段</w:t>
      </w:r>
      <w:r>
        <w:rPr>
          <w:color w:val="auto"/>
        </w:rPr>
        <w:t>；</w:t>
      </w:r>
    </w:p>
    <w:p w14:paraId="0341B935">
      <w:pPr>
        <w:pStyle w:val="45"/>
        <w:rPr>
          <w:rFonts w:hint="eastAsia"/>
          <w:color w:val="auto"/>
          <w:lang w:val="en-US" w:eastAsia="zh-CN"/>
        </w:rPr>
      </w:pPr>
      <w:r>
        <w:rPr>
          <w:rFonts w:hint="eastAsia"/>
          <w:color w:val="auto"/>
          <w:lang w:val="en-US" w:eastAsia="zh-CN"/>
        </w:rPr>
        <w:t>5</w:t>
      </w:r>
      <w:r>
        <w:rPr>
          <w:color w:val="auto"/>
        </w:rPr>
        <w:t>—</w:t>
      </w:r>
      <w:r>
        <w:rPr>
          <w:rFonts w:hint="eastAsia"/>
          <w:color w:val="auto"/>
          <w:lang w:val="en-US" w:eastAsia="zh-CN"/>
        </w:rPr>
        <w:t>下节柱</w:t>
      </w:r>
      <w:r>
        <w:rPr>
          <w:color w:val="auto"/>
        </w:rPr>
        <w:t>；</w:t>
      </w:r>
      <w:r>
        <w:rPr>
          <w:rFonts w:hint="eastAsia"/>
          <w:color w:val="auto"/>
          <w:lang w:val="en-US" w:eastAsia="zh-CN"/>
        </w:rPr>
        <w:t>6</w:t>
      </w:r>
      <w:r>
        <w:rPr>
          <w:color w:val="auto"/>
        </w:rPr>
        <w:t>—</w:t>
      </w:r>
      <w:r>
        <w:rPr>
          <w:rFonts w:hint="eastAsia"/>
          <w:color w:val="auto"/>
          <w:lang w:val="en-US" w:eastAsia="zh-CN"/>
        </w:rPr>
        <w:t>焊缝</w:t>
      </w:r>
    </w:p>
    <w:p w14:paraId="0641A313">
      <w:pPr>
        <w:pStyle w:val="45"/>
        <w:rPr>
          <w:rFonts w:hint="eastAsia"/>
          <w:color w:val="auto"/>
          <w:lang w:val="en-US" w:eastAsia="zh-CN"/>
        </w:rPr>
      </w:pPr>
      <w:r>
        <w:rPr>
          <w:rFonts w:hint="eastAsia"/>
          <w:color w:val="auto"/>
        </w:rPr>
        <w:t>图</w:t>
      </w:r>
      <w:r>
        <w:rPr>
          <w:rFonts w:hint="eastAsia"/>
          <w:color w:val="auto"/>
          <w:lang w:val="en-US" w:eastAsia="zh-CN"/>
        </w:rPr>
        <w:t>6.2.1</w:t>
      </w:r>
      <w:r>
        <w:rPr>
          <w:color w:val="auto"/>
        </w:rPr>
        <w:t xml:space="preserve"> </w:t>
      </w:r>
      <w:r>
        <w:rPr>
          <w:rFonts w:hint="eastAsia"/>
          <w:color w:val="auto"/>
        </w:rPr>
        <w:t xml:space="preserve"> </w:t>
      </w:r>
      <w:r>
        <w:rPr>
          <w:rFonts w:hint="eastAsia"/>
          <w:color w:val="auto"/>
          <w:lang w:val="en-US" w:eastAsia="zh-CN"/>
        </w:rPr>
        <w:t>预制柱连接构造</w:t>
      </w:r>
      <w:r>
        <w:rPr>
          <w:rFonts w:hint="eastAsia"/>
          <w:color w:val="auto"/>
        </w:rPr>
        <w:t>示意</w:t>
      </w:r>
    </w:p>
    <w:p w14:paraId="40D23D31">
      <w:pPr>
        <w:pStyle w:val="42"/>
        <w:rPr>
          <w:rFonts w:hint="eastAsia" w:ascii="Times New Roman" w:hAnsi="Times New Roman" w:eastAsia="宋体" w:cs="Times New Roman"/>
        </w:rPr>
      </w:pPr>
      <w:r>
        <w:rPr>
          <w:rFonts w:hint="eastAsia" w:cs="Times New Roman"/>
          <w:lang w:val="en-US" w:eastAsia="zh-CN"/>
        </w:rPr>
        <w:t>上、下节预制</w:t>
      </w:r>
      <w:r>
        <w:rPr>
          <w:rFonts w:hint="eastAsia" w:ascii="Times New Roman" w:hAnsi="Times New Roman" w:eastAsia="宋体" w:cs="Times New Roman"/>
          <w:lang w:val="en-US" w:eastAsia="zh-CN"/>
        </w:rPr>
        <w:t>柱</w:t>
      </w:r>
      <w:r>
        <w:rPr>
          <w:rFonts w:hint="eastAsia" w:cs="Times New Roman"/>
          <w:lang w:val="en-US" w:eastAsia="zh-CN"/>
        </w:rPr>
        <w:t>的</w:t>
      </w:r>
      <w:r>
        <w:rPr>
          <w:rFonts w:hint="eastAsia"/>
          <w:lang w:val="en-US" w:eastAsia="zh-CN"/>
        </w:rPr>
        <w:t>连接段应</w:t>
      </w:r>
      <w:r>
        <w:t>采用</w:t>
      </w:r>
      <w:r>
        <w:rPr>
          <w:rFonts w:hint="eastAsia"/>
          <w:lang w:eastAsia="zh-CN"/>
        </w:rPr>
        <w:t>灌浆料</w:t>
      </w:r>
      <w:r>
        <w:t>填实</w:t>
      </w:r>
      <w:r>
        <w:rPr>
          <w:rFonts w:hint="eastAsia" w:cs="Times New Roman"/>
          <w:lang w:val="en-US" w:eastAsia="zh-CN"/>
        </w:rPr>
        <w:t>（图6.2.1）</w:t>
      </w:r>
      <w:r>
        <w:rPr>
          <w:rFonts w:hint="eastAsia"/>
          <w:color w:val="auto"/>
        </w:rPr>
        <w:t>。</w:t>
      </w:r>
    </w:p>
    <w:p w14:paraId="614680CD">
      <w:pPr>
        <w:pStyle w:val="42"/>
        <w:rPr>
          <w:rFonts w:hint="eastAsia" w:ascii="Times New Roman" w:hAnsi="Times New Roman" w:eastAsia="宋体" w:cs="Times New Roman"/>
        </w:rPr>
      </w:pPr>
      <w:r>
        <w:rPr>
          <w:rFonts w:hint="eastAsia" w:cs="Times New Roman"/>
          <w:lang w:val="en-US" w:eastAsia="zh-CN"/>
        </w:rPr>
        <w:t>上、下节预制柱采用钢组件焊接连接时，</w:t>
      </w:r>
      <w:r>
        <w:rPr>
          <w:rFonts w:hint="eastAsia" w:ascii="Times New Roman" w:hAnsi="Times New Roman" w:eastAsia="宋体" w:cs="Times New Roman"/>
          <w:lang w:val="en-US" w:eastAsia="zh-CN"/>
        </w:rPr>
        <w:t>柱端钢组件</w:t>
      </w:r>
      <w:r>
        <w:rPr>
          <w:rFonts w:hint="eastAsia" w:cs="Times New Roman"/>
          <w:lang w:val="en-US" w:eastAsia="zh-CN"/>
        </w:rPr>
        <w:t>之间</w:t>
      </w:r>
      <w:r>
        <w:rPr>
          <w:rFonts w:hint="eastAsia" w:ascii="Times New Roman" w:hAnsi="Times New Roman" w:eastAsia="宋体" w:cs="Times New Roman"/>
        </w:rPr>
        <w:t>应采用全熔透焊缝</w:t>
      </w:r>
      <w:r>
        <w:rPr>
          <w:rFonts w:hint="eastAsia" w:cs="Times New Roman"/>
          <w:lang w:val="en-US" w:eastAsia="zh-CN"/>
        </w:rPr>
        <w:t>连接</w:t>
      </w:r>
      <w:r>
        <w:rPr>
          <w:rFonts w:hint="eastAsia" w:ascii="Times New Roman" w:hAnsi="Times New Roman" w:eastAsia="宋体" w:cs="Times New Roman"/>
        </w:rPr>
        <w:t>，当应用于高层建筑时焊缝质量等级尚应为一级。</w:t>
      </w:r>
    </w:p>
    <w:p w14:paraId="12A1475B">
      <w:pPr>
        <w:pStyle w:val="42"/>
        <w:numPr>
          <w:ilvl w:val="2"/>
          <w:numId w:val="0"/>
        </w:numPr>
        <w:jc w:val="center"/>
        <w:rPr>
          <w:b/>
          <w:bCs/>
          <w:color w:val="auto"/>
        </w:rPr>
      </w:pPr>
      <w:r>
        <w:rPr>
          <w:b/>
          <w:bCs/>
          <w:color w:val="auto"/>
        </w:rPr>
        <w:t>Ⅱ</w:t>
      </w:r>
      <w:r>
        <w:rPr>
          <w:rFonts w:hint="eastAsia" w:ascii="Times New Roman" w:hAnsi="Times New Roman" w:eastAsia="宋体" w:cs="Times New Roman"/>
          <w:b/>
          <w:bCs/>
          <w:color w:val="auto"/>
          <w:lang w:val="en-US" w:eastAsia="zh-CN"/>
        </w:rPr>
        <w:t xml:space="preserve"> </w:t>
      </w:r>
      <w:r>
        <w:rPr>
          <w:rFonts w:hint="eastAsia"/>
          <w:b/>
          <w:bCs/>
          <w:color w:val="auto"/>
          <w:lang w:val="en-US" w:eastAsia="zh-CN"/>
        </w:rPr>
        <w:t>钢组件螺栓</w:t>
      </w:r>
      <w:r>
        <w:rPr>
          <w:rFonts w:hint="eastAsia"/>
          <w:b/>
          <w:bCs/>
          <w:color w:val="auto"/>
        </w:rPr>
        <w:t>连接</w:t>
      </w:r>
    </w:p>
    <w:p w14:paraId="6B877155">
      <w:pPr>
        <w:pStyle w:val="42"/>
      </w:pPr>
      <w:r>
        <w:rPr>
          <w:rFonts w:hint="eastAsia"/>
          <w:color w:val="auto"/>
          <w:lang w:val="en-US" w:eastAsia="zh-CN"/>
        </w:rPr>
        <w:t>预制柱</w:t>
      </w:r>
      <w:r>
        <w:rPr>
          <w:rFonts w:hint="eastAsia"/>
          <w:color w:val="auto"/>
        </w:rPr>
        <w:t>采用</w:t>
      </w:r>
      <w:r>
        <w:rPr>
          <w:rFonts w:hint="eastAsia"/>
          <w:color w:val="auto"/>
          <w:lang w:val="en-US" w:eastAsia="zh-CN"/>
        </w:rPr>
        <w:t>钢组件螺栓</w:t>
      </w:r>
      <w:r>
        <w:rPr>
          <w:rFonts w:hint="eastAsia"/>
          <w:color w:val="auto"/>
        </w:rPr>
        <w:t>连接时</w:t>
      </w:r>
      <w:r>
        <w:rPr>
          <w:rFonts w:hint="eastAsia"/>
          <w:lang w:eastAsia="zh-CN"/>
        </w:rPr>
        <w:t>应符合下列规定（图</w:t>
      </w:r>
      <w:r>
        <w:rPr>
          <w:rFonts w:hint="eastAsia"/>
          <w:lang w:val="en-US" w:eastAsia="zh-CN"/>
        </w:rPr>
        <w:t>6.2.4</w:t>
      </w:r>
      <w:r>
        <w:rPr>
          <w:rFonts w:hint="eastAsia"/>
          <w:lang w:eastAsia="zh-CN"/>
        </w:rPr>
        <w:t>）：</w:t>
      </w:r>
    </w:p>
    <w:p w14:paraId="490ACDE8">
      <w:pPr>
        <w:pStyle w:val="43"/>
      </w:pPr>
      <w:r>
        <w:rPr>
          <w:rFonts w:hint="eastAsia"/>
          <w:lang w:val="en-US" w:eastAsia="zh-CN"/>
        </w:rPr>
        <w:t>在上节柱</w:t>
      </w:r>
      <w:r>
        <w:rPr>
          <w:rFonts w:hint="eastAsia"/>
          <w:lang w:eastAsia="zh-CN"/>
        </w:rPr>
        <w:t>设置柱</w:t>
      </w:r>
      <w:r>
        <w:rPr>
          <w:rFonts w:hint="eastAsia"/>
          <w:lang w:val="en-US" w:eastAsia="zh-CN"/>
        </w:rPr>
        <w:t>端钢组</w:t>
      </w:r>
      <w:r>
        <w:rPr>
          <w:rFonts w:hint="eastAsia"/>
          <w:lang w:eastAsia="zh-CN"/>
        </w:rPr>
        <w:t>件，</w:t>
      </w:r>
      <w:r>
        <w:rPr>
          <w:rFonts w:hint="eastAsia"/>
          <w:lang w:val="en-US" w:eastAsia="zh-CN"/>
        </w:rPr>
        <w:t>与下节</w:t>
      </w:r>
      <w:r>
        <w:rPr>
          <w:rFonts w:hint="eastAsia"/>
        </w:rPr>
        <w:t>柱</w:t>
      </w:r>
      <w:r>
        <w:rPr>
          <w:rFonts w:hint="eastAsia" w:cs="Times New Roman"/>
          <w:lang w:val="en-US" w:eastAsia="zh-CN"/>
        </w:rPr>
        <w:t>外伸的预留连接杆</w:t>
      </w:r>
      <w:r>
        <w:rPr>
          <w:rFonts w:hint="eastAsia" w:ascii="Times New Roman" w:hAnsi="Times New Roman" w:eastAsia="宋体" w:cs="Times New Roman"/>
          <w:lang w:eastAsia="zh-CN"/>
        </w:rPr>
        <w:t>采用螺栓连接，</w:t>
      </w:r>
      <w:r>
        <w:rPr>
          <w:rFonts w:hint="eastAsia" w:cs="Times New Roman"/>
          <w:lang w:val="en-US" w:eastAsia="zh-CN"/>
        </w:rPr>
        <w:t>预留连接杆应与下节柱内纵向受力钢筋可靠焊接或采用机械连接</w:t>
      </w:r>
      <w:r>
        <w:rPr>
          <w:rFonts w:hint="eastAsia" w:ascii="Times New Roman" w:hAnsi="Times New Roman" w:eastAsia="宋体" w:cs="Times New Roman"/>
          <w:lang w:eastAsia="zh-CN"/>
        </w:rPr>
        <w:t>；</w:t>
      </w:r>
    </w:p>
    <w:p w14:paraId="16D30D91">
      <w:pPr>
        <w:pStyle w:val="43"/>
        <w:bidi w:val="0"/>
        <w:rPr>
          <w:rFonts w:hint="eastAsia" w:ascii="Times New Roman" w:hAnsi="Times New Roman" w:eastAsia="宋体" w:cs="Times New Roman"/>
          <w:lang w:eastAsia="zh-CN"/>
        </w:rPr>
      </w:pPr>
      <w:r>
        <w:t>柱端接缝宽度</w:t>
      </w:r>
      <w:r>
        <w:rPr>
          <w:rFonts w:hint="eastAsia"/>
          <w:lang w:eastAsia="zh-CN"/>
        </w:rPr>
        <w:t>不应</w:t>
      </w:r>
      <w:r>
        <w:t>小于</w:t>
      </w:r>
      <w:r>
        <w:rPr>
          <w:rFonts w:hint="eastAsia"/>
          <w:lang w:val="en-US" w:eastAsia="zh-CN"/>
        </w:rPr>
        <w:t>50</w:t>
      </w:r>
      <w:r>
        <w:t>mm且</w:t>
      </w:r>
      <w:r>
        <w:rPr>
          <w:rFonts w:hint="eastAsia"/>
          <w:lang w:val="en-US" w:eastAsia="zh-CN"/>
        </w:rPr>
        <w:t>应</w:t>
      </w:r>
      <w:r>
        <w:t>满足施工安装的要求，</w:t>
      </w:r>
      <w:r>
        <w:rPr>
          <w:rFonts w:hint="eastAsia"/>
          <w:lang w:val="en-US" w:eastAsia="zh-CN"/>
        </w:rPr>
        <w:t>其操作手孔及</w:t>
      </w:r>
      <w:r>
        <w:t>接缝应采用</w:t>
      </w:r>
      <w:r>
        <w:rPr>
          <w:rFonts w:hint="eastAsia"/>
          <w:lang w:eastAsia="zh-CN"/>
        </w:rPr>
        <w:t>灌浆料</w:t>
      </w:r>
      <w:r>
        <w:t>填实</w:t>
      </w:r>
      <w:r>
        <w:rPr>
          <w:rFonts w:hint="eastAsia"/>
          <w:lang w:eastAsia="zh-CN"/>
        </w:rPr>
        <w:t>；</w:t>
      </w:r>
    </w:p>
    <w:p w14:paraId="39BC4C97">
      <w:pPr>
        <w:pStyle w:val="43"/>
        <w:bidi w:val="0"/>
        <w:rPr>
          <w:rFonts w:hint="eastAsia" w:ascii="Times New Roman" w:hAnsi="Times New Roman" w:eastAsia="宋体" w:cs="Times New Roman"/>
          <w:lang w:eastAsia="zh-CN"/>
        </w:rPr>
      </w:pPr>
      <w:r>
        <w:rPr>
          <w:rFonts w:hint="eastAsia"/>
          <w:lang w:eastAsia="zh-CN"/>
        </w:rPr>
        <w:t>柱</w:t>
      </w:r>
      <w:r>
        <w:rPr>
          <w:rFonts w:hint="eastAsia"/>
          <w:lang w:val="en-US" w:eastAsia="zh-CN"/>
        </w:rPr>
        <w:t>端钢组</w:t>
      </w:r>
      <w:r>
        <w:rPr>
          <w:rFonts w:hint="eastAsia"/>
          <w:lang w:eastAsia="zh-CN"/>
        </w:rPr>
        <w:t>件</w:t>
      </w:r>
      <w:r>
        <w:rPr>
          <w:rFonts w:hint="eastAsia"/>
          <w:lang w:val="en-US" w:eastAsia="zh-CN"/>
        </w:rPr>
        <w:t>的下部</w:t>
      </w:r>
      <w:r>
        <w:rPr>
          <w:rFonts w:hint="eastAsia"/>
          <w:lang w:eastAsia="zh-CN"/>
        </w:rPr>
        <w:t>应设置支</w:t>
      </w:r>
      <w:r>
        <w:rPr>
          <w:rFonts w:hint="eastAsia"/>
          <w:lang w:val="en-US" w:eastAsia="zh-CN"/>
        </w:rPr>
        <w:t>承</w:t>
      </w:r>
      <w:r>
        <w:rPr>
          <w:rFonts w:hint="eastAsia"/>
          <w:lang w:eastAsia="zh-CN"/>
        </w:rPr>
        <w:t>调平螺母，支</w:t>
      </w:r>
      <w:r>
        <w:rPr>
          <w:rFonts w:hint="eastAsia"/>
          <w:lang w:val="en-US" w:eastAsia="zh-CN"/>
        </w:rPr>
        <w:t>承</w:t>
      </w:r>
      <w:r>
        <w:rPr>
          <w:rFonts w:hint="eastAsia"/>
          <w:lang w:eastAsia="zh-CN"/>
        </w:rPr>
        <w:t>调平</w:t>
      </w:r>
      <w:r>
        <w:rPr>
          <w:rFonts w:hint="eastAsia"/>
          <w:lang w:val="en-US" w:eastAsia="zh-CN"/>
        </w:rPr>
        <w:t>螺母与底板上部螺母规格型号相同，下部螺母和上部螺母的配置应满足预制柱施工验算要求。</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4"/>
      </w:tblGrid>
      <w:tr w14:paraId="6DB17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4" w:type="dxa"/>
            <w:shd w:val="clear" w:color="auto" w:fill="auto"/>
            <w:vAlign w:val="center"/>
          </w:tcPr>
          <w:p w14:paraId="0AFB70F3">
            <w:pPr>
              <w:pStyle w:val="45"/>
              <w:ind w:firstLine="0" w:firstLineChars="0"/>
              <w:rPr>
                <w:rFonts w:hint="eastAsia"/>
                <w:color w:val="auto"/>
              </w:rPr>
            </w:pPr>
            <w:r>
              <w:drawing>
                <wp:inline distT="0" distB="0" distL="114300" distR="114300">
                  <wp:extent cx="1914525" cy="1800225"/>
                  <wp:effectExtent l="0" t="0" r="9525" b="9525"/>
                  <wp:docPr id="8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5"/>
                          <pic:cNvPicPr>
                            <a:picLocks noChangeAspect="1"/>
                          </pic:cNvPicPr>
                        </pic:nvPicPr>
                        <pic:blipFill>
                          <a:blip r:embed="rId296"/>
                          <a:stretch>
                            <a:fillRect/>
                          </a:stretch>
                        </pic:blipFill>
                        <pic:spPr>
                          <a:xfrm>
                            <a:off x="0" y="0"/>
                            <a:ext cx="1914525" cy="1800225"/>
                          </a:xfrm>
                          <a:prstGeom prst="rect">
                            <a:avLst/>
                          </a:prstGeom>
                          <a:noFill/>
                          <a:ln>
                            <a:noFill/>
                          </a:ln>
                        </pic:spPr>
                      </pic:pic>
                    </a:graphicData>
                  </a:graphic>
                </wp:inline>
              </w:drawing>
            </w:r>
          </w:p>
        </w:tc>
      </w:tr>
    </w:tbl>
    <w:p w14:paraId="6EE3D0D7">
      <w:pPr>
        <w:pStyle w:val="45"/>
        <w:rPr>
          <w:color w:val="auto"/>
        </w:rPr>
      </w:pPr>
    </w:p>
    <w:p w14:paraId="62F933B6">
      <w:pPr>
        <w:pStyle w:val="45"/>
        <w:rPr>
          <w:color w:val="auto"/>
        </w:rPr>
      </w:pPr>
      <w:r>
        <w:rPr>
          <w:color w:val="auto"/>
        </w:rPr>
        <w:t>1—</w:t>
      </w:r>
      <w:r>
        <w:rPr>
          <w:rFonts w:hint="eastAsia"/>
          <w:color w:val="auto"/>
          <w:lang w:val="en-US" w:eastAsia="zh-CN"/>
        </w:rPr>
        <w:t>上节柱</w:t>
      </w:r>
      <w:r>
        <w:rPr>
          <w:color w:val="auto"/>
        </w:rPr>
        <w:t>；2—</w:t>
      </w:r>
      <w:r>
        <w:rPr>
          <w:rFonts w:hint="eastAsia"/>
          <w:color w:val="auto"/>
          <w:lang w:val="en-US" w:eastAsia="zh-CN"/>
        </w:rPr>
        <w:t>柱端钢组件</w:t>
      </w:r>
      <w:r>
        <w:rPr>
          <w:color w:val="auto"/>
        </w:rPr>
        <w:t>；</w:t>
      </w:r>
      <w:r>
        <w:rPr>
          <w:rFonts w:hint="eastAsia"/>
          <w:color w:val="auto"/>
          <w:lang w:val="en-US" w:eastAsia="zh-CN"/>
        </w:rPr>
        <w:t>3</w:t>
      </w:r>
      <w:r>
        <w:rPr>
          <w:color w:val="auto"/>
        </w:rPr>
        <w:t>—</w:t>
      </w:r>
      <w:r>
        <w:rPr>
          <w:rFonts w:hint="eastAsia"/>
          <w:color w:val="auto"/>
          <w:lang w:val="en-US" w:eastAsia="zh-CN"/>
        </w:rPr>
        <w:t>预留连接杆</w:t>
      </w:r>
      <w:r>
        <w:rPr>
          <w:color w:val="auto"/>
        </w:rPr>
        <w:t>；</w:t>
      </w:r>
      <w:r>
        <w:rPr>
          <w:rFonts w:hint="eastAsia"/>
          <w:color w:val="auto"/>
          <w:lang w:val="en-US" w:eastAsia="zh-CN"/>
        </w:rPr>
        <w:t>4</w:t>
      </w:r>
      <w:r>
        <w:rPr>
          <w:color w:val="auto"/>
        </w:rPr>
        <w:t>—</w:t>
      </w:r>
      <w:r>
        <w:rPr>
          <w:rFonts w:hint="eastAsia"/>
          <w:color w:val="auto"/>
          <w:lang w:val="en-US" w:eastAsia="zh-CN"/>
        </w:rPr>
        <w:t>上部螺母</w:t>
      </w:r>
      <w:r>
        <w:rPr>
          <w:color w:val="auto"/>
        </w:rPr>
        <w:t>；</w:t>
      </w:r>
    </w:p>
    <w:p w14:paraId="71648B3E">
      <w:pPr>
        <w:pStyle w:val="45"/>
        <w:rPr>
          <w:rFonts w:hint="default" w:eastAsia="黑体"/>
          <w:color w:val="auto"/>
          <w:lang w:val="en-US" w:eastAsia="zh-CN"/>
        </w:rPr>
      </w:pPr>
      <w:r>
        <w:rPr>
          <w:rFonts w:hint="eastAsia"/>
          <w:color w:val="auto"/>
          <w:lang w:val="en-US" w:eastAsia="zh-CN"/>
        </w:rPr>
        <w:t>5</w:t>
      </w:r>
      <w:r>
        <w:rPr>
          <w:color w:val="auto"/>
        </w:rPr>
        <w:t>—</w:t>
      </w:r>
      <w:r>
        <w:rPr>
          <w:rFonts w:hint="eastAsia" w:eastAsia="黑体" w:cs="Times New Roman"/>
          <w:color w:val="auto"/>
          <w:kern w:val="2"/>
          <w:sz w:val="21"/>
          <w:szCs w:val="21"/>
          <w:lang w:val="en-US" w:eastAsia="zh-CN" w:bidi="ar-SA"/>
        </w:rPr>
        <w:t>调平螺母</w:t>
      </w:r>
      <w:r>
        <w:rPr>
          <w:color w:val="auto"/>
        </w:rPr>
        <w:t>；</w:t>
      </w:r>
      <w:r>
        <w:rPr>
          <w:rFonts w:hint="eastAsia"/>
          <w:color w:val="auto"/>
          <w:lang w:val="en-US" w:eastAsia="zh-CN"/>
        </w:rPr>
        <w:t>6</w:t>
      </w:r>
      <w:r>
        <w:rPr>
          <w:color w:val="auto"/>
        </w:rPr>
        <w:t>—</w:t>
      </w:r>
      <w:r>
        <w:rPr>
          <w:rFonts w:hint="eastAsia"/>
          <w:lang w:val="en-US" w:eastAsia="zh-CN"/>
        </w:rPr>
        <w:t>连接段</w:t>
      </w:r>
      <w:r>
        <w:rPr>
          <w:color w:val="auto"/>
        </w:rPr>
        <w:t>；</w:t>
      </w:r>
      <w:r>
        <w:rPr>
          <w:rFonts w:hint="eastAsia"/>
          <w:color w:val="auto"/>
          <w:lang w:val="en-US" w:eastAsia="zh-CN"/>
        </w:rPr>
        <w:t>7</w:t>
      </w:r>
      <w:r>
        <w:rPr>
          <w:color w:val="auto"/>
        </w:rPr>
        <w:t>—</w:t>
      </w:r>
      <w:r>
        <w:rPr>
          <w:rFonts w:hint="eastAsia"/>
          <w:color w:val="auto"/>
          <w:lang w:val="en-US" w:eastAsia="zh-CN"/>
        </w:rPr>
        <w:t>下节柱</w:t>
      </w:r>
    </w:p>
    <w:p w14:paraId="7AC04891">
      <w:pPr>
        <w:pStyle w:val="45"/>
        <w:rPr>
          <w:rFonts w:hint="eastAsia"/>
          <w:color w:val="auto"/>
        </w:rPr>
      </w:pPr>
      <w:r>
        <w:rPr>
          <w:rFonts w:hint="eastAsia"/>
          <w:color w:val="auto"/>
        </w:rPr>
        <w:t>图</w:t>
      </w:r>
      <w:r>
        <w:rPr>
          <w:rFonts w:hint="eastAsia"/>
          <w:color w:val="auto"/>
          <w:lang w:val="en-US" w:eastAsia="zh-CN"/>
        </w:rPr>
        <w:t>6.2.4</w:t>
      </w:r>
      <w:r>
        <w:rPr>
          <w:color w:val="auto"/>
        </w:rPr>
        <w:t xml:space="preserve"> </w:t>
      </w:r>
      <w:r>
        <w:rPr>
          <w:rFonts w:hint="eastAsia"/>
          <w:color w:val="auto"/>
        </w:rPr>
        <w:t xml:space="preserve"> </w:t>
      </w:r>
      <w:r>
        <w:rPr>
          <w:rFonts w:hint="eastAsia"/>
          <w:color w:val="auto"/>
          <w:lang w:val="en-US" w:eastAsia="zh-CN"/>
        </w:rPr>
        <w:t>钢组件螺栓连接构造</w:t>
      </w:r>
      <w:r>
        <w:rPr>
          <w:rFonts w:hint="eastAsia"/>
          <w:color w:val="auto"/>
        </w:rPr>
        <w:t>示意</w:t>
      </w:r>
    </w:p>
    <w:p w14:paraId="51365BBB">
      <w:pPr>
        <w:pStyle w:val="43"/>
        <w:numPr>
          <w:ilvl w:val="3"/>
          <w:numId w:val="0"/>
        </w:numPr>
        <w:bidi w:val="0"/>
        <w:rPr>
          <w:rFonts w:hint="eastAsia" w:ascii="Times New Roman" w:hAnsi="Times New Roman" w:eastAsia="宋体" w:cs="Times New Roman"/>
          <w:lang w:eastAsia="zh-CN"/>
        </w:rPr>
      </w:pPr>
    </w:p>
    <w:p w14:paraId="2F70D766">
      <w:pPr>
        <w:pStyle w:val="42"/>
      </w:pPr>
      <w:r>
        <w:rPr>
          <w:rFonts w:hint="eastAsia"/>
          <w:color w:val="auto"/>
          <w:lang w:val="en-US" w:eastAsia="zh-CN"/>
        </w:rPr>
        <w:t>预制</w:t>
      </w:r>
      <w:r>
        <w:rPr>
          <w:rFonts w:hint="eastAsia"/>
          <w:color w:val="auto"/>
        </w:rPr>
        <w:t>柱</w:t>
      </w:r>
      <w:r>
        <w:rPr>
          <w:rFonts w:hint="eastAsia"/>
          <w:lang w:eastAsia="zh-CN"/>
        </w:rPr>
        <w:t>连接</w:t>
      </w:r>
      <w:r>
        <w:rPr>
          <w:rFonts w:hint="eastAsia"/>
        </w:rPr>
        <w:t>接缝截面受弯承载力应符合下列规定</w:t>
      </w:r>
      <w:r>
        <w:rPr>
          <w:rFonts w:hint="eastAsia"/>
          <w:lang w:val="en-US" w:eastAsia="zh-CN"/>
        </w:rPr>
        <w:t>：</w:t>
      </w:r>
    </w:p>
    <w:p w14:paraId="4CF40ACA">
      <w:pPr>
        <w:pStyle w:val="43"/>
        <w:bidi w:val="0"/>
        <w:rPr>
          <w:rFonts w:hint="eastAsia"/>
        </w:rPr>
      </w:pPr>
      <w:r>
        <w:rPr>
          <w:rFonts w:hint="eastAsia"/>
          <w:lang w:eastAsia="zh-CN"/>
        </w:rPr>
        <w:t>短暂、持久设计状况下：</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3"/>
        <w:gridCol w:w="5437"/>
        <w:gridCol w:w="1426"/>
      </w:tblGrid>
      <w:tr w14:paraId="3E49F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vAlign w:val="center"/>
          </w:tcPr>
          <w:p w14:paraId="140F16B3">
            <w:pPr>
              <w:pStyle w:val="43"/>
              <w:numPr>
                <w:ilvl w:val="3"/>
                <w:numId w:val="0"/>
              </w:numPr>
              <w:jc w:val="center"/>
              <w:rPr>
                <w:color w:val="auto"/>
              </w:rPr>
            </w:pPr>
          </w:p>
        </w:tc>
        <w:tc>
          <w:tcPr>
            <w:tcW w:w="3192" w:type="pct"/>
            <w:vAlign w:val="center"/>
          </w:tcPr>
          <w:p w14:paraId="1FB1F6E9">
            <w:pPr>
              <w:pStyle w:val="43"/>
              <w:numPr>
                <w:ilvl w:val="3"/>
                <w:numId w:val="0"/>
              </w:numPr>
              <w:jc w:val="center"/>
              <w:rPr>
                <w:color w:val="auto"/>
              </w:rPr>
            </w:pPr>
            <w:r>
              <w:rPr>
                <w:color w:val="auto"/>
                <w:position w:val="-12"/>
              </w:rPr>
              <w:object>
                <v:shape id="_x0000_i1141" o:spt="75" type="#_x0000_t75" style="height:20pt;width:52pt;" o:ole="t" filled="f" o:preferrelative="t" stroked="f" coordsize="21600,21600">
                  <v:path/>
                  <v:fill on="f" focussize="0,0"/>
                  <v:stroke on="f"/>
                  <v:imagedata r:id="rId298" o:title=""/>
                  <o:lock v:ext="edit" aspectratio="f"/>
                  <w10:wrap type="none"/>
                  <w10:anchorlock/>
                </v:shape>
                <o:OLEObject Type="Embed" ProgID="Equation.DSMT4" ShapeID="_x0000_i1141" DrawAspect="Content" ObjectID="_1468075841" r:id="rId297">
                  <o:LockedField>false</o:LockedField>
                </o:OLEObject>
              </w:object>
            </w:r>
          </w:p>
        </w:tc>
        <w:tc>
          <w:tcPr>
            <w:tcW w:w="837" w:type="pct"/>
            <w:vAlign w:val="center"/>
          </w:tcPr>
          <w:p w14:paraId="295DC3B2">
            <w:pPr>
              <w:pStyle w:val="43"/>
              <w:numPr>
                <w:ilvl w:val="3"/>
                <w:numId w:val="0"/>
              </w:numPr>
              <w:jc w:val="right"/>
              <w:rPr>
                <w:color w:val="auto"/>
              </w:rPr>
            </w:pPr>
            <w:r>
              <w:rPr>
                <w:rFonts w:hint="eastAsia"/>
                <w:color w:val="auto"/>
              </w:rPr>
              <w:t>（</w:t>
            </w:r>
            <w:r>
              <w:rPr>
                <w:rFonts w:hint="eastAsia"/>
                <w:color w:val="auto"/>
                <w:lang w:val="en-US" w:eastAsia="zh-CN"/>
              </w:rPr>
              <w:t>6.2.5-1</w:t>
            </w:r>
            <w:r>
              <w:rPr>
                <w:rFonts w:hint="eastAsia"/>
                <w:color w:val="auto"/>
              </w:rPr>
              <w:t>）</w:t>
            </w:r>
          </w:p>
        </w:tc>
      </w:tr>
    </w:tbl>
    <w:p w14:paraId="0507FDF7">
      <w:pPr>
        <w:pStyle w:val="43"/>
        <w:bidi w:val="0"/>
        <w:rPr>
          <w:rFonts w:hint="eastAsia"/>
        </w:rPr>
      </w:pPr>
      <w:r>
        <w:rPr>
          <w:rFonts w:hint="eastAsia"/>
          <w:lang w:eastAsia="zh-CN"/>
        </w:rPr>
        <w:t>地震设计状况下：</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3"/>
        <w:gridCol w:w="5437"/>
        <w:gridCol w:w="1426"/>
      </w:tblGrid>
      <w:tr w14:paraId="6775D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vAlign w:val="center"/>
          </w:tcPr>
          <w:p w14:paraId="3D9E8BFF">
            <w:pPr>
              <w:pStyle w:val="43"/>
              <w:numPr>
                <w:ilvl w:val="3"/>
                <w:numId w:val="0"/>
              </w:numPr>
              <w:jc w:val="center"/>
              <w:rPr>
                <w:color w:val="auto"/>
              </w:rPr>
            </w:pPr>
          </w:p>
        </w:tc>
        <w:tc>
          <w:tcPr>
            <w:tcW w:w="3192" w:type="pct"/>
            <w:vAlign w:val="center"/>
          </w:tcPr>
          <w:p w14:paraId="0E013235">
            <w:pPr>
              <w:pStyle w:val="43"/>
              <w:numPr>
                <w:ilvl w:val="3"/>
                <w:numId w:val="0"/>
              </w:numPr>
              <w:jc w:val="center"/>
              <w:rPr>
                <w:color w:val="auto"/>
              </w:rPr>
            </w:pPr>
            <w:r>
              <w:rPr>
                <w:color w:val="auto"/>
                <w:position w:val="-12"/>
              </w:rPr>
              <w:object>
                <v:shape id="_x0000_i1142" o:spt="75" type="#_x0000_t75" style="height:20pt;width:83pt;" o:ole="t" filled="f" o:preferrelative="t" stroked="f" coordsize="21600,21600">
                  <v:path/>
                  <v:fill on="f" focussize="0,0"/>
                  <v:stroke on="f"/>
                  <v:imagedata r:id="rId300" o:title=""/>
                  <o:lock v:ext="edit" aspectratio="f"/>
                  <w10:wrap type="none"/>
                  <w10:anchorlock/>
                </v:shape>
                <o:OLEObject Type="Embed" ProgID="Equation.DSMT4" ShapeID="_x0000_i1142" DrawAspect="Content" ObjectID="_1468075842" r:id="rId299">
                  <o:LockedField>false</o:LockedField>
                </o:OLEObject>
              </w:object>
            </w:r>
          </w:p>
        </w:tc>
        <w:tc>
          <w:tcPr>
            <w:tcW w:w="837" w:type="pct"/>
            <w:vAlign w:val="center"/>
          </w:tcPr>
          <w:p w14:paraId="2494E2CF">
            <w:pPr>
              <w:pStyle w:val="43"/>
              <w:numPr>
                <w:ilvl w:val="3"/>
                <w:numId w:val="0"/>
              </w:numPr>
              <w:jc w:val="right"/>
              <w:rPr>
                <w:color w:val="auto"/>
              </w:rPr>
            </w:pPr>
            <w:r>
              <w:rPr>
                <w:rFonts w:hint="eastAsia"/>
                <w:color w:val="auto"/>
              </w:rPr>
              <w:t>（</w:t>
            </w:r>
            <w:r>
              <w:rPr>
                <w:rFonts w:hint="eastAsia"/>
                <w:color w:val="auto"/>
                <w:lang w:val="en-US" w:eastAsia="zh-CN"/>
              </w:rPr>
              <w:t>6.2.5-2</w:t>
            </w:r>
            <w:r>
              <w:rPr>
                <w:rFonts w:hint="eastAsia"/>
                <w:color w:val="auto"/>
              </w:rPr>
              <w:t>）</w:t>
            </w:r>
          </w:p>
        </w:tc>
      </w:tr>
    </w:tbl>
    <w:tbl>
      <w:tblPr>
        <w:tblStyle w:val="30"/>
        <w:tblW w:w="5000" w:type="pct"/>
        <w:tblInd w:w="0" w:type="dxa"/>
        <w:tblLayout w:type="fixed"/>
        <w:tblCellMar>
          <w:top w:w="0" w:type="dxa"/>
          <w:left w:w="108" w:type="dxa"/>
          <w:bottom w:w="0" w:type="dxa"/>
          <w:right w:w="108" w:type="dxa"/>
        </w:tblCellMar>
      </w:tblPr>
      <w:tblGrid>
        <w:gridCol w:w="870"/>
        <w:gridCol w:w="637"/>
        <w:gridCol w:w="777"/>
        <w:gridCol w:w="6232"/>
      </w:tblGrid>
      <w:tr w14:paraId="28B2D021">
        <w:tblPrEx>
          <w:tblCellMar>
            <w:top w:w="0" w:type="dxa"/>
            <w:left w:w="108" w:type="dxa"/>
            <w:bottom w:w="0" w:type="dxa"/>
            <w:right w:w="108" w:type="dxa"/>
          </w:tblCellMar>
        </w:tblPrEx>
        <w:trPr>
          <w:trHeight w:val="397" w:hRule="atLeast"/>
        </w:trPr>
        <w:tc>
          <w:tcPr>
            <w:tcW w:w="510" w:type="pct"/>
            <w:noWrap w:val="0"/>
            <w:vAlign w:val="center"/>
          </w:tcPr>
          <w:p w14:paraId="7C43E017">
            <w:pPr>
              <w:pStyle w:val="107"/>
            </w:pPr>
          </w:p>
        </w:tc>
        <w:tc>
          <w:tcPr>
            <w:tcW w:w="374" w:type="pct"/>
            <w:noWrap w:val="0"/>
            <w:vAlign w:val="top"/>
          </w:tcPr>
          <w:p w14:paraId="38E4BDA2">
            <w:pPr>
              <w:pStyle w:val="107"/>
              <w:jc w:val="right"/>
              <w:rPr>
                <w:i/>
                <w:szCs w:val="21"/>
              </w:rPr>
            </w:pPr>
            <w:r>
              <w:rPr>
                <w:color w:val="000000"/>
                <w:position w:val="-12"/>
              </w:rPr>
              <w:object>
                <v:shape id="_x0000_i1143" o:spt="75" type="#_x0000_t75" style="height:20pt;width:20pt;" o:ole="t" filled="f" o:preferrelative="t" stroked="f" coordsize="21600,21600">
                  <v:path/>
                  <v:fill on="f" focussize="0,0"/>
                  <v:stroke on="f"/>
                  <v:imagedata r:id="rId302" o:title=""/>
                  <o:lock v:ext="edit" aspectratio="f"/>
                  <w10:wrap type="none"/>
                  <w10:anchorlock/>
                </v:shape>
                <o:OLEObject Type="Embed" ProgID="Equation.DSMT4" ShapeID="_x0000_i1143" DrawAspect="Content" ObjectID="_1468075843" r:id="rId301">
                  <o:LockedField>false</o:LockedField>
                </o:OLEObject>
              </w:object>
            </w:r>
          </w:p>
        </w:tc>
        <w:tc>
          <w:tcPr>
            <w:tcW w:w="456" w:type="pct"/>
            <w:noWrap w:val="0"/>
            <w:vAlign w:val="top"/>
          </w:tcPr>
          <w:p w14:paraId="7356CDCB">
            <w:pPr>
              <w:pStyle w:val="107"/>
              <w:ind w:left="-120" w:leftChars="-50" w:right="-120" w:rightChars="-50"/>
              <w:jc w:val="center"/>
            </w:pPr>
            <w:r>
              <w:t>——</w:t>
            </w:r>
          </w:p>
        </w:tc>
        <w:tc>
          <w:tcPr>
            <w:tcW w:w="3658" w:type="pct"/>
            <w:noWrap w:val="0"/>
            <w:vAlign w:val="center"/>
          </w:tcPr>
          <w:p w14:paraId="2C3820E3">
            <w:pPr>
              <w:ind w:firstLine="0" w:firstLineChars="0"/>
              <w:rPr>
                <w:rFonts w:hint="eastAsia" w:ascii="Times New Roman" w:hAnsi="Times New Roman" w:cs="Times New Roman" w:eastAsiaTheme="minorEastAsia"/>
                <w:color w:val="auto"/>
              </w:rPr>
            </w:pPr>
            <w:r>
              <w:rPr>
                <w:rFonts w:hint="eastAsia"/>
                <w:lang w:eastAsia="zh-CN"/>
              </w:rPr>
              <w:t>短暂、持久设计状况下</w:t>
            </w:r>
            <w:r>
              <w:rPr>
                <w:rFonts w:hint="eastAsia"/>
                <w:lang w:val="en-US" w:eastAsia="zh-CN"/>
              </w:rPr>
              <w:t>上、下节柱</w:t>
            </w:r>
            <w:r>
              <w:rPr>
                <w:rFonts w:hint="eastAsia" w:ascii="Times New Roman" w:hAnsi="Times New Roman" w:cs="Times New Roman" w:eastAsiaTheme="minorEastAsia"/>
                <w:color w:val="auto"/>
                <w:lang w:eastAsia="zh-CN"/>
              </w:rPr>
              <w:t>连接接缝截面弯矩设计值</w:t>
            </w:r>
            <w:r>
              <w:rPr>
                <w:rFonts w:hint="eastAsia" w:eastAsiaTheme="minorEastAsia"/>
                <w:color w:val="auto"/>
              </w:rPr>
              <w:t>（N·mm）</w:t>
            </w:r>
            <w:r>
              <w:rPr>
                <w:rFonts w:hint="eastAsia" w:ascii="Times New Roman" w:hAnsi="Times New Roman" w:cs="Times New Roman" w:eastAsiaTheme="minorEastAsia"/>
                <w:color w:val="auto"/>
              </w:rPr>
              <w:t>；</w:t>
            </w:r>
          </w:p>
        </w:tc>
      </w:tr>
      <w:tr w14:paraId="044E40D3">
        <w:tblPrEx>
          <w:tblCellMar>
            <w:top w:w="0" w:type="dxa"/>
            <w:left w:w="108" w:type="dxa"/>
            <w:bottom w:w="0" w:type="dxa"/>
            <w:right w:w="108" w:type="dxa"/>
          </w:tblCellMar>
        </w:tblPrEx>
        <w:trPr>
          <w:trHeight w:val="397" w:hRule="atLeast"/>
        </w:trPr>
        <w:tc>
          <w:tcPr>
            <w:tcW w:w="510" w:type="pct"/>
            <w:noWrap w:val="0"/>
            <w:vAlign w:val="center"/>
          </w:tcPr>
          <w:p w14:paraId="00E9D1A0">
            <w:pPr>
              <w:pStyle w:val="107"/>
            </w:pPr>
          </w:p>
        </w:tc>
        <w:tc>
          <w:tcPr>
            <w:tcW w:w="637" w:type="dxa"/>
            <w:noWrap w:val="0"/>
            <w:vAlign w:val="top"/>
          </w:tcPr>
          <w:p w14:paraId="2717428A">
            <w:pPr>
              <w:pStyle w:val="107"/>
              <w:ind w:firstLine="0" w:firstLineChars="0"/>
              <w:jc w:val="right"/>
              <w:rPr>
                <w:color w:val="000000"/>
                <w:position w:val="-12"/>
              </w:rPr>
            </w:pPr>
            <w:r>
              <w:rPr>
                <w:color w:val="000000"/>
                <w:position w:val="-12"/>
              </w:rPr>
              <w:object>
                <v:shape id="_x0000_i1144" o:spt="75" type="#_x0000_t75" style="height:20pt;width:24.95pt;" o:ole="t" filled="f" o:preferrelative="t" stroked="f" coordsize="21600,21600">
                  <v:path/>
                  <v:fill on="f" focussize="0,0"/>
                  <v:stroke on="f"/>
                  <v:imagedata r:id="rId304" o:title=""/>
                  <o:lock v:ext="edit" aspectratio="f"/>
                  <w10:wrap type="none"/>
                  <w10:anchorlock/>
                </v:shape>
                <o:OLEObject Type="Embed" ProgID="Equation.DSMT4" ShapeID="_x0000_i1144" DrawAspect="Content" ObjectID="_1468075844" r:id="rId303">
                  <o:LockedField>false</o:LockedField>
                </o:OLEObject>
              </w:object>
            </w:r>
          </w:p>
        </w:tc>
        <w:tc>
          <w:tcPr>
            <w:tcW w:w="777" w:type="dxa"/>
            <w:noWrap w:val="0"/>
            <w:vAlign w:val="top"/>
          </w:tcPr>
          <w:p w14:paraId="672A41AF">
            <w:pPr>
              <w:pStyle w:val="107"/>
              <w:ind w:left="-120" w:leftChars="-50" w:right="-120" w:rightChars="-50" w:firstLine="0" w:firstLineChars="0"/>
              <w:jc w:val="center"/>
            </w:pPr>
            <w:r>
              <w:t>——</w:t>
            </w:r>
          </w:p>
        </w:tc>
        <w:tc>
          <w:tcPr>
            <w:tcW w:w="3658" w:type="pct"/>
            <w:noWrap w:val="0"/>
            <w:vAlign w:val="center"/>
          </w:tcPr>
          <w:p w14:paraId="2C8CB950">
            <w:pPr>
              <w:ind w:firstLine="0" w:firstLineChars="0"/>
              <w:rPr>
                <w:rFonts w:hint="eastAsia"/>
                <w:lang w:eastAsia="zh-CN"/>
              </w:rPr>
            </w:pPr>
            <w:r>
              <w:rPr>
                <w:rFonts w:hint="eastAsia"/>
                <w:lang w:eastAsia="zh-CN"/>
              </w:rPr>
              <w:t>地震设计状况</w:t>
            </w:r>
            <w:r>
              <w:rPr>
                <w:rFonts w:hint="eastAsia"/>
                <w:lang w:val="en-US" w:eastAsia="zh-CN"/>
              </w:rPr>
              <w:t>下上、下节柱</w:t>
            </w:r>
            <w:r>
              <w:rPr>
                <w:rFonts w:hint="eastAsia" w:ascii="Times New Roman" w:hAnsi="Times New Roman" w:cs="Times New Roman" w:eastAsiaTheme="minorEastAsia"/>
                <w:color w:val="auto"/>
                <w:lang w:eastAsia="zh-CN"/>
              </w:rPr>
              <w:t>连接接缝截面弯矩设计值</w:t>
            </w:r>
            <w:r>
              <w:rPr>
                <w:rFonts w:hint="eastAsia" w:eastAsiaTheme="minorEastAsia"/>
                <w:color w:val="auto"/>
              </w:rPr>
              <w:t>（N·mm）</w:t>
            </w:r>
            <w:r>
              <w:rPr>
                <w:rFonts w:hint="eastAsia" w:ascii="Times New Roman" w:hAnsi="Times New Roman" w:cs="Times New Roman" w:eastAsiaTheme="minorEastAsia"/>
                <w:color w:val="auto"/>
              </w:rPr>
              <w:t>；</w:t>
            </w:r>
          </w:p>
        </w:tc>
      </w:tr>
      <w:tr w14:paraId="7AE0698B">
        <w:tblPrEx>
          <w:tblCellMar>
            <w:top w:w="0" w:type="dxa"/>
            <w:left w:w="108" w:type="dxa"/>
            <w:bottom w:w="0" w:type="dxa"/>
            <w:right w:w="108" w:type="dxa"/>
          </w:tblCellMar>
        </w:tblPrEx>
        <w:trPr>
          <w:trHeight w:val="397" w:hRule="atLeast"/>
        </w:trPr>
        <w:tc>
          <w:tcPr>
            <w:tcW w:w="510" w:type="pct"/>
            <w:noWrap w:val="0"/>
            <w:vAlign w:val="center"/>
          </w:tcPr>
          <w:p w14:paraId="058C7F44">
            <w:pPr>
              <w:pStyle w:val="107"/>
            </w:pPr>
          </w:p>
        </w:tc>
        <w:tc>
          <w:tcPr>
            <w:tcW w:w="374" w:type="pct"/>
            <w:noWrap w:val="0"/>
            <w:vAlign w:val="top"/>
          </w:tcPr>
          <w:p w14:paraId="6E850447">
            <w:pPr>
              <w:pStyle w:val="107"/>
              <w:ind w:firstLine="0" w:firstLineChars="0"/>
              <w:jc w:val="right"/>
              <w:rPr>
                <w:rFonts w:ascii="Times New Roman" w:hAnsi="Times New Roman" w:eastAsia="宋体" w:cs="Times New Roman"/>
                <w:bCs/>
                <w:i/>
                <w:kern w:val="2"/>
                <w:sz w:val="24"/>
                <w:szCs w:val="21"/>
                <w:lang w:val="en-US" w:eastAsia="zh-CN" w:bidi="ar-SA"/>
              </w:rPr>
            </w:pPr>
            <w:r>
              <w:rPr>
                <w:color w:val="000000"/>
                <w:position w:val="-12"/>
              </w:rPr>
              <w:object>
                <v:shape id="_x0000_i1145" o:spt="75" type="#_x0000_t75" style="height:20pt;width:24pt;" o:ole="t" filled="f" o:preferrelative="t" stroked="f" coordsize="21600,21600">
                  <v:path/>
                  <v:fill on="f" focussize="0,0"/>
                  <v:stroke on="f"/>
                  <v:imagedata r:id="rId306" o:title=""/>
                  <o:lock v:ext="edit" aspectratio="f"/>
                  <w10:wrap type="none"/>
                  <w10:anchorlock/>
                </v:shape>
                <o:OLEObject Type="Embed" ProgID="Equation.DSMT4" ShapeID="_x0000_i1145" DrawAspect="Content" ObjectID="_1468075845" r:id="rId305">
                  <o:LockedField>false</o:LockedField>
                </o:OLEObject>
              </w:object>
            </w:r>
          </w:p>
        </w:tc>
        <w:tc>
          <w:tcPr>
            <w:tcW w:w="456" w:type="pct"/>
            <w:noWrap w:val="0"/>
            <w:vAlign w:val="top"/>
          </w:tcPr>
          <w:p w14:paraId="64A9FFCE">
            <w:pPr>
              <w:pStyle w:val="107"/>
              <w:ind w:left="-120" w:leftChars="-50" w:right="-120" w:rightChars="-50" w:firstLine="0" w:firstLineChars="0"/>
              <w:jc w:val="center"/>
              <w:rPr>
                <w:rFonts w:ascii="Times New Roman" w:hAnsi="Times New Roman" w:eastAsia="宋体" w:cs="Times New Roman"/>
                <w:bCs/>
                <w:kern w:val="2"/>
                <w:sz w:val="24"/>
                <w:lang w:val="en-US" w:eastAsia="zh-CN" w:bidi="ar-SA"/>
              </w:rPr>
            </w:pPr>
            <w:r>
              <w:t>——</w:t>
            </w:r>
          </w:p>
        </w:tc>
        <w:tc>
          <w:tcPr>
            <w:tcW w:w="3658" w:type="pct"/>
            <w:noWrap w:val="0"/>
            <w:vAlign w:val="center"/>
          </w:tcPr>
          <w:p w14:paraId="077ED31D">
            <w:pPr>
              <w:ind w:firstLine="0" w:firstLineChars="0"/>
              <w:rPr>
                <w:rFonts w:hint="default" w:ascii="Times New Roman" w:hAnsi="Times New Roman" w:cs="Times New Roman" w:eastAsiaTheme="minorEastAsia"/>
                <w:color w:val="auto"/>
                <w:kern w:val="2"/>
                <w:sz w:val="24"/>
                <w:lang w:val="en-US" w:eastAsia="zh-CN" w:bidi="ar-SA"/>
              </w:rPr>
            </w:pPr>
            <w:r>
              <w:rPr>
                <w:rFonts w:hint="eastAsia"/>
                <w:lang w:val="en-US" w:eastAsia="zh-CN"/>
              </w:rPr>
              <w:t>上、下节柱</w:t>
            </w:r>
            <w:r>
              <w:rPr>
                <w:rFonts w:hint="eastAsia"/>
                <w:lang w:eastAsia="zh-CN"/>
              </w:rPr>
              <w:t>连接</w:t>
            </w:r>
            <w:r>
              <w:rPr>
                <w:rFonts w:hint="eastAsia" w:ascii="Times New Roman" w:hAnsi="Times New Roman" w:cs="Times New Roman" w:eastAsiaTheme="minorEastAsia"/>
                <w:color w:val="auto"/>
                <w:lang w:eastAsia="zh-CN"/>
              </w:rPr>
              <w:t>接缝截面的受弯承载力设计值</w:t>
            </w:r>
            <w:r>
              <w:rPr>
                <w:rFonts w:hint="eastAsia" w:eastAsiaTheme="minorEastAsia"/>
                <w:color w:val="auto"/>
              </w:rPr>
              <w:t>（N·mm）</w:t>
            </w:r>
            <w:r>
              <w:rPr>
                <w:rFonts w:hint="eastAsia" w:cs="Times New Roman" w:eastAsiaTheme="minorEastAsia"/>
                <w:color w:val="auto"/>
                <w:lang w:eastAsia="zh-CN"/>
              </w:rPr>
              <w:t>；</w:t>
            </w:r>
            <w:r>
              <w:rPr>
                <w:rFonts w:hint="eastAsia" w:ascii="Times New Roman" w:hAnsi="Times New Roman" w:cs="Times New Roman" w:eastAsiaTheme="minorEastAsia"/>
                <w:color w:val="auto"/>
                <w:lang w:eastAsia="zh-CN"/>
              </w:rPr>
              <w:t>在短暂</w:t>
            </w:r>
            <w:r>
              <w:rPr>
                <w:rFonts w:hint="eastAsia"/>
                <w:highlight w:val="none"/>
                <w:lang w:val="en-US" w:eastAsia="zh-CN"/>
              </w:rPr>
              <w:t>设计状况下，</w:t>
            </w:r>
            <w:r>
              <w:rPr>
                <w:rFonts w:hint="default"/>
                <w:highlight w:val="none"/>
                <w:lang w:val="en-US" w:eastAsia="zh-CN"/>
              </w:rPr>
              <w:t>当</w:t>
            </w:r>
            <w:r>
              <w:rPr>
                <w:rFonts w:hint="eastAsia"/>
                <w:highlight w:val="none"/>
              </w:rPr>
              <w:t>未灌浆</w:t>
            </w:r>
            <w:r>
              <w:rPr>
                <w:rFonts w:hint="eastAsia"/>
                <w:highlight w:val="none"/>
                <w:lang w:val="en-US" w:eastAsia="zh-CN"/>
              </w:rPr>
              <w:t>或灌浆料未达到设计强度时，根据连接杆的拉、压力平衡来计算；在</w:t>
            </w:r>
            <w:r>
              <w:rPr>
                <w:rFonts w:hint="eastAsia"/>
                <w:lang w:eastAsia="zh-CN"/>
              </w:rPr>
              <w:t>持久、</w:t>
            </w:r>
            <w:r>
              <w:rPr>
                <w:rFonts w:hint="eastAsia"/>
                <w:lang w:val="en-US" w:eastAsia="zh-CN"/>
              </w:rPr>
              <w:t>地震</w:t>
            </w:r>
            <w:r>
              <w:rPr>
                <w:rFonts w:hint="eastAsia"/>
                <w:lang w:eastAsia="zh-CN"/>
              </w:rPr>
              <w:t>设计状况下，可</w:t>
            </w:r>
            <w:r>
              <w:rPr>
                <w:rFonts w:hint="eastAsia"/>
                <w:lang w:val="en-US" w:eastAsia="zh-CN"/>
              </w:rPr>
              <w:t>将</w:t>
            </w:r>
            <w:r>
              <w:rPr>
                <w:rFonts w:hint="eastAsia"/>
                <w:highlight w:val="none"/>
                <w:lang w:val="en-US" w:eastAsia="zh-CN"/>
              </w:rPr>
              <w:t>连接杆</w:t>
            </w:r>
            <w:r>
              <w:rPr>
                <w:rFonts w:hint="eastAsia"/>
                <w:lang w:val="en-US" w:eastAsia="zh-CN"/>
              </w:rPr>
              <w:t>视为钢筋，</w:t>
            </w:r>
            <w:r>
              <w:rPr>
                <w:rFonts w:hint="eastAsia"/>
                <w:lang w:eastAsia="zh-CN"/>
              </w:rPr>
              <w:t>按照现行国家标准《混凝土结构设计标准》GB/T 50010</w:t>
            </w:r>
            <w:r>
              <w:rPr>
                <w:rFonts w:hint="eastAsia"/>
                <w:lang w:val="en-US" w:eastAsia="zh-CN"/>
              </w:rPr>
              <w:t>的有关规定计算</w:t>
            </w:r>
            <w:r>
              <w:rPr>
                <w:rFonts w:hint="eastAsia"/>
                <w:lang w:eastAsia="zh-CN"/>
              </w:rPr>
              <w:t>，</w:t>
            </w:r>
            <w:r>
              <w:rPr>
                <w:rFonts w:hint="eastAsia"/>
                <w:lang w:val="en-US" w:eastAsia="zh-CN"/>
              </w:rPr>
              <w:t>其中</w:t>
            </w:r>
            <w:r>
              <w:rPr>
                <w:rFonts w:hint="eastAsia"/>
                <w:lang w:eastAsia="zh-CN"/>
              </w:rPr>
              <w:t>混凝土强度</w:t>
            </w:r>
            <w:r>
              <w:rPr>
                <w:rFonts w:hint="eastAsia"/>
                <w:lang w:val="en-US" w:eastAsia="zh-CN"/>
              </w:rPr>
              <w:t>按</w:t>
            </w:r>
            <w:r>
              <w:rPr>
                <w:rFonts w:hint="eastAsia"/>
              </w:rPr>
              <w:t>预制</w:t>
            </w:r>
            <w:r>
              <w:rPr>
                <w:rFonts w:hint="eastAsia"/>
                <w:lang w:val="en-US" w:eastAsia="zh-CN"/>
              </w:rPr>
              <w:t>柱</w:t>
            </w:r>
            <w:r>
              <w:rPr>
                <w:rFonts w:hint="eastAsia"/>
              </w:rPr>
              <w:t>混凝土</w:t>
            </w:r>
            <w:r>
              <w:rPr>
                <w:rFonts w:hint="eastAsia"/>
                <w:lang w:eastAsia="zh-CN"/>
              </w:rPr>
              <w:t>强度进行取值。</w:t>
            </w:r>
          </w:p>
        </w:tc>
      </w:tr>
    </w:tbl>
    <w:p w14:paraId="6673EFE5">
      <w:pPr>
        <w:bidi w:val="0"/>
      </w:pPr>
    </w:p>
    <w:p w14:paraId="290BD9CD">
      <w:pPr>
        <w:pStyle w:val="42"/>
      </w:pPr>
      <w:r>
        <w:rPr>
          <w:rFonts w:hint="eastAsia"/>
          <w:lang w:val="en-US" w:eastAsia="zh-CN"/>
        </w:rPr>
        <w:t>柱端水平接缝的剪力可由接缝间的摩擦力来承担，当摩擦力不足时，可在接缝位置设置钢抗剪键或混凝土键槽。柱端水平接缝的受剪承载力应符合下列规定：</w:t>
      </w:r>
    </w:p>
    <w:p w14:paraId="40CBCFAE">
      <w:pPr>
        <w:pStyle w:val="43"/>
        <w:bidi w:val="0"/>
        <w:rPr>
          <w:rFonts w:hint="eastAsia"/>
        </w:rPr>
      </w:pPr>
      <w:r>
        <w:rPr>
          <w:rFonts w:hint="eastAsia"/>
          <w:lang w:eastAsia="zh-CN"/>
        </w:rPr>
        <w:t>短暂、持久设计状况下：</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3"/>
        <w:gridCol w:w="5437"/>
        <w:gridCol w:w="1426"/>
      </w:tblGrid>
      <w:tr w14:paraId="6473A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vAlign w:val="center"/>
          </w:tcPr>
          <w:p w14:paraId="127A5A8E">
            <w:pPr>
              <w:pStyle w:val="43"/>
              <w:numPr>
                <w:ilvl w:val="3"/>
                <w:numId w:val="0"/>
              </w:numPr>
              <w:jc w:val="center"/>
              <w:rPr>
                <w:color w:val="auto"/>
              </w:rPr>
            </w:pPr>
          </w:p>
        </w:tc>
        <w:tc>
          <w:tcPr>
            <w:tcW w:w="3192" w:type="pct"/>
            <w:vAlign w:val="center"/>
          </w:tcPr>
          <w:p w14:paraId="219C61FD">
            <w:pPr>
              <w:pStyle w:val="43"/>
              <w:numPr>
                <w:ilvl w:val="3"/>
                <w:numId w:val="0"/>
              </w:numPr>
              <w:jc w:val="center"/>
              <w:rPr>
                <w:color w:val="auto"/>
              </w:rPr>
            </w:pPr>
            <w:r>
              <w:rPr>
                <w:color w:val="000000"/>
                <w:position w:val="-12"/>
              </w:rPr>
              <w:object>
                <v:shape id="_x0000_i1146" o:spt="75" type="#_x0000_t75" style="height:19.35pt;width:43.85pt;" o:ole="t" filled="f" o:preferrelative="t" stroked="f" coordsize="21600,21600">
                  <v:path/>
                  <v:fill on="f" focussize="0,0"/>
                  <v:stroke on="f"/>
                  <v:imagedata r:id="rId308" o:title=""/>
                  <o:lock v:ext="edit" aspectratio="t"/>
                  <w10:wrap type="none"/>
                  <w10:anchorlock/>
                </v:shape>
                <o:OLEObject Type="Embed" ProgID="Equation.DSMT4" ShapeID="_x0000_i1146" DrawAspect="Content" ObjectID="_1468075846" r:id="rId307">
                  <o:LockedField>false</o:LockedField>
                </o:OLEObject>
              </w:object>
            </w:r>
          </w:p>
        </w:tc>
        <w:tc>
          <w:tcPr>
            <w:tcW w:w="837" w:type="pct"/>
            <w:vAlign w:val="center"/>
          </w:tcPr>
          <w:p w14:paraId="213DDF9F">
            <w:pPr>
              <w:pStyle w:val="43"/>
              <w:numPr>
                <w:ilvl w:val="3"/>
                <w:numId w:val="0"/>
              </w:numPr>
              <w:jc w:val="right"/>
              <w:rPr>
                <w:color w:val="auto"/>
              </w:rPr>
            </w:pPr>
            <w:r>
              <w:rPr>
                <w:rFonts w:hint="eastAsia"/>
                <w:color w:val="auto"/>
              </w:rPr>
              <w:t>（</w:t>
            </w:r>
            <w:r>
              <w:rPr>
                <w:rFonts w:hint="eastAsia"/>
                <w:lang w:val="en-US" w:eastAsia="zh-CN"/>
              </w:rPr>
              <w:t>6.2.6</w:t>
            </w:r>
            <w:r>
              <w:rPr>
                <w:rFonts w:hint="eastAsia"/>
                <w:color w:val="auto"/>
                <w:lang w:val="en-US" w:eastAsia="zh-CN"/>
              </w:rPr>
              <w:t>-1</w:t>
            </w:r>
            <w:r>
              <w:rPr>
                <w:rFonts w:hint="eastAsia"/>
                <w:color w:val="auto"/>
              </w:rPr>
              <w:t>）</w:t>
            </w:r>
          </w:p>
        </w:tc>
      </w:tr>
    </w:tbl>
    <w:p w14:paraId="11CFEECB">
      <w:pPr>
        <w:pStyle w:val="43"/>
        <w:bidi w:val="0"/>
        <w:rPr>
          <w:rFonts w:hint="eastAsia"/>
        </w:rPr>
      </w:pPr>
      <w:r>
        <w:rPr>
          <w:rFonts w:hint="eastAsia"/>
          <w:lang w:eastAsia="zh-CN"/>
        </w:rPr>
        <w:t>地震设计状况下：</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5"/>
        <w:gridCol w:w="818"/>
        <w:gridCol w:w="150"/>
        <w:gridCol w:w="760"/>
        <w:gridCol w:w="4527"/>
        <w:gridCol w:w="1426"/>
      </w:tblGrid>
      <w:tr w14:paraId="266FC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gridSpan w:val="2"/>
            <w:vAlign w:val="center"/>
          </w:tcPr>
          <w:p w14:paraId="10044D8D">
            <w:pPr>
              <w:pStyle w:val="43"/>
              <w:numPr>
                <w:ilvl w:val="3"/>
                <w:numId w:val="0"/>
              </w:numPr>
              <w:jc w:val="center"/>
              <w:rPr>
                <w:color w:val="auto"/>
              </w:rPr>
            </w:pPr>
          </w:p>
        </w:tc>
        <w:tc>
          <w:tcPr>
            <w:tcW w:w="3192" w:type="pct"/>
            <w:gridSpan w:val="3"/>
            <w:vAlign w:val="center"/>
          </w:tcPr>
          <w:p w14:paraId="67EBCFDC">
            <w:pPr>
              <w:pStyle w:val="43"/>
              <w:numPr>
                <w:ilvl w:val="3"/>
                <w:numId w:val="0"/>
              </w:numPr>
              <w:jc w:val="center"/>
              <w:rPr>
                <w:color w:val="auto"/>
              </w:rPr>
            </w:pPr>
            <w:r>
              <w:rPr>
                <w:color w:val="auto"/>
                <w:position w:val="-12"/>
              </w:rPr>
              <w:object>
                <v:shape id="_x0000_i1147" o:spt="75" type="#_x0000_t75" style="height:20pt;width:77pt;" o:ole="t" filled="f" o:preferrelative="t" stroked="f" coordsize="21600,21600">
                  <v:path/>
                  <v:fill on="f" focussize="0,0"/>
                  <v:stroke on="f"/>
                  <v:imagedata r:id="rId310" o:title=""/>
                  <o:lock v:ext="edit" aspectratio="f"/>
                  <w10:wrap type="none"/>
                  <w10:anchorlock/>
                </v:shape>
                <o:OLEObject Type="Embed" ProgID="Equation.DSMT4" ShapeID="_x0000_i1147" DrawAspect="Content" ObjectID="_1468075847" r:id="rId309">
                  <o:LockedField>false</o:LockedField>
                </o:OLEObject>
              </w:object>
            </w:r>
          </w:p>
        </w:tc>
        <w:tc>
          <w:tcPr>
            <w:tcW w:w="837" w:type="pct"/>
            <w:vAlign w:val="center"/>
          </w:tcPr>
          <w:p w14:paraId="3E845A58">
            <w:pPr>
              <w:pStyle w:val="43"/>
              <w:numPr>
                <w:ilvl w:val="3"/>
                <w:numId w:val="0"/>
              </w:numPr>
              <w:jc w:val="right"/>
              <w:rPr>
                <w:color w:val="auto"/>
              </w:rPr>
            </w:pPr>
            <w:r>
              <w:rPr>
                <w:rFonts w:hint="eastAsia"/>
                <w:color w:val="auto"/>
              </w:rPr>
              <w:t>（</w:t>
            </w:r>
            <w:r>
              <w:rPr>
                <w:rFonts w:hint="eastAsia"/>
                <w:lang w:val="en-US" w:eastAsia="zh-CN"/>
              </w:rPr>
              <w:t>6.2.6</w:t>
            </w:r>
            <w:r>
              <w:rPr>
                <w:rFonts w:hint="eastAsia"/>
                <w:color w:val="auto"/>
                <w:lang w:val="en-US" w:eastAsia="zh-CN"/>
              </w:rPr>
              <w:t>-2</w:t>
            </w:r>
            <w:r>
              <w:rPr>
                <w:rFonts w:hint="eastAsia"/>
                <w:color w:val="auto"/>
              </w:rPr>
              <w:t>）</w:t>
            </w:r>
          </w:p>
        </w:tc>
      </w:tr>
      <w:tr w14:paraId="5807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gridSpan w:val="2"/>
            <w:vAlign w:val="center"/>
          </w:tcPr>
          <w:p w14:paraId="1F77D61A">
            <w:pPr>
              <w:pStyle w:val="43"/>
              <w:numPr>
                <w:ilvl w:val="3"/>
                <w:numId w:val="0"/>
              </w:numPr>
              <w:jc w:val="center"/>
              <w:rPr>
                <w:color w:val="auto"/>
              </w:rPr>
            </w:pPr>
          </w:p>
        </w:tc>
        <w:tc>
          <w:tcPr>
            <w:tcW w:w="3192" w:type="pct"/>
            <w:gridSpan w:val="3"/>
            <w:vAlign w:val="center"/>
          </w:tcPr>
          <w:p w14:paraId="0B2EDADF">
            <w:pPr>
              <w:pStyle w:val="43"/>
              <w:numPr>
                <w:ilvl w:val="3"/>
                <w:numId w:val="0"/>
              </w:numPr>
              <w:jc w:val="center"/>
              <w:rPr>
                <w:color w:val="auto"/>
                <w:position w:val="-12"/>
              </w:rPr>
            </w:pPr>
            <w:r>
              <w:rPr>
                <w:color w:val="auto"/>
                <w:position w:val="-12"/>
              </w:rPr>
              <w:object>
                <v:shape id="_x0000_i1148" o:spt="75" type="#_x0000_t75" style="height:20pt;width:83pt;" o:ole="t" filled="f" o:preferrelative="t" stroked="f" coordsize="21600,21600">
                  <v:path/>
                  <v:fill on="f" focussize="0,0"/>
                  <v:stroke on="f"/>
                  <v:imagedata r:id="rId312" o:title=""/>
                  <o:lock v:ext="edit" aspectratio="f"/>
                  <w10:wrap type="none"/>
                  <w10:anchorlock/>
                </v:shape>
                <o:OLEObject Type="Embed" ProgID="Equation.DSMT4" ShapeID="_x0000_i1148" DrawAspect="Content" ObjectID="_1468075848" r:id="rId311">
                  <o:LockedField>false</o:LockedField>
                </o:OLEObject>
              </w:object>
            </w:r>
          </w:p>
        </w:tc>
        <w:tc>
          <w:tcPr>
            <w:tcW w:w="837" w:type="pct"/>
            <w:vAlign w:val="center"/>
          </w:tcPr>
          <w:p w14:paraId="7B90715F">
            <w:pPr>
              <w:pStyle w:val="43"/>
              <w:numPr>
                <w:ilvl w:val="3"/>
                <w:numId w:val="0"/>
              </w:numPr>
              <w:jc w:val="right"/>
              <w:rPr>
                <w:rFonts w:hint="eastAsia"/>
                <w:color w:val="auto"/>
              </w:rPr>
            </w:pPr>
            <w:r>
              <w:rPr>
                <w:rFonts w:hint="eastAsia"/>
                <w:color w:val="auto"/>
              </w:rPr>
              <w:t>（</w:t>
            </w:r>
            <w:r>
              <w:rPr>
                <w:rFonts w:hint="eastAsia"/>
                <w:lang w:val="en-US" w:eastAsia="zh-CN"/>
              </w:rPr>
              <w:t>6.2.6</w:t>
            </w:r>
            <w:r>
              <w:rPr>
                <w:rFonts w:hint="eastAsia"/>
                <w:color w:val="auto"/>
                <w:lang w:val="en-US" w:eastAsia="zh-CN"/>
              </w:rPr>
              <w:t>-3</w:t>
            </w:r>
            <w:r>
              <w:rPr>
                <w:rFonts w:hint="eastAsia"/>
                <w:color w:val="auto"/>
              </w:rPr>
              <w:t>）</w:t>
            </w:r>
          </w:p>
        </w:tc>
      </w:tr>
      <w:tr w14:paraId="051D0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gridSpan w:val="2"/>
            <w:vAlign w:val="center"/>
          </w:tcPr>
          <w:p w14:paraId="3916948D">
            <w:pPr>
              <w:pStyle w:val="43"/>
              <w:numPr>
                <w:ilvl w:val="3"/>
                <w:numId w:val="0"/>
              </w:numPr>
              <w:ind w:left="0" w:leftChars="0" w:firstLine="0" w:firstLineChars="0"/>
              <w:jc w:val="both"/>
              <w:rPr>
                <w:rFonts w:hint="eastAsia" w:ascii="Times New Roman" w:hAnsi="Times New Roman" w:eastAsia="宋体" w:cs="Times New Roman"/>
                <w:color w:val="auto"/>
                <w:kern w:val="2"/>
                <w:sz w:val="24"/>
                <w:lang w:val="en-US" w:eastAsia="zh-CN" w:bidi="ar-SA"/>
              </w:rPr>
            </w:pPr>
            <w:r>
              <w:rPr>
                <w:rFonts w:hint="eastAsia"/>
                <w:color w:val="auto"/>
              </w:rPr>
              <w:t>钢</w:t>
            </w:r>
            <w:r>
              <w:rPr>
                <w:rFonts w:hint="eastAsia"/>
                <w:color w:val="auto"/>
                <w:lang w:eastAsia="zh-CN"/>
              </w:rPr>
              <w:t>抗剪键：</w:t>
            </w:r>
          </w:p>
        </w:tc>
        <w:tc>
          <w:tcPr>
            <w:tcW w:w="3192" w:type="pct"/>
            <w:gridSpan w:val="3"/>
            <w:vAlign w:val="center"/>
          </w:tcPr>
          <w:p w14:paraId="71BC17A8">
            <w:pPr>
              <w:pStyle w:val="43"/>
              <w:numPr>
                <w:ilvl w:val="3"/>
                <w:numId w:val="0"/>
              </w:numPr>
              <w:ind w:left="0" w:leftChars="0" w:firstLine="0" w:firstLineChars="0"/>
              <w:jc w:val="center"/>
              <w:rPr>
                <w:rFonts w:ascii="Times New Roman" w:hAnsi="Times New Roman" w:eastAsia="宋体" w:cs="Times New Roman"/>
                <w:color w:val="auto"/>
                <w:kern w:val="2"/>
                <w:position w:val="-14"/>
                <w:sz w:val="24"/>
                <w:lang w:val="en-US" w:eastAsia="zh-CN" w:bidi="ar-SA"/>
              </w:rPr>
            </w:pPr>
            <w:r>
              <w:rPr>
                <w:color w:val="auto"/>
                <w:position w:val="-12"/>
              </w:rPr>
              <w:object>
                <v:shape id="_x0000_i1149" o:spt="75" type="#_x0000_t75" style="height:18.55pt;width:76pt;" o:ole="t" filled="f" o:preferrelative="t" stroked="f" coordsize="21600,21600">
                  <v:path/>
                  <v:fill on="f" focussize="0,0"/>
                  <v:stroke on="f"/>
                  <v:imagedata r:id="rId314" o:title=""/>
                  <o:lock v:ext="edit" aspectratio="t"/>
                  <w10:wrap type="none"/>
                  <w10:anchorlock/>
                </v:shape>
                <o:OLEObject Type="Embed" ProgID="Equation.3" ShapeID="_x0000_i1149" DrawAspect="Content" ObjectID="_1468075849" r:id="rId313">
                  <o:LockedField>false</o:LockedField>
                </o:OLEObject>
              </w:object>
            </w:r>
          </w:p>
        </w:tc>
        <w:tc>
          <w:tcPr>
            <w:tcW w:w="837" w:type="pct"/>
            <w:vAlign w:val="center"/>
          </w:tcPr>
          <w:p w14:paraId="43B8E560">
            <w:pPr>
              <w:pStyle w:val="43"/>
              <w:numPr>
                <w:ilvl w:val="3"/>
                <w:numId w:val="0"/>
              </w:numPr>
              <w:ind w:left="0" w:leftChars="0" w:firstLine="0" w:firstLineChars="0"/>
              <w:jc w:val="right"/>
              <w:rPr>
                <w:rFonts w:hint="eastAsia" w:ascii="Times New Roman" w:hAnsi="Times New Roman" w:eastAsia="宋体" w:cs="Times New Roman"/>
                <w:color w:val="auto"/>
                <w:kern w:val="2"/>
                <w:sz w:val="24"/>
                <w:lang w:val="en-US" w:eastAsia="zh-CN" w:bidi="ar-SA"/>
              </w:rPr>
            </w:pPr>
            <w:r>
              <w:rPr>
                <w:rFonts w:hint="eastAsia"/>
                <w:color w:val="auto"/>
              </w:rPr>
              <w:t>（</w:t>
            </w:r>
            <w:r>
              <w:rPr>
                <w:rFonts w:hint="eastAsia"/>
                <w:lang w:val="en-US" w:eastAsia="zh-CN"/>
              </w:rPr>
              <w:t>6.2.6</w:t>
            </w:r>
            <w:r>
              <w:rPr>
                <w:rFonts w:hint="eastAsia"/>
                <w:color w:val="auto"/>
                <w:lang w:val="en-US" w:eastAsia="zh-CN"/>
              </w:rPr>
              <w:t>-4</w:t>
            </w:r>
            <w:r>
              <w:rPr>
                <w:rFonts w:hint="eastAsia"/>
                <w:color w:val="auto"/>
              </w:rPr>
              <w:t>）</w:t>
            </w:r>
          </w:p>
        </w:tc>
      </w:tr>
      <w:tr w14:paraId="1241E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0" w:type="pct"/>
            <w:gridSpan w:val="2"/>
            <w:vAlign w:val="center"/>
          </w:tcPr>
          <w:p w14:paraId="13A488B0">
            <w:pPr>
              <w:pStyle w:val="43"/>
              <w:numPr>
                <w:ilvl w:val="3"/>
                <w:numId w:val="0"/>
              </w:numPr>
              <w:ind w:left="0" w:leftChars="0" w:firstLine="0" w:firstLineChars="0"/>
              <w:jc w:val="both"/>
              <w:rPr>
                <w:rFonts w:hint="eastAsia" w:ascii="Times New Roman" w:hAnsi="Times New Roman" w:eastAsia="宋体" w:cs="Times New Roman"/>
                <w:color w:val="auto"/>
                <w:kern w:val="2"/>
                <w:sz w:val="24"/>
                <w:lang w:val="en-US" w:eastAsia="zh-CN" w:bidi="ar-SA"/>
              </w:rPr>
            </w:pPr>
            <w:r>
              <w:rPr>
                <w:rFonts w:hint="eastAsia"/>
                <w:color w:val="auto"/>
              </w:rPr>
              <w:t>混凝土</w:t>
            </w:r>
            <w:r>
              <w:rPr>
                <w:rFonts w:hint="eastAsia"/>
                <w:color w:val="auto"/>
                <w:lang w:val="en-US" w:eastAsia="zh-CN"/>
              </w:rPr>
              <w:t>键槽</w:t>
            </w:r>
            <w:r>
              <w:rPr>
                <w:rFonts w:hint="eastAsia"/>
                <w:color w:val="auto"/>
                <w:lang w:eastAsia="zh-CN"/>
              </w:rPr>
              <w:t>：</w:t>
            </w:r>
          </w:p>
        </w:tc>
        <w:tc>
          <w:tcPr>
            <w:tcW w:w="3192" w:type="pct"/>
            <w:gridSpan w:val="3"/>
            <w:vAlign w:val="center"/>
          </w:tcPr>
          <w:p w14:paraId="2B71F829">
            <w:pPr>
              <w:pStyle w:val="43"/>
              <w:numPr>
                <w:ilvl w:val="3"/>
                <w:numId w:val="0"/>
              </w:numPr>
              <w:ind w:left="0" w:leftChars="0" w:firstLine="0" w:firstLineChars="0"/>
              <w:jc w:val="center"/>
              <w:rPr>
                <w:rFonts w:ascii="Times New Roman" w:hAnsi="Times New Roman" w:eastAsia="宋体" w:cs="Times New Roman"/>
                <w:color w:val="auto"/>
                <w:kern w:val="2"/>
                <w:position w:val="-14"/>
                <w:sz w:val="24"/>
                <w:lang w:val="en-US" w:eastAsia="zh-CN" w:bidi="ar-SA"/>
              </w:rPr>
            </w:pPr>
            <w:r>
              <w:rPr>
                <w:color w:val="auto"/>
                <w:position w:val="-12"/>
              </w:rPr>
              <w:object>
                <v:shape id="_x0000_i1150" o:spt="75" type="#_x0000_t75" style="height:18.55pt;width:71pt;" o:ole="t" filled="f" o:preferrelative="t" stroked="f" coordsize="21600,21600">
                  <v:path/>
                  <v:fill on="f" focussize="0,0"/>
                  <v:stroke on="f"/>
                  <v:imagedata r:id="rId316" o:title=""/>
                  <o:lock v:ext="edit" aspectratio="t"/>
                  <w10:wrap type="none"/>
                  <w10:anchorlock/>
                </v:shape>
                <o:OLEObject Type="Embed" ProgID="Equation.3" ShapeID="_x0000_i1150" DrawAspect="Content" ObjectID="_1468075850" r:id="rId315">
                  <o:LockedField>false</o:LockedField>
                </o:OLEObject>
              </w:object>
            </w:r>
          </w:p>
        </w:tc>
        <w:tc>
          <w:tcPr>
            <w:tcW w:w="837" w:type="pct"/>
            <w:vAlign w:val="center"/>
          </w:tcPr>
          <w:p w14:paraId="6529595B">
            <w:pPr>
              <w:pStyle w:val="43"/>
              <w:numPr>
                <w:ilvl w:val="3"/>
                <w:numId w:val="0"/>
              </w:numPr>
              <w:ind w:left="0" w:leftChars="0" w:firstLine="0" w:firstLineChars="0"/>
              <w:jc w:val="right"/>
              <w:rPr>
                <w:rFonts w:hint="eastAsia" w:ascii="Times New Roman" w:hAnsi="Times New Roman" w:eastAsia="宋体" w:cs="Times New Roman"/>
                <w:color w:val="auto"/>
                <w:kern w:val="2"/>
                <w:sz w:val="24"/>
                <w:lang w:val="en-US" w:eastAsia="zh-CN" w:bidi="ar-SA"/>
              </w:rPr>
            </w:pPr>
            <w:r>
              <w:rPr>
                <w:rFonts w:hint="eastAsia"/>
                <w:color w:val="auto"/>
              </w:rPr>
              <w:t>（</w:t>
            </w:r>
            <w:r>
              <w:rPr>
                <w:rFonts w:hint="eastAsia"/>
                <w:lang w:val="en-US" w:eastAsia="zh-CN"/>
              </w:rPr>
              <w:t>6.2.6</w:t>
            </w:r>
            <w:r>
              <w:rPr>
                <w:rFonts w:hint="eastAsia"/>
                <w:color w:val="auto"/>
                <w:lang w:val="en-US" w:eastAsia="zh-CN"/>
              </w:rPr>
              <w:t>-5</w:t>
            </w:r>
            <w:r>
              <w:rPr>
                <w:rFonts w:hint="eastAsia"/>
                <w:color w:val="auto"/>
              </w:rPr>
              <w:t>）</w:t>
            </w:r>
          </w:p>
        </w:tc>
      </w:tr>
      <w:tr w14:paraId="60FCB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90" w:type="pct"/>
            <w:vAlign w:val="center"/>
          </w:tcPr>
          <w:p w14:paraId="31503A12">
            <w:pPr>
              <w:ind w:firstLine="0" w:firstLineChars="0"/>
              <w:jc w:val="center"/>
              <w:rPr>
                <w:rFonts w:hint="eastAsia"/>
                <w:color w:val="auto"/>
              </w:rPr>
            </w:pPr>
            <w:r>
              <w:rPr>
                <w:rFonts w:hint="eastAsia"/>
                <w:color w:val="auto"/>
              </w:rPr>
              <w:t>式中：</w:t>
            </w:r>
          </w:p>
        </w:tc>
        <w:tc>
          <w:tcPr>
            <w:tcW w:w="568" w:type="pct"/>
            <w:gridSpan w:val="2"/>
          </w:tcPr>
          <w:p w14:paraId="4E183243">
            <w:pPr>
              <w:ind w:firstLine="0" w:firstLineChars="0"/>
              <w:jc w:val="right"/>
              <w:rPr>
                <w:color w:val="auto"/>
                <w:position w:val="-6"/>
              </w:rPr>
            </w:pPr>
            <w:r>
              <w:rPr>
                <w:color w:val="auto"/>
                <w:position w:val="-12"/>
              </w:rPr>
              <w:object>
                <v:shape id="_x0000_i1151" o:spt="75" type="#_x0000_t75" style="height:20pt;width:22pt;" o:ole="t" filled="f" o:preferrelative="t" stroked="f" coordsize="21600,21600">
                  <v:path/>
                  <v:fill on="f" focussize="0,0"/>
                  <v:stroke on="f"/>
                  <v:imagedata r:id="rId318" o:title=""/>
                  <o:lock v:ext="edit" aspectratio="f"/>
                  <w10:wrap type="none"/>
                  <w10:anchorlock/>
                </v:shape>
                <o:OLEObject Type="Embed" ProgID="Equation.DSMT4" ShapeID="_x0000_i1151" DrawAspect="Content" ObjectID="_1468075851" r:id="rId317">
                  <o:LockedField>false</o:LockedField>
                </o:OLEObject>
              </w:object>
            </w:r>
          </w:p>
        </w:tc>
        <w:tc>
          <w:tcPr>
            <w:tcW w:w="446" w:type="pct"/>
          </w:tcPr>
          <w:p w14:paraId="1DE79C97">
            <w:pPr>
              <w:ind w:firstLine="0" w:firstLineChars="0"/>
              <w:jc w:val="center"/>
              <w:rPr>
                <w:rFonts w:eastAsiaTheme="minorEastAsia"/>
                <w:color w:val="auto"/>
                <w:szCs w:val="24"/>
              </w:rPr>
            </w:pPr>
            <w:r>
              <w:rPr>
                <w:rFonts w:eastAsiaTheme="minorEastAsia"/>
                <w:color w:val="auto"/>
                <w:szCs w:val="24"/>
              </w:rPr>
              <w:t>——</w:t>
            </w:r>
          </w:p>
        </w:tc>
        <w:tc>
          <w:tcPr>
            <w:tcW w:w="3495" w:type="pct"/>
            <w:gridSpan w:val="2"/>
            <w:vAlign w:val="center"/>
          </w:tcPr>
          <w:p w14:paraId="69563FD2">
            <w:pPr>
              <w:ind w:firstLine="0" w:firstLineChars="0"/>
              <w:rPr>
                <w:rFonts w:hint="eastAsia" w:eastAsiaTheme="minorEastAsia"/>
                <w:color w:val="auto"/>
                <w:lang w:eastAsia="zh-CN"/>
              </w:rPr>
            </w:pPr>
            <w:r>
              <w:rPr>
                <w:rFonts w:hint="eastAsia" w:ascii="宋体" w:hAnsi="宋体" w:cs="宋体"/>
                <w:sz w:val="24"/>
                <w:szCs w:val="24"/>
                <w:lang w:val="en-US" w:eastAsia="zh-CN"/>
              </w:rPr>
              <w:t>预制柱</w:t>
            </w:r>
            <w:r>
              <w:rPr>
                <w:rFonts w:ascii="宋体" w:hAnsi="宋体" w:eastAsia="宋体" w:cs="宋体"/>
                <w:sz w:val="24"/>
                <w:szCs w:val="24"/>
              </w:rPr>
              <w:t>连接的受剪承载力设计值</w:t>
            </w:r>
            <w:r>
              <w:rPr>
                <w:rFonts w:hint="eastAsia"/>
                <w:color w:val="auto"/>
                <w:lang w:eastAsia="zh-CN"/>
              </w:rPr>
              <w:t>（</w:t>
            </w:r>
            <w:r>
              <w:rPr>
                <w:rFonts w:hint="eastAsia"/>
                <w:color w:val="auto"/>
                <w:lang w:val="en-US" w:eastAsia="zh-CN"/>
              </w:rPr>
              <w:t>N</w:t>
            </w:r>
            <w:r>
              <w:rPr>
                <w:rFonts w:hint="eastAsia"/>
                <w:color w:val="auto"/>
                <w:lang w:eastAsia="zh-CN"/>
              </w:rPr>
              <w:t>）；</w:t>
            </w:r>
          </w:p>
        </w:tc>
      </w:tr>
      <w:tr w14:paraId="3B987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90" w:type="pct"/>
            <w:vAlign w:val="center"/>
          </w:tcPr>
          <w:p w14:paraId="3DFF8CD5">
            <w:pPr>
              <w:ind w:firstLine="0" w:firstLineChars="0"/>
              <w:jc w:val="center"/>
              <w:rPr>
                <w:color w:val="auto"/>
              </w:rPr>
            </w:pPr>
          </w:p>
        </w:tc>
        <w:tc>
          <w:tcPr>
            <w:tcW w:w="568" w:type="pct"/>
            <w:gridSpan w:val="2"/>
          </w:tcPr>
          <w:p w14:paraId="470D1FF4">
            <w:pPr>
              <w:ind w:firstLine="0" w:firstLineChars="0"/>
              <w:jc w:val="right"/>
              <w:rPr>
                <w:rFonts w:eastAsiaTheme="minorEastAsia"/>
                <w:color w:val="auto"/>
                <w:vertAlign w:val="subscript"/>
              </w:rPr>
            </w:pPr>
            <w:r>
              <w:rPr>
                <w:color w:val="auto"/>
                <w:position w:val="-6"/>
              </w:rPr>
              <w:object>
                <v:shape id="_x0000_i1152" o:spt="75" type="#_x0000_t75" style="height:14.4pt;width:14.1pt;" o:ole="t" filled="f" o:preferrelative="t" stroked="f" coordsize="21600,21600">
                  <v:path/>
                  <v:fill on="f" focussize="0,0"/>
                  <v:stroke on="f"/>
                  <v:imagedata r:id="rId320" o:title=""/>
                  <o:lock v:ext="edit" aspectratio="t"/>
                  <w10:wrap type="none"/>
                  <w10:anchorlock/>
                </v:shape>
                <o:OLEObject Type="Embed" ProgID="Equation.DSMT4" ShapeID="_x0000_i1152" DrawAspect="Content" ObjectID="_1468075852" r:id="rId319">
                  <o:LockedField>false</o:LockedField>
                </o:OLEObject>
              </w:object>
            </w:r>
          </w:p>
        </w:tc>
        <w:tc>
          <w:tcPr>
            <w:tcW w:w="446" w:type="pct"/>
          </w:tcPr>
          <w:p w14:paraId="6F1D425E">
            <w:pPr>
              <w:ind w:firstLine="0" w:firstLineChars="0"/>
              <w:jc w:val="center"/>
              <w:rPr>
                <w:rFonts w:eastAsiaTheme="minorEastAsia"/>
                <w:color w:val="auto"/>
              </w:rPr>
            </w:pPr>
            <w:r>
              <w:rPr>
                <w:rFonts w:eastAsiaTheme="minorEastAsia"/>
                <w:color w:val="auto"/>
                <w:szCs w:val="24"/>
              </w:rPr>
              <w:t>——</w:t>
            </w:r>
          </w:p>
        </w:tc>
        <w:tc>
          <w:tcPr>
            <w:tcW w:w="3495" w:type="pct"/>
            <w:gridSpan w:val="2"/>
            <w:vAlign w:val="center"/>
          </w:tcPr>
          <w:p w14:paraId="27D08AEB">
            <w:pPr>
              <w:ind w:firstLine="0" w:firstLineChars="0"/>
              <w:rPr>
                <w:rFonts w:eastAsiaTheme="minorEastAsia"/>
                <w:color w:val="auto"/>
              </w:rPr>
            </w:pPr>
            <w:r>
              <w:rPr>
                <w:rFonts w:hint="eastAsia" w:eastAsiaTheme="minorEastAsia"/>
                <w:color w:val="auto"/>
                <w:lang w:eastAsia="zh-CN"/>
              </w:rPr>
              <w:t>柱轴力设计值</w:t>
            </w:r>
            <w:r>
              <w:rPr>
                <w:rFonts w:hint="eastAsia" w:eastAsiaTheme="minorEastAsia"/>
                <w:color w:val="auto"/>
              </w:rPr>
              <w:t>（N）</w:t>
            </w:r>
            <w:r>
              <w:rPr>
                <w:rFonts w:hint="eastAsia" w:eastAsiaTheme="minorEastAsia"/>
                <w:color w:val="auto"/>
                <w:lang w:eastAsia="zh-CN"/>
              </w:rPr>
              <w:t>，压力取正，拉力取</w:t>
            </w:r>
            <w:r>
              <w:rPr>
                <w:rFonts w:hint="eastAsia" w:eastAsiaTheme="minorEastAsia"/>
                <w:color w:val="auto"/>
                <w:lang w:val="en-US" w:eastAsia="zh-CN"/>
              </w:rPr>
              <w:t>0</w:t>
            </w:r>
            <w:r>
              <w:rPr>
                <w:rFonts w:hint="eastAsia" w:eastAsiaTheme="minorEastAsia"/>
                <w:color w:val="auto"/>
              </w:rPr>
              <w:t>；</w:t>
            </w:r>
          </w:p>
        </w:tc>
      </w:tr>
      <w:tr w14:paraId="7FAA1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90" w:type="pct"/>
            <w:vAlign w:val="center"/>
          </w:tcPr>
          <w:p w14:paraId="54754746">
            <w:pPr>
              <w:ind w:firstLine="0" w:firstLineChars="0"/>
              <w:jc w:val="center"/>
              <w:rPr>
                <w:rFonts w:hint="eastAsia"/>
                <w:color w:val="auto"/>
              </w:rPr>
            </w:pPr>
          </w:p>
        </w:tc>
        <w:tc>
          <w:tcPr>
            <w:tcW w:w="568" w:type="pct"/>
            <w:gridSpan w:val="2"/>
          </w:tcPr>
          <w:p w14:paraId="29AFF20F">
            <w:pPr>
              <w:ind w:firstLine="0" w:firstLineChars="0"/>
              <w:jc w:val="right"/>
              <w:rPr>
                <w:color w:val="auto"/>
                <w:position w:val="-6"/>
              </w:rPr>
            </w:pPr>
            <w:r>
              <w:rPr>
                <w:color w:val="auto"/>
                <w:position w:val="-12"/>
              </w:rPr>
              <w:object>
                <v:shape id="_x0000_i1153" o:spt="75" type="#_x0000_t75" style="height:18.55pt;width:16pt;" o:ole="t" filled="f" o:preferrelative="t" stroked="f" coordsize="21600,21600">
                  <v:path/>
                  <v:fill on="f" focussize="0,0"/>
                  <v:stroke on="f"/>
                  <v:imagedata r:id="rId322" o:title=""/>
                  <o:lock v:ext="edit" aspectratio="t"/>
                  <w10:wrap type="none"/>
                  <w10:anchorlock/>
                </v:shape>
                <o:OLEObject Type="Embed" ProgID="Equation.3" ShapeID="_x0000_i1153" DrawAspect="Content" ObjectID="_1468075853" r:id="rId321">
                  <o:LockedField>false</o:LockedField>
                </o:OLEObject>
              </w:object>
            </w:r>
          </w:p>
        </w:tc>
        <w:tc>
          <w:tcPr>
            <w:tcW w:w="446" w:type="pct"/>
          </w:tcPr>
          <w:p w14:paraId="426BC90F">
            <w:pPr>
              <w:ind w:firstLine="0" w:firstLineChars="0"/>
              <w:jc w:val="center"/>
              <w:rPr>
                <w:rFonts w:eastAsiaTheme="minorEastAsia"/>
                <w:color w:val="auto"/>
                <w:szCs w:val="24"/>
              </w:rPr>
            </w:pPr>
            <w:r>
              <w:rPr>
                <w:rFonts w:eastAsiaTheme="minorEastAsia"/>
                <w:color w:val="auto"/>
                <w:szCs w:val="24"/>
              </w:rPr>
              <w:t>——</w:t>
            </w:r>
          </w:p>
        </w:tc>
        <w:tc>
          <w:tcPr>
            <w:tcW w:w="3495" w:type="pct"/>
            <w:gridSpan w:val="2"/>
            <w:vAlign w:val="center"/>
          </w:tcPr>
          <w:p w14:paraId="3405C7AF">
            <w:pPr>
              <w:ind w:firstLine="0" w:firstLineChars="0"/>
              <w:rPr>
                <w:rFonts w:hint="eastAsia" w:eastAsiaTheme="minorEastAsia"/>
                <w:color w:val="auto"/>
                <w:lang w:eastAsia="zh-CN"/>
              </w:rPr>
            </w:pPr>
            <w:r>
              <w:rPr>
                <w:rFonts w:hint="eastAsia" w:eastAsiaTheme="minorEastAsia"/>
                <w:color w:val="auto"/>
              </w:rPr>
              <w:t>钢抗剪键或混凝土键槽</w:t>
            </w:r>
            <w:r>
              <w:rPr>
                <w:rFonts w:hint="eastAsia" w:eastAsiaTheme="minorEastAsia"/>
                <w:color w:val="auto"/>
                <w:lang w:eastAsia="zh-CN"/>
              </w:rPr>
              <w:t>的抗剪</w:t>
            </w:r>
            <w:r>
              <w:rPr>
                <w:rFonts w:hint="eastAsia" w:eastAsiaTheme="minorEastAsia"/>
                <w:color w:val="auto"/>
                <w:lang w:val="en-US" w:eastAsia="zh-CN"/>
              </w:rPr>
              <w:t>承</w:t>
            </w:r>
            <w:r>
              <w:rPr>
                <w:rFonts w:hint="eastAsia" w:eastAsiaTheme="minorEastAsia"/>
                <w:color w:val="auto"/>
                <w:lang w:eastAsia="zh-CN"/>
              </w:rPr>
              <w:t>载力</w:t>
            </w:r>
            <w:r>
              <w:rPr>
                <w:rFonts w:hint="eastAsia" w:eastAsiaTheme="minorEastAsia"/>
                <w:color w:val="auto"/>
                <w:lang w:val="en-US" w:eastAsia="zh-CN"/>
              </w:rPr>
              <w:t>设计值</w:t>
            </w:r>
            <w:r>
              <w:rPr>
                <w:rFonts w:hint="eastAsia" w:eastAsiaTheme="minorEastAsia"/>
                <w:color w:val="auto"/>
              </w:rPr>
              <w:t>（N）</w:t>
            </w:r>
            <w:r>
              <w:rPr>
                <w:rFonts w:hint="eastAsia" w:eastAsiaTheme="minorEastAsia"/>
                <w:color w:val="auto"/>
                <w:lang w:eastAsia="zh-CN"/>
              </w:rPr>
              <w:t>；</w:t>
            </w:r>
          </w:p>
        </w:tc>
      </w:tr>
      <w:tr w14:paraId="7F0FF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5A77516B">
            <w:pPr>
              <w:ind w:firstLine="0" w:firstLineChars="0"/>
              <w:jc w:val="center"/>
              <w:rPr>
                <w:color w:val="auto"/>
              </w:rPr>
            </w:pPr>
          </w:p>
        </w:tc>
        <w:tc>
          <w:tcPr>
            <w:tcW w:w="568" w:type="pct"/>
            <w:gridSpan w:val="2"/>
          </w:tcPr>
          <w:p w14:paraId="1907BA6F">
            <w:pPr>
              <w:ind w:firstLine="0" w:firstLineChars="0"/>
              <w:jc w:val="right"/>
              <w:rPr>
                <w:color w:val="auto"/>
                <w:position w:val="-12"/>
                <w:vertAlign w:val="subscript"/>
              </w:rPr>
            </w:pPr>
            <w:r>
              <w:rPr>
                <w:color w:val="auto"/>
                <w:position w:val="-12"/>
              </w:rPr>
              <w:object>
                <v:shape id="_x0000_i1154" o:spt="75" type="#_x0000_t75" style="height:18.55pt;width:20pt;" o:ole="t" filled="f" o:preferrelative="t" stroked="f" coordsize="21600,21600">
                  <v:path/>
                  <v:fill on="f" focussize="0,0"/>
                  <v:stroke on="f"/>
                  <v:imagedata r:id="rId324" o:title=""/>
                  <o:lock v:ext="edit" aspectratio="t"/>
                  <w10:wrap type="none"/>
                  <w10:anchorlock/>
                </v:shape>
                <o:OLEObject Type="Embed" ProgID="Equation.DSMT4" ShapeID="_x0000_i1154" DrawAspect="Content" ObjectID="_1468075854" r:id="rId323">
                  <o:LockedField>false</o:LockedField>
                </o:OLEObject>
              </w:object>
            </w:r>
          </w:p>
        </w:tc>
        <w:tc>
          <w:tcPr>
            <w:tcW w:w="446" w:type="pct"/>
          </w:tcPr>
          <w:p w14:paraId="7F677027">
            <w:pPr>
              <w:ind w:firstLine="0" w:firstLineChars="0"/>
              <w:jc w:val="center"/>
              <w:rPr>
                <w:rFonts w:eastAsiaTheme="minorEastAsia"/>
                <w:color w:val="auto"/>
                <w:szCs w:val="24"/>
              </w:rPr>
            </w:pPr>
            <w:r>
              <w:rPr>
                <w:rFonts w:eastAsiaTheme="minorEastAsia"/>
                <w:color w:val="auto"/>
                <w:szCs w:val="24"/>
              </w:rPr>
              <w:t>——</w:t>
            </w:r>
          </w:p>
        </w:tc>
        <w:tc>
          <w:tcPr>
            <w:tcW w:w="3495" w:type="pct"/>
            <w:gridSpan w:val="2"/>
            <w:vAlign w:val="center"/>
          </w:tcPr>
          <w:p w14:paraId="2C878D8A">
            <w:pPr>
              <w:ind w:firstLine="0" w:firstLineChars="0"/>
              <w:rPr>
                <w:rFonts w:hint="eastAsia" w:eastAsia="宋体"/>
                <w:color w:val="auto"/>
                <w:lang w:eastAsia="zh-CN"/>
              </w:rPr>
            </w:pPr>
            <w:r>
              <w:rPr>
                <w:rFonts w:hint="eastAsia"/>
                <w:color w:val="auto"/>
                <w:lang w:eastAsia="zh-CN"/>
              </w:rPr>
              <w:t>钢抗剪键腹板的截面</w:t>
            </w:r>
            <w:r>
              <w:rPr>
                <w:rFonts w:hint="eastAsia"/>
                <w:color w:val="auto"/>
                <w:lang w:val="en-US" w:eastAsia="zh-CN"/>
              </w:rPr>
              <w:t>面</w:t>
            </w:r>
            <w:r>
              <w:rPr>
                <w:rFonts w:hint="eastAsia"/>
                <w:color w:val="auto"/>
                <w:lang w:eastAsia="zh-CN"/>
              </w:rPr>
              <w:t>积（</w:t>
            </w:r>
            <w:r>
              <w:rPr>
                <w:rFonts w:hint="eastAsia"/>
                <w:color w:val="auto"/>
                <w:lang w:val="en-US" w:eastAsia="zh-CN"/>
              </w:rPr>
              <w:t>mm</w:t>
            </w:r>
            <w:r>
              <w:rPr>
                <w:rFonts w:hint="eastAsia"/>
                <w:color w:val="auto"/>
                <w:vertAlign w:val="superscript"/>
                <w:lang w:val="en-US" w:eastAsia="zh-CN"/>
              </w:rPr>
              <w:t>2</w:t>
            </w:r>
            <w:r>
              <w:rPr>
                <w:rFonts w:hint="eastAsia"/>
                <w:color w:val="auto"/>
                <w:lang w:eastAsia="zh-CN"/>
              </w:rPr>
              <w:t>）；</w:t>
            </w:r>
          </w:p>
        </w:tc>
      </w:tr>
      <w:tr w14:paraId="4991A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61201FF3">
            <w:pPr>
              <w:ind w:firstLine="0" w:firstLineChars="0"/>
              <w:jc w:val="center"/>
              <w:rPr>
                <w:color w:val="auto"/>
              </w:rPr>
            </w:pPr>
          </w:p>
        </w:tc>
        <w:tc>
          <w:tcPr>
            <w:tcW w:w="568" w:type="pct"/>
            <w:gridSpan w:val="2"/>
          </w:tcPr>
          <w:p w14:paraId="061F244C">
            <w:pPr>
              <w:ind w:firstLine="0" w:firstLineChars="0"/>
              <w:jc w:val="right"/>
              <w:rPr>
                <w:color w:val="auto"/>
                <w:position w:val="-12"/>
              </w:rPr>
            </w:pPr>
            <w:r>
              <w:rPr>
                <w:color w:val="auto"/>
                <w:position w:val="-12"/>
              </w:rPr>
              <w:object>
                <v:shape id="_x0000_i1155" o:spt="75" type="#_x0000_t75" style="height:18.55pt;width:15pt;" o:ole="t" filled="f" o:preferrelative="t" stroked="f" coordsize="21600,21600">
                  <v:path/>
                  <v:fill on="f" focussize="0,0"/>
                  <v:stroke on="f"/>
                  <v:imagedata r:id="rId326" o:title=""/>
                  <o:lock v:ext="edit" aspectratio="t"/>
                  <w10:wrap type="none"/>
                  <w10:anchorlock/>
                </v:shape>
                <o:OLEObject Type="Embed" ProgID="Equation.DSMT4" ShapeID="_x0000_i1155" DrawAspect="Content" ObjectID="_1468075855" r:id="rId325">
                  <o:LockedField>false</o:LockedField>
                </o:OLEObject>
              </w:object>
            </w:r>
          </w:p>
        </w:tc>
        <w:tc>
          <w:tcPr>
            <w:tcW w:w="446" w:type="pct"/>
            <w:vAlign w:val="top"/>
          </w:tcPr>
          <w:p w14:paraId="0CD8BE52">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495" w:type="pct"/>
            <w:gridSpan w:val="2"/>
            <w:vAlign w:val="center"/>
          </w:tcPr>
          <w:p w14:paraId="644BAE82">
            <w:pPr>
              <w:ind w:firstLine="0" w:firstLineChars="0"/>
              <w:rPr>
                <w:rFonts w:hint="eastAsia" w:ascii="Times New Roman" w:hAnsi="Times New Roman" w:eastAsia="宋体" w:cs="Times New Roman"/>
                <w:color w:val="auto"/>
                <w:kern w:val="2"/>
                <w:sz w:val="24"/>
                <w:lang w:val="en-US" w:eastAsia="zh-CN" w:bidi="ar-SA"/>
              </w:rPr>
            </w:pPr>
            <w:r>
              <w:rPr>
                <w:rFonts w:hint="eastAsia" w:eastAsiaTheme="minorEastAsia"/>
                <w:color w:val="auto"/>
              </w:rPr>
              <w:t>混凝土</w:t>
            </w:r>
            <w:r>
              <w:rPr>
                <w:rFonts w:hint="eastAsia"/>
                <w:color w:val="auto"/>
                <w:lang w:eastAsia="zh-CN"/>
              </w:rPr>
              <w:t>键槽根部抗剪截面面积（</w:t>
            </w:r>
            <w:r>
              <w:rPr>
                <w:rFonts w:hint="eastAsia"/>
                <w:color w:val="auto"/>
                <w:lang w:val="en-US" w:eastAsia="zh-CN"/>
              </w:rPr>
              <w:t>mm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w:t>
            </w:r>
          </w:p>
        </w:tc>
      </w:tr>
    </w:tbl>
    <w:p w14:paraId="259BFCAD">
      <w:pPr>
        <w:pStyle w:val="42"/>
        <w:rPr>
          <w:color w:val="auto"/>
        </w:rPr>
      </w:pPr>
      <w:r>
        <w:rPr>
          <w:rFonts w:hint="eastAsia"/>
          <w:color w:val="auto"/>
          <w:lang w:eastAsia="zh-CN"/>
        </w:rPr>
        <w:t>预制柱</w:t>
      </w:r>
      <w:r>
        <w:rPr>
          <w:rFonts w:hint="eastAsia"/>
          <w:color w:val="auto"/>
        </w:rPr>
        <w:t>连接的极限承载力应满足下列公式要求：</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5"/>
        <w:gridCol w:w="598"/>
        <w:gridCol w:w="890"/>
        <w:gridCol w:w="766"/>
        <w:gridCol w:w="4001"/>
        <w:gridCol w:w="1426"/>
      </w:tblGrid>
      <w:tr w14:paraId="4646D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pct"/>
            <w:gridSpan w:val="2"/>
            <w:vAlign w:val="center"/>
          </w:tcPr>
          <w:p w14:paraId="472537F7">
            <w:pPr>
              <w:pStyle w:val="43"/>
              <w:numPr>
                <w:ilvl w:val="3"/>
                <w:numId w:val="0"/>
              </w:numPr>
              <w:jc w:val="center"/>
              <w:rPr>
                <w:color w:val="auto"/>
              </w:rPr>
            </w:pPr>
          </w:p>
        </w:tc>
        <w:tc>
          <w:tcPr>
            <w:tcW w:w="3321" w:type="pct"/>
            <w:gridSpan w:val="3"/>
            <w:vAlign w:val="center"/>
          </w:tcPr>
          <w:p w14:paraId="6D757A13">
            <w:pPr>
              <w:pStyle w:val="43"/>
              <w:numPr>
                <w:ilvl w:val="3"/>
                <w:numId w:val="0"/>
              </w:numPr>
              <w:jc w:val="center"/>
              <w:rPr>
                <w:color w:val="auto"/>
              </w:rPr>
            </w:pPr>
            <w:r>
              <w:rPr>
                <w:color w:val="auto"/>
                <w:position w:val="-14"/>
              </w:rPr>
              <w:object>
                <v:shape id="_x0000_i1156" o:spt="75" type="#_x0000_t75" style="height:21.4pt;width:80.5pt;" o:ole="t" filled="f" o:preferrelative="t" stroked="f" coordsize="21600,21600">
                  <v:path/>
                  <v:fill on="f" focussize="0,0"/>
                  <v:stroke on="f"/>
                  <v:imagedata r:id="rId328" o:title=""/>
                  <o:lock v:ext="edit" aspectratio="t"/>
                  <w10:wrap type="none"/>
                  <w10:anchorlock/>
                </v:shape>
                <o:OLEObject Type="Embed" ProgID="Equation.DSMT4" ShapeID="_x0000_i1156" DrawAspect="Content" ObjectID="_1468075856" r:id="rId327">
                  <o:LockedField>false</o:LockedField>
                </o:OLEObject>
              </w:object>
            </w:r>
          </w:p>
        </w:tc>
        <w:tc>
          <w:tcPr>
            <w:tcW w:w="837" w:type="pct"/>
            <w:vAlign w:val="center"/>
          </w:tcPr>
          <w:p w14:paraId="1CBBDC33">
            <w:pPr>
              <w:pStyle w:val="43"/>
              <w:numPr>
                <w:ilvl w:val="3"/>
                <w:numId w:val="0"/>
              </w:numPr>
              <w:jc w:val="right"/>
              <w:rPr>
                <w:color w:val="auto"/>
              </w:rPr>
            </w:pPr>
            <w:r>
              <w:rPr>
                <w:rFonts w:hint="eastAsia"/>
                <w:color w:val="auto"/>
              </w:rPr>
              <w:t>（</w:t>
            </w:r>
            <w:r>
              <w:rPr>
                <w:rFonts w:hint="eastAsia"/>
                <w:color w:val="auto"/>
                <w:lang w:val="en-US" w:eastAsia="zh-CN"/>
              </w:rPr>
              <w:t>6.2.7</w:t>
            </w:r>
            <w:r>
              <w:rPr>
                <w:rFonts w:hint="eastAsia"/>
                <w:color w:val="auto"/>
              </w:rPr>
              <w:t>-1）</w:t>
            </w:r>
          </w:p>
        </w:tc>
      </w:tr>
      <w:tr w14:paraId="7575E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pct"/>
            <w:gridSpan w:val="2"/>
            <w:vAlign w:val="center"/>
          </w:tcPr>
          <w:p w14:paraId="20FA1D78">
            <w:pPr>
              <w:pStyle w:val="43"/>
              <w:numPr>
                <w:ilvl w:val="3"/>
                <w:numId w:val="0"/>
              </w:numPr>
              <w:jc w:val="center"/>
              <w:rPr>
                <w:color w:val="auto"/>
              </w:rPr>
            </w:pPr>
          </w:p>
        </w:tc>
        <w:tc>
          <w:tcPr>
            <w:tcW w:w="3321" w:type="pct"/>
            <w:gridSpan w:val="3"/>
            <w:vAlign w:val="center"/>
          </w:tcPr>
          <w:p w14:paraId="20C9B55E">
            <w:pPr>
              <w:pStyle w:val="43"/>
              <w:numPr>
                <w:ilvl w:val="3"/>
                <w:numId w:val="0"/>
              </w:numPr>
              <w:jc w:val="center"/>
              <w:rPr>
                <w:color w:val="auto"/>
                <w:position w:val="-14"/>
              </w:rPr>
            </w:pPr>
            <w:r>
              <w:rPr>
                <w:color w:val="auto"/>
                <w:position w:val="-14"/>
              </w:rPr>
              <w:object>
                <v:shape id="_x0000_i1157" o:spt="75" type="#_x0000_t75" style="height:21.4pt;width:142.95pt;" o:ole="t" filled="f" o:preferrelative="t" stroked="f" coordsize="21600,21600">
                  <v:path/>
                  <v:fill on="f" focussize="0,0"/>
                  <v:stroke on="f"/>
                  <v:imagedata r:id="rId330" o:title=""/>
                  <o:lock v:ext="edit" aspectratio="t"/>
                  <w10:wrap type="none"/>
                  <w10:anchorlock/>
                </v:shape>
                <o:OLEObject Type="Embed" ProgID="Equation.DSMT4" ShapeID="_x0000_i1157" DrawAspect="Content" ObjectID="_1468075857" r:id="rId329">
                  <o:LockedField>false</o:LockedField>
                </o:OLEObject>
              </w:object>
            </w:r>
          </w:p>
        </w:tc>
        <w:tc>
          <w:tcPr>
            <w:tcW w:w="837" w:type="pct"/>
            <w:vAlign w:val="center"/>
          </w:tcPr>
          <w:p w14:paraId="652FB619">
            <w:pPr>
              <w:pStyle w:val="43"/>
              <w:numPr>
                <w:ilvl w:val="3"/>
                <w:numId w:val="0"/>
              </w:numPr>
              <w:jc w:val="right"/>
              <w:rPr>
                <w:color w:val="auto"/>
              </w:rPr>
            </w:pPr>
            <w:r>
              <w:rPr>
                <w:rFonts w:hint="eastAsia"/>
                <w:color w:val="auto"/>
              </w:rPr>
              <w:t>（</w:t>
            </w:r>
            <w:r>
              <w:rPr>
                <w:rFonts w:hint="eastAsia"/>
                <w:color w:val="auto"/>
                <w:lang w:val="en-US" w:eastAsia="zh-CN"/>
              </w:rPr>
              <w:t>6.2.7</w:t>
            </w:r>
            <w:r>
              <w:rPr>
                <w:rFonts w:hint="eastAsia"/>
                <w:color w:val="auto"/>
              </w:rPr>
              <w:t>-2）</w:t>
            </w:r>
          </w:p>
        </w:tc>
      </w:tr>
      <w:tr w14:paraId="5FD4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90" w:type="pct"/>
            <w:vAlign w:val="top"/>
          </w:tcPr>
          <w:p w14:paraId="610621DB">
            <w:pPr>
              <w:ind w:firstLine="0" w:firstLineChars="0"/>
              <w:jc w:val="center"/>
              <w:rPr>
                <w:color w:val="auto"/>
              </w:rPr>
            </w:pPr>
            <w:r>
              <w:rPr>
                <w:rFonts w:hint="eastAsia"/>
                <w:color w:val="auto"/>
              </w:rPr>
              <w:t>式中：</w:t>
            </w:r>
          </w:p>
        </w:tc>
        <w:tc>
          <w:tcPr>
            <w:tcW w:w="873" w:type="pct"/>
            <w:gridSpan w:val="2"/>
          </w:tcPr>
          <w:p w14:paraId="1A3ACFCF">
            <w:pPr>
              <w:ind w:firstLine="0" w:firstLineChars="0"/>
              <w:jc w:val="right"/>
              <w:rPr>
                <w:rFonts w:eastAsiaTheme="minorEastAsia"/>
                <w:color w:val="auto"/>
                <w:vertAlign w:val="subscript"/>
              </w:rPr>
            </w:pPr>
            <w:r>
              <w:rPr>
                <w:color w:val="auto"/>
                <w:position w:val="-12"/>
              </w:rPr>
              <w:object>
                <v:shape id="_x0000_i1158" o:spt="75" type="#_x0000_t75" style="height:19.55pt;width:22.2pt;" o:ole="t" filled="f" o:preferrelative="t" stroked="f" coordsize="21600,21600">
                  <v:path/>
                  <v:fill on="f" focussize="0,0"/>
                  <v:stroke on="f"/>
                  <v:imagedata r:id="rId332" o:title=""/>
                  <o:lock v:ext="edit" aspectratio="t"/>
                  <w10:wrap type="none"/>
                  <w10:anchorlock/>
                </v:shape>
                <o:OLEObject Type="Embed" ProgID="Equation.DSMT4" ShapeID="_x0000_i1158" DrawAspect="Content" ObjectID="_1468075858" r:id="rId331">
                  <o:LockedField>false</o:LockedField>
                </o:OLEObject>
              </w:object>
            </w:r>
          </w:p>
        </w:tc>
        <w:tc>
          <w:tcPr>
            <w:tcW w:w="449" w:type="pct"/>
          </w:tcPr>
          <w:p w14:paraId="17501DB9">
            <w:pPr>
              <w:ind w:firstLine="0" w:firstLineChars="0"/>
              <w:jc w:val="center"/>
              <w:rPr>
                <w:rFonts w:eastAsiaTheme="minorEastAsia"/>
                <w:color w:val="auto"/>
              </w:rPr>
            </w:pPr>
            <w:r>
              <w:rPr>
                <w:rFonts w:eastAsiaTheme="minorEastAsia"/>
                <w:color w:val="auto"/>
                <w:szCs w:val="24"/>
              </w:rPr>
              <w:t>——</w:t>
            </w:r>
          </w:p>
        </w:tc>
        <w:tc>
          <w:tcPr>
            <w:tcW w:w="3186" w:type="pct"/>
            <w:gridSpan w:val="2"/>
            <w:vAlign w:val="center"/>
          </w:tcPr>
          <w:p w14:paraId="18CFDF59">
            <w:pPr>
              <w:ind w:firstLine="0" w:firstLineChars="0"/>
              <w:rPr>
                <w:rFonts w:eastAsiaTheme="minorEastAsia"/>
                <w:color w:val="auto"/>
              </w:rPr>
            </w:pPr>
            <w:r>
              <w:rPr>
                <w:rFonts w:hint="eastAsia" w:eastAsiaTheme="minorEastAsia"/>
                <w:color w:val="auto"/>
                <w:lang w:val="en-US" w:eastAsia="zh-CN"/>
              </w:rPr>
              <w:t>考虑地震作用组合的预制柱</w:t>
            </w:r>
            <w:r>
              <w:rPr>
                <w:rFonts w:hint="eastAsia" w:eastAsiaTheme="minorEastAsia"/>
                <w:color w:val="auto"/>
              </w:rPr>
              <w:t>连接的极限受弯承载力（N·mm）</w:t>
            </w:r>
            <w:r>
              <w:rPr>
                <w:rFonts w:hint="eastAsia" w:eastAsiaTheme="minorEastAsia"/>
                <w:color w:val="auto"/>
                <w:lang w:eastAsia="zh-CN"/>
              </w:rPr>
              <w:t>，</w:t>
            </w:r>
            <w:r>
              <w:rPr>
                <w:rFonts w:hint="eastAsia"/>
                <w:lang w:eastAsia="zh-CN"/>
              </w:rPr>
              <w:t>可</w:t>
            </w:r>
            <w:r>
              <w:rPr>
                <w:rFonts w:hint="eastAsia"/>
                <w:lang w:val="en-US" w:eastAsia="zh-CN"/>
              </w:rPr>
              <w:t>将连接杆视为钢筋，按</w:t>
            </w:r>
            <w:r>
              <w:rPr>
                <w:rFonts w:hint="eastAsia"/>
                <w:color w:val="auto"/>
              </w:rPr>
              <w:t>实配</w:t>
            </w:r>
            <w:r>
              <w:rPr>
                <w:rFonts w:hint="eastAsia"/>
                <w:lang w:val="en-US" w:eastAsia="zh-CN"/>
              </w:rPr>
              <w:t>连接杆</w:t>
            </w:r>
            <w:r>
              <w:rPr>
                <w:rFonts w:hint="eastAsia"/>
                <w:color w:val="auto"/>
              </w:rPr>
              <w:t>面积</w:t>
            </w:r>
            <w:r>
              <w:rPr>
                <w:rFonts w:hint="eastAsia"/>
                <w:color w:val="auto"/>
                <w:lang w:eastAsia="zh-CN"/>
              </w:rPr>
              <w:t>计算，不考虑承载力抗震调整系数，材料强度取标准值</w:t>
            </w:r>
            <w:r>
              <w:rPr>
                <w:rFonts w:hint="eastAsia" w:eastAsiaTheme="minorEastAsia"/>
                <w:color w:val="auto"/>
              </w:rPr>
              <w:t>；</w:t>
            </w:r>
          </w:p>
        </w:tc>
      </w:tr>
      <w:tr w14:paraId="5154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90" w:type="pct"/>
            <w:vAlign w:val="center"/>
          </w:tcPr>
          <w:p w14:paraId="6D8DE80E">
            <w:pPr>
              <w:ind w:firstLine="0" w:firstLineChars="0"/>
              <w:jc w:val="center"/>
              <w:rPr>
                <w:rFonts w:hint="eastAsia"/>
                <w:color w:val="auto"/>
              </w:rPr>
            </w:pPr>
          </w:p>
        </w:tc>
        <w:tc>
          <w:tcPr>
            <w:tcW w:w="873" w:type="pct"/>
            <w:gridSpan w:val="2"/>
          </w:tcPr>
          <w:p w14:paraId="2332563C">
            <w:pPr>
              <w:ind w:firstLine="0" w:firstLineChars="0"/>
              <w:jc w:val="right"/>
              <w:rPr>
                <w:color w:val="auto"/>
                <w:position w:val="-12"/>
              </w:rPr>
            </w:pPr>
            <w:r>
              <w:rPr>
                <w:color w:val="auto"/>
                <w:position w:val="-12"/>
              </w:rPr>
              <w:object>
                <v:shape id="_x0000_i1159" o:spt="75" type="#_x0000_t75" style="height:18.4pt;width:27.9pt;" o:ole="t" filled="f" o:preferrelative="t" stroked="f" coordsize="21600,21600">
                  <v:path/>
                  <v:fill on="f" focussize="0,0"/>
                  <v:stroke on="f"/>
                  <v:imagedata r:id="rId334" o:title=""/>
                  <o:lock v:ext="edit" aspectratio="t"/>
                  <w10:wrap type="none"/>
                  <w10:anchorlock/>
                </v:shape>
                <o:OLEObject Type="Embed" ProgID="Equation.DSMT4" ShapeID="_x0000_i1159" DrawAspect="Content" ObjectID="_1468075859" r:id="rId333">
                  <o:LockedField>false</o:LockedField>
                </o:OLEObject>
              </w:object>
            </w:r>
          </w:p>
        </w:tc>
        <w:tc>
          <w:tcPr>
            <w:tcW w:w="449" w:type="pct"/>
          </w:tcPr>
          <w:p w14:paraId="1DA6EF39">
            <w:pPr>
              <w:ind w:firstLine="0" w:firstLineChars="0"/>
              <w:jc w:val="center"/>
              <w:rPr>
                <w:rFonts w:eastAsiaTheme="minorEastAsia"/>
                <w:color w:val="auto"/>
                <w:szCs w:val="24"/>
              </w:rPr>
            </w:pPr>
            <w:r>
              <w:rPr>
                <w:rFonts w:eastAsiaTheme="minorEastAsia"/>
                <w:color w:val="auto"/>
                <w:szCs w:val="24"/>
              </w:rPr>
              <w:t>——</w:t>
            </w:r>
          </w:p>
        </w:tc>
        <w:tc>
          <w:tcPr>
            <w:tcW w:w="3186" w:type="pct"/>
            <w:gridSpan w:val="2"/>
            <w:vAlign w:val="center"/>
          </w:tcPr>
          <w:p w14:paraId="63B123EB">
            <w:pPr>
              <w:ind w:firstLine="0" w:firstLineChars="0"/>
              <w:rPr>
                <w:rFonts w:hint="eastAsia" w:eastAsia="宋体"/>
                <w:color w:val="auto"/>
                <w:lang w:eastAsia="zh-CN"/>
              </w:rPr>
            </w:pPr>
            <w:r>
              <w:rPr>
                <w:rFonts w:hint="eastAsia"/>
                <w:color w:val="auto"/>
                <w:lang w:eastAsia="zh-CN"/>
              </w:rPr>
              <w:t>按</w:t>
            </w:r>
            <w:r>
              <w:rPr>
                <w:rFonts w:hint="eastAsia"/>
                <w:color w:val="auto"/>
              </w:rPr>
              <w:t>实配钢筋面积</w:t>
            </w:r>
            <w:r>
              <w:rPr>
                <w:rFonts w:hint="eastAsia"/>
                <w:color w:val="auto"/>
                <w:lang w:eastAsia="zh-CN"/>
              </w:rPr>
              <w:t>和</w:t>
            </w:r>
            <w:r>
              <w:rPr>
                <w:rFonts w:hint="eastAsia"/>
                <w:color w:val="auto"/>
              </w:rPr>
              <w:t>材料强度标准值</w:t>
            </w:r>
            <w:r>
              <w:rPr>
                <w:rFonts w:hint="eastAsia"/>
                <w:color w:val="auto"/>
                <w:lang w:eastAsia="zh-CN"/>
              </w:rPr>
              <w:t>计算的</w:t>
            </w:r>
            <w:r>
              <w:rPr>
                <w:rFonts w:hint="eastAsia"/>
                <w:color w:val="auto"/>
              </w:rPr>
              <w:t>正截面抗震受弯承载力（N·mm）</w:t>
            </w:r>
            <w:r>
              <w:rPr>
                <w:rFonts w:hint="eastAsia"/>
                <w:color w:val="auto"/>
                <w:lang w:eastAsia="zh-CN"/>
              </w:rPr>
              <w:t>，</w:t>
            </w:r>
            <w:r>
              <w:rPr>
                <w:rFonts w:hint="eastAsia"/>
                <w:color w:val="auto"/>
                <w:lang w:val="en-US" w:eastAsia="zh-CN"/>
              </w:rPr>
              <w:t>轴力取与计算取与计算</w:t>
            </w:r>
            <w:r>
              <w:rPr>
                <w:color w:val="auto"/>
                <w:position w:val="-12"/>
              </w:rPr>
              <w:object>
                <v:shape id="_x0000_i1160" o:spt="75" type="#_x0000_t75" style="height:19.55pt;width:22.2pt;" o:ole="t" filled="f" o:preferrelative="t" stroked="f" coordsize="21600,21600">
                  <v:path/>
                  <v:fill on="f" focussize="0,0"/>
                  <v:stroke on="f"/>
                  <v:imagedata r:id="rId332" o:title=""/>
                  <o:lock v:ext="edit" aspectratio="t"/>
                  <w10:wrap type="none"/>
                  <w10:anchorlock/>
                </v:shape>
                <o:OLEObject Type="Embed" ProgID="Equation.DSMT4" ShapeID="_x0000_i1160" DrawAspect="Content" ObjectID="_1468075860" r:id="rId335">
                  <o:LockedField>false</o:LockedField>
                </o:OLEObject>
              </w:object>
            </w:r>
            <w:r>
              <w:rPr>
                <w:rFonts w:hint="eastAsia"/>
                <w:color w:val="auto"/>
                <w:lang w:val="en-US" w:eastAsia="zh-CN"/>
              </w:rPr>
              <w:t>相同的值</w:t>
            </w:r>
            <w:r>
              <w:rPr>
                <w:rFonts w:hint="eastAsia"/>
                <w:color w:val="auto"/>
                <w:lang w:eastAsia="zh-CN"/>
              </w:rPr>
              <w:t>；</w:t>
            </w:r>
          </w:p>
        </w:tc>
      </w:tr>
      <w:tr w14:paraId="7E454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4" w:hRule="atLeast"/>
        </w:trPr>
        <w:tc>
          <w:tcPr>
            <w:tcW w:w="490" w:type="pct"/>
            <w:vAlign w:val="center"/>
          </w:tcPr>
          <w:p w14:paraId="628B46A3">
            <w:pPr>
              <w:ind w:firstLine="0" w:firstLineChars="0"/>
              <w:jc w:val="center"/>
              <w:rPr>
                <w:rFonts w:hint="eastAsia"/>
                <w:color w:val="auto"/>
              </w:rPr>
            </w:pPr>
          </w:p>
        </w:tc>
        <w:tc>
          <w:tcPr>
            <w:tcW w:w="873" w:type="pct"/>
            <w:gridSpan w:val="2"/>
            <w:vAlign w:val="top"/>
          </w:tcPr>
          <w:p w14:paraId="1F0E05E9">
            <w:pPr>
              <w:ind w:firstLine="0" w:firstLineChars="0"/>
              <w:jc w:val="right"/>
              <w:rPr>
                <w:rFonts w:ascii="Times New Roman" w:hAnsi="Times New Roman" w:eastAsia="宋体" w:cs="Times New Roman"/>
                <w:color w:val="auto"/>
                <w:kern w:val="2"/>
                <w:position w:val="-12"/>
                <w:sz w:val="24"/>
                <w:lang w:val="en-US" w:eastAsia="zh-CN" w:bidi="ar-SA"/>
              </w:rPr>
            </w:pPr>
            <w:r>
              <w:rPr>
                <w:color w:val="auto"/>
                <w:position w:val="-12"/>
              </w:rPr>
              <w:object>
                <v:shape id="_x0000_i1161" o:spt="75" type="#_x0000_t75" style="height:20.4pt;width:63.4pt;" o:ole="t" filled="f" o:preferrelative="t" stroked="f" coordsize="21600,21600">
                  <v:path/>
                  <v:fill on="f" focussize="0,0"/>
                  <v:stroke on="f"/>
                  <v:imagedata r:id="rId337" o:title=""/>
                  <o:lock v:ext="edit" aspectratio="t"/>
                  <w10:wrap type="none"/>
                  <w10:anchorlock/>
                </v:shape>
                <o:OLEObject Type="Embed" ProgID="Equation.DSMT4" ShapeID="_x0000_i1161" DrawAspect="Content" ObjectID="_1468075861" r:id="rId336">
                  <o:LockedField>false</o:LockedField>
                </o:OLEObject>
              </w:object>
            </w:r>
          </w:p>
        </w:tc>
        <w:tc>
          <w:tcPr>
            <w:tcW w:w="449" w:type="pct"/>
            <w:vAlign w:val="top"/>
          </w:tcPr>
          <w:p w14:paraId="61A2DBE6">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186" w:type="pct"/>
            <w:gridSpan w:val="2"/>
            <w:vAlign w:val="center"/>
          </w:tcPr>
          <w:p w14:paraId="09B08B05">
            <w:pPr>
              <w:ind w:firstLine="0" w:firstLineChars="0"/>
              <w:rPr>
                <w:rFonts w:hint="eastAsia" w:ascii="Times New Roman" w:hAnsi="Times New Roman" w:eastAsia="宋体" w:cs="Times New Roman"/>
                <w:color w:val="auto"/>
                <w:kern w:val="2"/>
                <w:sz w:val="24"/>
                <w:lang w:val="en-US" w:eastAsia="zh-CN" w:bidi="ar-SA"/>
              </w:rPr>
            </w:pPr>
            <w:r>
              <w:rPr>
                <w:rFonts w:hint="eastAsia"/>
                <w:color w:val="auto"/>
                <w:lang w:eastAsia="zh-CN"/>
              </w:rPr>
              <w:t>分别为偏心受压柱上下端顺时针或反时针方向按</w:t>
            </w:r>
            <w:r>
              <w:rPr>
                <w:rFonts w:hint="eastAsia"/>
                <w:color w:val="auto"/>
              </w:rPr>
              <w:t>实配钢筋面积</w:t>
            </w:r>
            <w:r>
              <w:rPr>
                <w:rFonts w:hint="eastAsia"/>
                <w:color w:val="auto"/>
                <w:lang w:eastAsia="zh-CN"/>
              </w:rPr>
              <w:t>和</w:t>
            </w:r>
            <w:r>
              <w:rPr>
                <w:rFonts w:hint="eastAsia"/>
                <w:color w:val="auto"/>
              </w:rPr>
              <w:t>材料强度标准值</w:t>
            </w:r>
            <w:r>
              <w:rPr>
                <w:rFonts w:hint="eastAsia"/>
                <w:color w:val="auto"/>
                <w:lang w:eastAsia="zh-CN"/>
              </w:rPr>
              <w:t>计算的</w:t>
            </w:r>
            <w:r>
              <w:rPr>
                <w:rFonts w:hint="eastAsia"/>
                <w:color w:val="auto"/>
              </w:rPr>
              <w:t>正截面抗震受弯承载力所对应</w:t>
            </w:r>
            <w:r>
              <w:rPr>
                <w:rFonts w:hint="eastAsia"/>
                <w:color w:val="auto"/>
                <w:lang w:eastAsia="zh-CN"/>
              </w:rPr>
              <w:t>的</w:t>
            </w:r>
            <w:r>
              <w:rPr>
                <w:rFonts w:hint="eastAsia"/>
                <w:color w:val="auto"/>
              </w:rPr>
              <w:t>弯矩值（N·mm）</w:t>
            </w:r>
            <w:r>
              <w:rPr>
                <w:rFonts w:hint="eastAsia"/>
                <w:color w:val="auto"/>
                <w:lang w:eastAsia="zh-CN"/>
              </w:rPr>
              <w:t>，计算时不考虑承载力抗震调整系数；</w:t>
            </w:r>
          </w:p>
        </w:tc>
      </w:tr>
      <w:tr w14:paraId="15E60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6489A06F">
            <w:pPr>
              <w:ind w:firstLine="0" w:firstLineChars="0"/>
              <w:jc w:val="center"/>
              <w:rPr>
                <w:color w:val="auto"/>
              </w:rPr>
            </w:pPr>
          </w:p>
        </w:tc>
        <w:tc>
          <w:tcPr>
            <w:tcW w:w="873" w:type="pct"/>
            <w:gridSpan w:val="2"/>
          </w:tcPr>
          <w:p w14:paraId="3378930F">
            <w:pPr>
              <w:ind w:firstLine="0" w:firstLineChars="0"/>
              <w:jc w:val="right"/>
              <w:rPr>
                <w:color w:val="auto"/>
                <w:position w:val="-12"/>
              </w:rPr>
            </w:pPr>
            <w:r>
              <w:rPr>
                <w:color w:val="auto"/>
                <w:position w:val="-12"/>
              </w:rPr>
              <w:object>
                <v:shape id="_x0000_i1162" o:spt="75" type="#_x0000_t75" style="height:19.55pt;width:17pt;" o:ole="t" filled="f" o:preferrelative="t" stroked="f" coordsize="21600,21600">
                  <v:path/>
                  <v:fill on="f" focussize="0,0"/>
                  <v:stroke on="f"/>
                  <v:imagedata r:id="rId339" o:title=""/>
                  <o:lock v:ext="edit" aspectratio="t"/>
                  <w10:wrap type="none"/>
                  <w10:anchorlock/>
                </v:shape>
                <o:OLEObject Type="Embed" ProgID="Equation.DSMT4" ShapeID="_x0000_i1162" DrawAspect="Content" ObjectID="_1468075862" r:id="rId338">
                  <o:LockedField>false</o:LockedField>
                </o:OLEObject>
              </w:object>
            </w:r>
          </w:p>
        </w:tc>
        <w:tc>
          <w:tcPr>
            <w:tcW w:w="449" w:type="pct"/>
          </w:tcPr>
          <w:p w14:paraId="6F72A2FB">
            <w:pPr>
              <w:ind w:firstLine="0" w:firstLineChars="0"/>
              <w:jc w:val="center"/>
              <w:rPr>
                <w:rFonts w:eastAsiaTheme="minorEastAsia"/>
                <w:color w:val="auto"/>
                <w:szCs w:val="24"/>
              </w:rPr>
            </w:pPr>
            <w:r>
              <w:rPr>
                <w:rFonts w:eastAsiaTheme="minorEastAsia"/>
                <w:color w:val="auto"/>
                <w:szCs w:val="24"/>
              </w:rPr>
              <w:t>——</w:t>
            </w:r>
          </w:p>
        </w:tc>
        <w:tc>
          <w:tcPr>
            <w:tcW w:w="3186" w:type="pct"/>
            <w:gridSpan w:val="2"/>
            <w:vAlign w:val="center"/>
          </w:tcPr>
          <w:p w14:paraId="15E0D9EB">
            <w:pPr>
              <w:ind w:firstLine="0" w:firstLineChars="0"/>
              <w:rPr>
                <w:color w:val="auto"/>
              </w:rPr>
            </w:pPr>
            <w:r>
              <w:rPr>
                <w:rFonts w:hint="eastAsia" w:eastAsiaTheme="minorEastAsia"/>
                <w:color w:val="auto"/>
                <w:lang w:val="en-US" w:eastAsia="zh-CN"/>
              </w:rPr>
              <w:t>预制柱</w:t>
            </w:r>
            <w:r>
              <w:rPr>
                <w:rFonts w:hint="eastAsia"/>
                <w:color w:val="auto"/>
              </w:rPr>
              <w:t>连接的极限受剪承载力（N）</w:t>
            </w:r>
            <w:r>
              <w:rPr>
                <w:rFonts w:hint="eastAsia"/>
                <w:color w:val="auto"/>
                <w:lang w:eastAsia="zh-CN"/>
              </w:rPr>
              <w:t>，计算时不考虑</w:t>
            </w:r>
            <w:r>
              <w:rPr>
                <w:rFonts w:hint="eastAsia"/>
                <w:color w:val="auto"/>
                <w:lang w:val="en-US" w:eastAsia="zh-CN"/>
              </w:rPr>
              <w:t>连接杆</w:t>
            </w:r>
            <w:r>
              <w:rPr>
                <w:rFonts w:hint="eastAsia"/>
                <w:color w:val="auto"/>
                <w:lang w:eastAsia="zh-CN"/>
              </w:rPr>
              <w:t>的抗剪和</w:t>
            </w:r>
            <w:r>
              <w:rPr>
                <w:rFonts w:hint="eastAsia"/>
              </w:rPr>
              <w:t>承载力抗震调整系数，材料强度均取标准值</w:t>
            </w:r>
            <w:r>
              <w:rPr>
                <w:rFonts w:hint="eastAsia"/>
                <w:color w:val="auto"/>
              </w:rPr>
              <w:t>；</w:t>
            </w:r>
          </w:p>
        </w:tc>
      </w:tr>
      <w:tr w14:paraId="2F4B5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51D3C6B6">
            <w:pPr>
              <w:ind w:firstLine="0" w:firstLineChars="0"/>
              <w:jc w:val="center"/>
              <w:rPr>
                <w:color w:val="auto"/>
              </w:rPr>
            </w:pPr>
          </w:p>
        </w:tc>
        <w:tc>
          <w:tcPr>
            <w:tcW w:w="873" w:type="pct"/>
            <w:gridSpan w:val="2"/>
          </w:tcPr>
          <w:p w14:paraId="402A29BF">
            <w:pPr>
              <w:ind w:firstLine="0" w:firstLineChars="0"/>
              <w:jc w:val="right"/>
              <w:rPr>
                <w:color w:val="auto"/>
                <w:position w:val="-12"/>
                <w:vertAlign w:val="subscript"/>
              </w:rPr>
            </w:pPr>
            <w:r>
              <w:rPr>
                <w:color w:val="auto"/>
                <w:position w:val="-14"/>
              </w:rPr>
              <w:object>
                <v:shape id="_x0000_i1163" o:spt="75" type="#_x0000_t75" style="height:19.55pt;width:21pt;" o:ole="t" filled="f" o:preferrelative="t" stroked="f" coordsize="21600,21600">
                  <v:path/>
                  <v:fill on="f" focussize="0,0"/>
                  <v:stroke on="f"/>
                  <v:imagedata r:id="rId341" o:title=""/>
                  <o:lock v:ext="edit" aspectratio="t"/>
                  <w10:wrap type="none"/>
                  <w10:anchorlock/>
                </v:shape>
                <o:OLEObject Type="Embed" ProgID="Equation.DSMT4" ShapeID="_x0000_i1163" DrawAspect="Content" ObjectID="_1468075863" r:id="rId340">
                  <o:LockedField>false</o:LockedField>
                </o:OLEObject>
              </w:object>
            </w:r>
          </w:p>
        </w:tc>
        <w:tc>
          <w:tcPr>
            <w:tcW w:w="449" w:type="pct"/>
          </w:tcPr>
          <w:p w14:paraId="30AB5B67">
            <w:pPr>
              <w:ind w:firstLine="0" w:firstLineChars="0"/>
              <w:jc w:val="center"/>
              <w:rPr>
                <w:rFonts w:eastAsiaTheme="minorEastAsia"/>
                <w:color w:val="auto"/>
                <w:szCs w:val="24"/>
              </w:rPr>
            </w:pPr>
            <w:r>
              <w:rPr>
                <w:rFonts w:eastAsiaTheme="minorEastAsia"/>
                <w:color w:val="auto"/>
                <w:szCs w:val="24"/>
              </w:rPr>
              <w:t>——</w:t>
            </w:r>
          </w:p>
        </w:tc>
        <w:tc>
          <w:tcPr>
            <w:tcW w:w="3186" w:type="pct"/>
            <w:gridSpan w:val="2"/>
            <w:vAlign w:val="center"/>
          </w:tcPr>
          <w:p w14:paraId="5C3FB30F">
            <w:pPr>
              <w:ind w:firstLine="0" w:firstLineChars="0"/>
              <w:rPr>
                <w:color w:val="auto"/>
              </w:rPr>
            </w:pPr>
            <w:r>
              <w:rPr>
                <w:rFonts w:hint="eastAsia" w:eastAsiaTheme="minorEastAsia"/>
                <w:color w:val="auto"/>
                <w:lang w:val="en-US" w:eastAsia="zh-CN"/>
              </w:rPr>
              <w:t>预制柱</w:t>
            </w:r>
            <w:r>
              <w:rPr>
                <w:rFonts w:hint="eastAsia"/>
                <w:color w:val="auto"/>
              </w:rPr>
              <w:t>连接的</w:t>
            </w:r>
            <w:r>
              <w:rPr>
                <w:rFonts w:hint="eastAsia"/>
                <w:color w:val="auto"/>
                <w:lang w:eastAsia="zh-CN"/>
              </w:rPr>
              <w:t>受弯连接增大</w:t>
            </w:r>
            <w:r>
              <w:rPr>
                <w:rFonts w:hint="eastAsia"/>
                <w:color w:val="auto"/>
              </w:rPr>
              <w:t>系数</w:t>
            </w:r>
            <w:r>
              <w:rPr>
                <w:rFonts w:hint="eastAsia"/>
                <w:color w:val="auto"/>
                <w:lang w:val="en-US" w:eastAsia="zh-CN"/>
              </w:rPr>
              <w:t>，取1.0；</w:t>
            </w:r>
          </w:p>
        </w:tc>
      </w:tr>
      <w:tr w14:paraId="5DAD9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0" w:type="pct"/>
            <w:vAlign w:val="center"/>
          </w:tcPr>
          <w:p w14:paraId="07D4CE52">
            <w:pPr>
              <w:ind w:firstLine="0" w:firstLineChars="0"/>
              <w:jc w:val="center"/>
              <w:rPr>
                <w:color w:val="auto"/>
              </w:rPr>
            </w:pPr>
          </w:p>
        </w:tc>
        <w:tc>
          <w:tcPr>
            <w:tcW w:w="873" w:type="pct"/>
            <w:gridSpan w:val="2"/>
            <w:vAlign w:val="top"/>
          </w:tcPr>
          <w:p w14:paraId="0B4BE07D">
            <w:pPr>
              <w:ind w:firstLine="0" w:firstLineChars="0"/>
              <w:jc w:val="right"/>
              <w:rPr>
                <w:rFonts w:ascii="Times New Roman" w:hAnsi="Times New Roman" w:eastAsia="宋体" w:cs="Times New Roman"/>
                <w:color w:val="auto"/>
                <w:kern w:val="2"/>
                <w:position w:val="-12"/>
                <w:sz w:val="24"/>
                <w:vertAlign w:val="subscript"/>
                <w:lang w:val="en-US" w:eastAsia="zh-CN" w:bidi="ar-SA"/>
              </w:rPr>
            </w:pPr>
            <w:r>
              <w:rPr>
                <w:color w:val="auto"/>
                <w:position w:val="-14"/>
              </w:rPr>
              <w:object>
                <v:shape id="_x0000_i1164" o:spt="75" type="#_x0000_t75" style="height:19.55pt;width:20pt;" o:ole="t" filled="f" o:preferrelative="t" stroked="f" coordsize="21600,21600">
                  <v:path/>
                  <v:fill on="f" focussize="0,0"/>
                  <v:stroke on="f"/>
                  <v:imagedata r:id="rId343" o:title=""/>
                  <o:lock v:ext="edit" aspectratio="t"/>
                  <w10:wrap type="none"/>
                  <w10:anchorlock/>
                </v:shape>
                <o:OLEObject Type="Embed" ProgID="Equation.DSMT4" ShapeID="_x0000_i1164" DrawAspect="Content" ObjectID="_1468075864" r:id="rId342">
                  <o:LockedField>false</o:LockedField>
                </o:OLEObject>
              </w:object>
            </w:r>
          </w:p>
        </w:tc>
        <w:tc>
          <w:tcPr>
            <w:tcW w:w="449" w:type="pct"/>
            <w:vAlign w:val="top"/>
          </w:tcPr>
          <w:p w14:paraId="693018B5">
            <w:pPr>
              <w:ind w:firstLine="0" w:firstLineChars="0"/>
              <w:jc w:val="center"/>
              <w:rPr>
                <w:rFonts w:ascii="Times New Roman" w:hAnsi="Times New Roman" w:cs="Times New Roman" w:eastAsiaTheme="minorEastAsia"/>
                <w:color w:val="auto"/>
                <w:kern w:val="2"/>
                <w:sz w:val="24"/>
                <w:szCs w:val="24"/>
                <w:lang w:val="en-US" w:eastAsia="zh-CN" w:bidi="ar-SA"/>
              </w:rPr>
            </w:pPr>
            <w:r>
              <w:rPr>
                <w:rFonts w:eastAsiaTheme="minorEastAsia"/>
                <w:color w:val="auto"/>
                <w:szCs w:val="24"/>
              </w:rPr>
              <w:t>——</w:t>
            </w:r>
          </w:p>
        </w:tc>
        <w:tc>
          <w:tcPr>
            <w:tcW w:w="3186" w:type="pct"/>
            <w:gridSpan w:val="2"/>
            <w:vAlign w:val="center"/>
          </w:tcPr>
          <w:p w14:paraId="1B17D959">
            <w:pPr>
              <w:ind w:firstLine="0" w:firstLineChars="0"/>
              <w:rPr>
                <w:rFonts w:hint="eastAsia" w:ascii="Times New Roman" w:hAnsi="Times New Roman" w:eastAsia="宋体" w:cs="Times New Roman"/>
                <w:color w:val="auto"/>
                <w:kern w:val="2"/>
                <w:sz w:val="24"/>
                <w:lang w:val="en-US" w:eastAsia="zh-CN" w:bidi="ar-SA"/>
              </w:rPr>
            </w:pPr>
            <w:r>
              <w:rPr>
                <w:rFonts w:hint="eastAsia" w:eastAsiaTheme="minorEastAsia"/>
                <w:color w:val="auto"/>
                <w:lang w:val="en-US" w:eastAsia="zh-CN"/>
              </w:rPr>
              <w:t>预制柱</w:t>
            </w:r>
            <w:r>
              <w:rPr>
                <w:rFonts w:hint="eastAsia"/>
                <w:color w:val="auto"/>
              </w:rPr>
              <w:t>连接的</w:t>
            </w:r>
            <w:r>
              <w:rPr>
                <w:rFonts w:hint="eastAsia"/>
                <w:color w:val="auto"/>
                <w:lang w:eastAsia="zh-CN"/>
              </w:rPr>
              <w:t>受</w:t>
            </w:r>
            <w:r>
              <w:rPr>
                <w:rFonts w:hint="eastAsia"/>
                <w:color w:val="auto"/>
                <w:lang w:val="en-US" w:eastAsia="zh-CN"/>
              </w:rPr>
              <w:t>剪</w:t>
            </w:r>
            <w:r>
              <w:rPr>
                <w:rFonts w:hint="eastAsia"/>
                <w:color w:val="auto"/>
                <w:lang w:eastAsia="zh-CN"/>
              </w:rPr>
              <w:t>连接增大</w:t>
            </w:r>
            <w:r>
              <w:rPr>
                <w:rFonts w:hint="eastAsia"/>
                <w:color w:val="auto"/>
              </w:rPr>
              <w:t>系数</w:t>
            </w:r>
            <w:r>
              <w:rPr>
                <w:rFonts w:hint="eastAsia" w:eastAsiaTheme="minorEastAsia"/>
                <w:color w:val="auto"/>
              </w:rPr>
              <w:t>，一</w:t>
            </w:r>
            <w:r>
              <w:rPr>
                <w:rFonts w:hint="eastAsia" w:eastAsiaTheme="minorEastAsia"/>
                <w:color w:val="auto"/>
                <w:lang w:val="en-US" w:eastAsia="zh-CN"/>
              </w:rPr>
              <w:t>级</w:t>
            </w:r>
            <w:r>
              <w:rPr>
                <w:rFonts w:hint="eastAsia" w:eastAsiaTheme="minorEastAsia"/>
                <w:color w:val="auto"/>
              </w:rPr>
              <w:t>、</w:t>
            </w:r>
            <w:r>
              <w:rPr>
                <w:rFonts w:hint="eastAsia"/>
                <w:color w:val="auto"/>
              </w:rPr>
              <w:t>二</w:t>
            </w:r>
            <w:r>
              <w:rPr>
                <w:rFonts w:hint="eastAsia" w:eastAsiaTheme="minorEastAsia"/>
                <w:color w:val="auto"/>
                <w:lang w:val="en-US" w:eastAsia="zh-CN"/>
              </w:rPr>
              <w:t>级</w:t>
            </w:r>
            <w:r>
              <w:rPr>
                <w:rFonts w:hint="eastAsia"/>
                <w:color w:val="auto"/>
              </w:rPr>
              <w:t>、三</w:t>
            </w:r>
            <w:r>
              <w:rPr>
                <w:rFonts w:hint="eastAsia" w:eastAsiaTheme="minorEastAsia"/>
                <w:color w:val="auto"/>
                <w:lang w:val="en-US" w:eastAsia="zh-CN"/>
              </w:rPr>
              <w:t>级</w:t>
            </w:r>
            <w:r>
              <w:rPr>
                <w:rFonts w:hint="eastAsia"/>
                <w:color w:val="auto"/>
              </w:rPr>
              <w:t>、四级可分别取1.</w:t>
            </w:r>
            <w:r>
              <w:rPr>
                <w:rFonts w:hint="eastAsia"/>
                <w:color w:val="auto"/>
                <w:lang w:val="en-US" w:eastAsia="zh-CN"/>
              </w:rPr>
              <w:t>3</w:t>
            </w:r>
            <w:r>
              <w:rPr>
                <w:rFonts w:hint="eastAsia" w:eastAsiaTheme="minorEastAsia"/>
                <w:color w:val="auto"/>
              </w:rPr>
              <w:t>、</w:t>
            </w:r>
            <w:r>
              <w:rPr>
                <w:rFonts w:hint="eastAsia"/>
                <w:color w:val="auto"/>
              </w:rPr>
              <w:t>1.</w:t>
            </w:r>
            <w:r>
              <w:rPr>
                <w:rFonts w:hint="eastAsia"/>
                <w:color w:val="auto"/>
                <w:lang w:val="en-US" w:eastAsia="zh-CN"/>
              </w:rPr>
              <w:t>2</w:t>
            </w:r>
            <w:r>
              <w:rPr>
                <w:rFonts w:hint="eastAsia" w:eastAsiaTheme="minorEastAsia"/>
                <w:color w:val="auto"/>
              </w:rPr>
              <w:t>、</w:t>
            </w:r>
            <w:r>
              <w:rPr>
                <w:rFonts w:hint="eastAsia"/>
                <w:color w:val="auto"/>
              </w:rPr>
              <w:t>1.</w:t>
            </w:r>
            <w:r>
              <w:rPr>
                <w:rFonts w:hint="eastAsia"/>
                <w:color w:val="auto"/>
                <w:lang w:val="en-US" w:eastAsia="zh-CN"/>
              </w:rPr>
              <w:t>1</w:t>
            </w:r>
            <w:r>
              <w:rPr>
                <w:rFonts w:hint="eastAsia" w:eastAsiaTheme="minorEastAsia"/>
                <w:color w:val="auto"/>
              </w:rPr>
              <w:t>、</w:t>
            </w:r>
            <w:r>
              <w:rPr>
                <w:rFonts w:hint="eastAsia"/>
                <w:color w:val="auto"/>
              </w:rPr>
              <w:t>1.</w:t>
            </w:r>
            <w:r>
              <w:rPr>
                <w:rFonts w:hint="eastAsia"/>
                <w:color w:val="auto"/>
                <w:lang w:val="en-US" w:eastAsia="zh-CN"/>
              </w:rPr>
              <w:t>1。</w:t>
            </w:r>
          </w:p>
        </w:tc>
      </w:tr>
    </w:tbl>
    <w:p w14:paraId="17C9BFAD">
      <w:pPr>
        <w:bidi w:val="0"/>
        <w:rPr>
          <w:rFonts w:hint="default"/>
        </w:rPr>
      </w:pPr>
    </w:p>
    <w:p w14:paraId="7F94CB64">
      <w:pPr>
        <w:pStyle w:val="42"/>
        <w:numPr>
          <w:ilvl w:val="2"/>
          <w:numId w:val="0"/>
        </w:numPr>
        <w:jc w:val="center"/>
        <w:rPr>
          <w:b/>
          <w:bCs/>
          <w:color w:val="auto"/>
        </w:rPr>
      </w:pPr>
      <w:r>
        <w:rPr>
          <w:rFonts w:hint="default" w:ascii="Times New Roman" w:hAnsi="Times New Roman" w:eastAsia="微软雅黑" w:cs="Times New Roman"/>
          <w:b/>
          <w:bCs/>
          <w:color w:val="auto"/>
        </w:rPr>
        <w:t>Ⅲ</w:t>
      </w:r>
      <w:r>
        <w:rPr>
          <w:rFonts w:hint="eastAsia" w:ascii="Times New Roman" w:hAnsi="Times New Roman" w:eastAsia="宋体" w:cs="Times New Roman"/>
          <w:b/>
          <w:bCs/>
          <w:color w:val="auto"/>
          <w:lang w:val="en-US" w:eastAsia="zh-CN"/>
        </w:rPr>
        <w:t xml:space="preserve"> </w:t>
      </w:r>
      <w:r>
        <w:rPr>
          <w:rFonts w:hint="eastAsia"/>
          <w:b/>
          <w:bCs/>
          <w:color w:val="auto"/>
          <w:lang w:val="en-US" w:eastAsia="zh-CN"/>
        </w:rPr>
        <w:t>钢组件灌浆</w:t>
      </w:r>
      <w:r>
        <w:rPr>
          <w:rFonts w:hint="eastAsia"/>
          <w:b/>
          <w:bCs/>
          <w:color w:val="auto"/>
        </w:rPr>
        <w:t>连接</w:t>
      </w:r>
    </w:p>
    <w:p w14:paraId="7379BD47">
      <w:pPr>
        <w:pStyle w:val="42"/>
        <w:rPr>
          <w:color w:val="auto"/>
        </w:rPr>
      </w:pPr>
      <w:r>
        <w:rPr>
          <w:rFonts w:hint="eastAsia"/>
          <w:color w:val="auto"/>
          <w:lang w:val="en-US" w:eastAsia="zh-CN"/>
        </w:rPr>
        <w:t>预制</w:t>
      </w:r>
      <w:r>
        <w:rPr>
          <w:rFonts w:hint="eastAsia"/>
          <w:color w:val="auto"/>
        </w:rPr>
        <w:t>柱采用</w:t>
      </w:r>
      <w:r>
        <w:rPr>
          <w:rFonts w:hint="eastAsia"/>
          <w:color w:val="auto"/>
          <w:lang w:val="en-US" w:eastAsia="zh-CN"/>
        </w:rPr>
        <w:t>钢组件</w:t>
      </w:r>
      <w:r>
        <w:rPr>
          <w:rFonts w:hint="eastAsia"/>
          <w:color w:val="auto"/>
        </w:rPr>
        <w:t>灌浆连接时，</w:t>
      </w:r>
      <w:r>
        <w:rPr>
          <w:rFonts w:hint="eastAsia"/>
          <w:color w:val="auto"/>
          <w:lang w:val="en-US" w:eastAsia="zh-CN"/>
        </w:rPr>
        <w:t>钢组件底板</w:t>
      </w:r>
      <w:r>
        <w:rPr>
          <w:rFonts w:hint="eastAsia"/>
          <w:color w:val="auto"/>
        </w:rPr>
        <w:t>间的构造和开孔构造应符合下列规定（图</w:t>
      </w:r>
      <w:r>
        <w:rPr>
          <w:rFonts w:hint="eastAsia"/>
          <w:color w:val="auto"/>
          <w:lang w:val="en-US" w:eastAsia="zh-CN"/>
        </w:rPr>
        <w:t>6.2.8</w:t>
      </w:r>
      <w:r>
        <w:rPr>
          <w:rFonts w:hint="eastAsia"/>
          <w:color w:val="auto"/>
        </w:rPr>
        <w:t>）：</w:t>
      </w:r>
    </w:p>
    <w:p w14:paraId="5C1A4E73">
      <w:pPr>
        <w:pStyle w:val="43"/>
        <w:ind w:firstLine="480" w:firstLineChars="0"/>
        <w:rPr>
          <w:color w:val="auto"/>
        </w:rPr>
      </w:pPr>
      <w:r>
        <w:rPr>
          <w:rFonts w:hint="eastAsia"/>
          <w:color w:val="auto"/>
          <w:lang w:val="en-US" w:eastAsia="zh-CN"/>
        </w:rPr>
        <w:t>底</w:t>
      </w:r>
      <w:r>
        <w:rPr>
          <w:rFonts w:hint="eastAsia"/>
          <w:color w:val="auto"/>
        </w:rPr>
        <w:t>板间的调平螺母设置应根据预制柱的施工验算进行确定；</w:t>
      </w:r>
    </w:p>
    <w:p w14:paraId="3BF71C6D">
      <w:pPr>
        <w:pStyle w:val="43"/>
        <w:ind w:firstLine="480" w:firstLineChars="0"/>
        <w:rPr>
          <w:color w:val="auto"/>
        </w:rPr>
      </w:pPr>
      <w:r>
        <w:rPr>
          <w:rFonts w:hint="eastAsia"/>
          <w:color w:val="auto"/>
          <w:lang w:val="en-US" w:eastAsia="zh-CN"/>
        </w:rPr>
        <w:t>底</w:t>
      </w:r>
      <w:r>
        <w:rPr>
          <w:rFonts w:hint="eastAsia"/>
          <w:color w:val="auto"/>
        </w:rPr>
        <w:t>板间的灌浆层厚度应根据螺栓规格进行调整，且不应小于35mm；</w:t>
      </w:r>
    </w:p>
    <w:p w14:paraId="223E5C38">
      <w:pPr>
        <w:pStyle w:val="43"/>
        <w:ind w:firstLine="480" w:firstLineChars="0"/>
        <w:rPr>
          <w:color w:val="auto"/>
        </w:rPr>
      </w:pPr>
      <w:r>
        <w:rPr>
          <w:rFonts w:hint="eastAsia"/>
          <w:color w:val="auto"/>
        </w:rPr>
        <w:t>开孔</w:t>
      </w:r>
      <w:r>
        <w:rPr>
          <w:rFonts w:hint="eastAsia"/>
          <w:color w:val="auto"/>
          <w:lang w:val="en-US" w:eastAsia="zh-CN"/>
        </w:rPr>
        <w:t>底</w:t>
      </w:r>
      <w:r>
        <w:rPr>
          <w:rFonts w:hint="eastAsia"/>
          <w:color w:val="auto"/>
        </w:rPr>
        <w:t>板孔洞边缘至下</w:t>
      </w:r>
      <w:r>
        <w:rPr>
          <w:rFonts w:hint="eastAsia"/>
          <w:color w:val="auto"/>
          <w:lang w:val="en-US" w:eastAsia="zh-CN"/>
        </w:rPr>
        <w:t>节</w:t>
      </w:r>
      <w:r>
        <w:rPr>
          <w:rFonts w:hint="eastAsia"/>
          <w:color w:val="auto"/>
        </w:rPr>
        <w:t>柱</w:t>
      </w:r>
      <w:r>
        <w:rPr>
          <w:rFonts w:hint="eastAsia"/>
          <w:color w:val="auto"/>
          <w:lang w:val="en-US" w:eastAsia="zh-CN"/>
        </w:rPr>
        <w:t>侧板</w:t>
      </w:r>
      <w:r>
        <w:rPr>
          <w:rFonts w:hint="eastAsia"/>
          <w:color w:val="auto"/>
        </w:rPr>
        <w:t>内壁的距离不应小于10mm。</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7"/>
        <w:gridCol w:w="4257"/>
      </w:tblGrid>
      <w:tr w14:paraId="07682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7" w:type="dxa"/>
            <w:shd w:val="clear" w:color="auto" w:fill="auto"/>
            <w:vAlign w:val="center"/>
          </w:tcPr>
          <w:p w14:paraId="44BCD0D0">
            <w:pPr>
              <w:pStyle w:val="45"/>
              <w:ind w:firstLine="0" w:firstLineChars="0"/>
              <w:rPr>
                <w:rFonts w:hint="eastAsia"/>
                <w:color w:val="auto"/>
              </w:rPr>
            </w:pPr>
            <w:r>
              <w:drawing>
                <wp:inline distT="0" distB="0" distL="114300" distR="114300">
                  <wp:extent cx="2156460" cy="1800225"/>
                  <wp:effectExtent l="0" t="0" r="15240" b="9525"/>
                  <wp:docPr id="8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6"/>
                          <pic:cNvPicPr>
                            <a:picLocks noChangeAspect="1"/>
                          </pic:cNvPicPr>
                        </pic:nvPicPr>
                        <pic:blipFill>
                          <a:blip r:embed="rId344"/>
                          <a:stretch>
                            <a:fillRect/>
                          </a:stretch>
                        </pic:blipFill>
                        <pic:spPr>
                          <a:xfrm>
                            <a:off x="0" y="0"/>
                            <a:ext cx="2156460" cy="1800225"/>
                          </a:xfrm>
                          <a:prstGeom prst="rect">
                            <a:avLst/>
                          </a:prstGeom>
                          <a:noFill/>
                          <a:ln>
                            <a:noFill/>
                          </a:ln>
                        </pic:spPr>
                      </pic:pic>
                    </a:graphicData>
                  </a:graphic>
                </wp:inline>
              </w:drawing>
            </w:r>
          </w:p>
        </w:tc>
        <w:tc>
          <w:tcPr>
            <w:tcW w:w="4257" w:type="dxa"/>
            <w:shd w:val="clear" w:color="auto" w:fill="auto"/>
            <w:vAlign w:val="center"/>
          </w:tcPr>
          <w:p w14:paraId="02299E16">
            <w:pPr>
              <w:pStyle w:val="45"/>
              <w:ind w:firstLine="0" w:firstLineChars="0"/>
              <w:rPr>
                <w:rFonts w:hint="eastAsia"/>
                <w:color w:val="auto"/>
              </w:rPr>
            </w:pPr>
            <w:r>
              <w:drawing>
                <wp:inline distT="0" distB="0" distL="114300" distR="114300">
                  <wp:extent cx="1700530" cy="1440180"/>
                  <wp:effectExtent l="0" t="0" r="13970" b="7620"/>
                  <wp:docPr id="55"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7"/>
                          <pic:cNvPicPr>
                            <a:picLocks noChangeAspect="1"/>
                          </pic:cNvPicPr>
                        </pic:nvPicPr>
                        <pic:blipFill>
                          <a:blip r:embed="rId345"/>
                          <a:stretch>
                            <a:fillRect/>
                          </a:stretch>
                        </pic:blipFill>
                        <pic:spPr>
                          <a:xfrm>
                            <a:off x="0" y="0"/>
                            <a:ext cx="1700530" cy="1440180"/>
                          </a:xfrm>
                          <a:prstGeom prst="rect">
                            <a:avLst/>
                          </a:prstGeom>
                          <a:noFill/>
                          <a:ln>
                            <a:noFill/>
                          </a:ln>
                        </pic:spPr>
                      </pic:pic>
                    </a:graphicData>
                  </a:graphic>
                </wp:inline>
              </w:drawing>
            </w:r>
          </w:p>
        </w:tc>
      </w:tr>
    </w:tbl>
    <w:p w14:paraId="347BAD47">
      <w:pPr>
        <w:pStyle w:val="48"/>
        <w:rPr>
          <w:color w:val="auto"/>
        </w:rPr>
      </w:pPr>
      <w:r>
        <w:rPr>
          <w:rFonts w:hint="eastAsia"/>
          <w:color w:val="auto"/>
        </w:rPr>
        <w:t xml:space="preserve">  </w:t>
      </w:r>
    </w:p>
    <w:p w14:paraId="52E912DA">
      <w:pPr>
        <w:pStyle w:val="45"/>
        <w:rPr>
          <w:rFonts w:hint="default" w:eastAsia="黑体"/>
          <w:color w:val="auto"/>
          <w:lang w:val="en-US" w:eastAsia="zh-CN"/>
        </w:rPr>
      </w:pPr>
      <w:r>
        <w:rPr>
          <w:color w:val="auto"/>
        </w:rPr>
        <w:t>1—</w:t>
      </w:r>
      <w:r>
        <w:rPr>
          <w:rFonts w:hint="eastAsia"/>
          <w:color w:val="auto"/>
        </w:rPr>
        <w:t>上</w:t>
      </w:r>
      <w:r>
        <w:rPr>
          <w:rFonts w:hint="eastAsia"/>
          <w:color w:val="auto"/>
          <w:lang w:val="en-US" w:eastAsia="zh-CN"/>
        </w:rPr>
        <w:t>节</w:t>
      </w:r>
      <w:r>
        <w:rPr>
          <w:rFonts w:hint="eastAsia"/>
          <w:color w:val="auto"/>
        </w:rPr>
        <w:t>柱；</w:t>
      </w:r>
      <w:r>
        <w:rPr>
          <w:rFonts w:hint="eastAsia"/>
          <w:color w:val="auto"/>
          <w:lang w:val="en-US" w:eastAsia="zh-CN"/>
        </w:rPr>
        <w:t>2</w:t>
      </w:r>
      <w:r>
        <w:rPr>
          <w:color w:val="auto"/>
        </w:rPr>
        <w:t>—</w:t>
      </w:r>
      <w:r>
        <w:rPr>
          <w:rFonts w:hint="eastAsia"/>
          <w:color w:val="auto"/>
          <w:lang w:val="en-US" w:eastAsia="zh-CN"/>
        </w:rPr>
        <w:t>侧板</w:t>
      </w:r>
      <w:r>
        <w:rPr>
          <w:rFonts w:hint="eastAsia"/>
          <w:color w:val="auto"/>
        </w:rPr>
        <w:t>；3</w:t>
      </w:r>
      <w:r>
        <w:rPr>
          <w:color w:val="auto"/>
        </w:rPr>
        <w:t>—</w:t>
      </w:r>
      <w:r>
        <w:rPr>
          <w:rFonts w:hint="eastAsia"/>
          <w:color w:val="auto"/>
          <w:lang w:val="en-US" w:eastAsia="zh-CN"/>
        </w:rPr>
        <w:t>底板</w:t>
      </w:r>
      <w:r>
        <w:rPr>
          <w:rFonts w:hint="eastAsia"/>
          <w:color w:val="auto"/>
        </w:rPr>
        <w:t>；4</w:t>
      </w:r>
      <w:r>
        <w:rPr>
          <w:color w:val="auto"/>
        </w:rPr>
        <w:t>—</w:t>
      </w:r>
      <w:r>
        <w:rPr>
          <w:rFonts w:hint="eastAsia"/>
          <w:color w:val="auto"/>
        </w:rPr>
        <w:t>调平螺母；5</w:t>
      </w:r>
      <w:r>
        <w:rPr>
          <w:color w:val="auto"/>
        </w:rPr>
        <w:t>—</w:t>
      </w:r>
      <w:r>
        <w:rPr>
          <w:rFonts w:hint="eastAsia"/>
          <w:color w:val="auto"/>
          <w:lang w:val="en-US" w:eastAsia="zh-CN"/>
        </w:rPr>
        <w:t>抗剪键</w:t>
      </w:r>
      <w:r>
        <w:rPr>
          <w:rFonts w:hint="eastAsia"/>
          <w:color w:val="auto"/>
          <w:lang w:eastAsia="zh-CN"/>
        </w:rPr>
        <w:t>；</w:t>
      </w:r>
      <w:r>
        <w:rPr>
          <w:rFonts w:hint="eastAsia"/>
          <w:color w:val="auto"/>
          <w:lang w:val="en-US" w:eastAsia="zh-CN"/>
        </w:rPr>
        <w:t>6</w:t>
      </w:r>
      <w:r>
        <w:rPr>
          <w:color w:val="auto"/>
        </w:rPr>
        <w:t>—</w:t>
      </w:r>
      <w:r>
        <w:rPr>
          <w:rFonts w:hint="eastAsia"/>
          <w:color w:val="auto"/>
          <w:lang w:val="en-US" w:eastAsia="zh-CN"/>
        </w:rPr>
        <w:t>下节</w:t>
      </w:r>
      <w:r>
        <w:rPr>
          <w:rFonts w:hint="eastAsia"/>
          <w:color w:val="auto"/>
        </w:rPr>
        <w:t>柱</w:t>
      </w:r>
    </w:p>
    <w:p w14:paraId="583B3587">
      <w:pPr>
        <w:pStyle w:val="45"/>
        <w:rPr>
          <w:rFonts w:hint="eastAsia"/>
          <w:color w:val="auto"/>
        </w:rPr>
      </w:pPr>
      <w:r>
        <w:rPr>
          <w:rFonts w:hint="eastAsia"/>
          <w:color w:val="auto"/>
        </w:rPr>
        <w:t>图</w:t>
      </w:r>
      <w:r>
        <w:rPr>
          <w:rFonts w:hint="eastAsia"/>
          <w:color w:val="auto"/>
          <w:lang w:val="en-US" w:eastAsia="zh-CN"/>
        </w:rPr>
        <w:t>6.2.8</w:t>
      </w:r>
      <w:r>
        <w:rPr>
          <w:color w:val="auto"/>
        </w:rPr>
        <w:t xml:space="preserve"> </w:t>
      </w:r>
      <w:r>
        <w:rPr>
          <w:rFonts w:hint="eastAsia"/>
          <w:color w:val="auto"/>
        </w:rPr>
        <w:t xml:space="preserve"> </w:t>
      </w:r>
      <w:r>
        <w:rPr>
          <w:rFonts w:hint="eastAsia"/>
          <w:color w:val="auto"/>
          <w:lang w:val="en-US" w:eastAsia="zh-CN"/>
        </w:rPr>
        <w:t>钢组件</w:t>
      </w:r>
      <w:r>
        <w:rPr>
          <w:rFonts w:hint="eastAsia"/>
          <w:color w:val="auto"/>
        </w:rPr>
        <w:t>灌浆连接构造示意</w:t>
      </w:r>
    </w:p>
    <w:p w14:paraId="03336254">
      <w:pPr>
        <w:pStyle w:val="42"/>
        <w:bidi w:val="0"/>
        <w:rPr>
          <w:rFonts w:hint="eastAsia"/>
        </w:rPr>
      </w:pPr>
      <w:r>
        <w:rPr>
          <w:rFonts w:hint="eastAsia"/>
          <w:color w:val="auto"/>
          <w:lang w:val="en-US" w:eastAsia="zh-CN"/>
        </w:rPr>
        <w:t>预制</w:t>
      </w:r>
      <w:r>
        <w:rPr>
          <w:rFonts w:hint="eastAsia"/>
          <w:color w:val="auto"/>
        </w:rPr>
        <w:t>柱</w:t>
      </w:r>
      <w:r>
        <w:rPr>
          <w:rFonts w:hint="eastAsia"/>
          <w:lang w:eastAsia="zh-CN"/>
        </w:rPr>
        <w:t>连接</w:t>
      </w:r>
      <w:r>
        <w:rPr>
          <w:rFonts w:hint="eastAsia"/>
        </w:rPr>
        <w:t>接缝截面受弯承载力应符合</w:t>
      </w:r>
      <w:r>
        <w:rPr>
          <w:rFonts w:hint="eastAsia"/>
          <w:lang w:val="en-US" w:eastAsia="zh-CN"/>
        </w:rPr>
        <w:t>本规程第6.2.5条的规定。柱端水平接缝的剪力全部由抗剪键承担，水平接缝的受剪承载力验算应符合本规程第6.2.6条的规定。</w:t>
      </w:r>
    </w:p>
    <w:p w14:paraId="1EDE11B8">
      <w:pPr>
        <w:pStyle w:val="42"/>
        <w:bidi w:val="0"/>
        <w:rPr>
          <w:rFonts w:hint="eastAsia"/>
          <w:lang w:val="en-US" w:eastAsia="zh-CN"/>
        </w:rPr>
      </w:pPr>
      <w:r>
        <w:rPr>
          <w:rFonts w:hint="eastAsia"/>
          <w:lang w:val="en-US" w:eastAsia="zh-CN"/>
        </w:rPr>
        <w:t>预制柱连接的极限承载力验算应符合本规程第6.2.7条的规定。</w:t>
      </w:r>
    </w:p>
    <w:p w14:paraId="1738AB1F">
      <w:pPr>
        <w:pStyle w:val="41"/>
        <w:numPr>
          <w:ilvl w:val="1"/>
          <w:numId w:val="9"/>
        </w:numPr>
        <w:bidi w:val="0"/>
      </w:pPr>
      <w:bookmarkStart w:id="50" w:name="_Toc11864"/>
      <w:r>
        <w:rPr>
          <w:rFonts w:hint="eastAsia"/>
          <w:lang w:val="en-US" w:eastAsia="zh-CN"/>
        </w:rPr>
        <w:t>柱脚节点</w:t>
      </w:r>
      <w:bookmarkEnd w:id="50"/>
    </w:p>
    <w:p w14:paraId="19446101">
      <w:pPr>
        <w:pStyle w:val="42"/>
        <w:rPr>
          <w:color w:val="auto"/>
        </w:rPr>
      </w:pPr>
      <w:r>
        <w:rPr>
          <w:rFonts w:hint="eastAsia"/>
          <w:color w:val="auto"/>
          <w:lang w:val="en-US" w:eastAsia="zh-CN"/>
        </w:rPr>
        <w:t>当预制柱与基础通过</w:t>
      </w:r>
      <w:r>
        <w:rPr>
          <w:rFonts w:hint="eastAsia" w:cs="Times New Roman"/>
          <w:lang w:val="en-US" w:eastAsia="zh-CN"/>
        </w:rPr>
        <w:t>钢组件连接时，</w:t>
      </w:r>
      <w:r>
        <w:rPr>
          <w:rFonts w:hint="eastAsia"/>
          <w:color w:val="auto"/>
          <w:lang w:val="en-US" w:eastAsia="zh-CN"/>
        </w:rPr>
        <w:t>宜采用</w:t>
      </w:r>
      <w:r>
        <w:rPr>
          <w:rFonts w:hint="eastAsia" w:cs="Times New Roman"/>
          <w:lang w:val="en-US" w:eastAsia="zh-CN"/>
        </w:rPr>
        <w:t>钢组件螺栓连接。</w:t>
      </w:r>
    </w:p>
    <w:p w14:paraId="7EC43114">
      <w:pPr>
        <w:pStyle w:val="42"/>
        <w:rPr>
          <w:color w:val="auto"/>
        </w:rPr>
      </w:pPr>
      <w:r>
        <w:rPr>
          <w:rFonts w:hint="eastAsia" w:cs="Times New Roman"/>
          <w:lang w:val="en-US" w:eastAsia="zh-CN"/>
        </w:rPr>
        <w:t>柱脚节点采用钢组件螺栓连接时，除应满足本规程第6.2.4条~第6.2.7条的规定外，在进行</w:t>
      </w:r>
      <w:r>
        <w:rPr>
          <w:rFonts w:hint="eastAsia" w:eastAsiaTheme="minorEastAsia"/>
          <w:color w:val="auto"/>
          <w:lang w:val="en-US" w:eastAsia="zh-CN"/>
        </w:rPr>
        <w:t>预制柱</w:t>
      </w:r>
      <w:r>
        <w:rPr>
          <w:rFonts w:hint="eastAsia"/>
          <w:color w:val="auto"/>
        </w:rPr>
        <w:t>连接的极限承载力</w:t>
      </w:r>
      <w:r>
        <w:rPr>
          <w:rFonts w:hint="eastAsia"/>
          <w:color w:val="auto"/>
          <w:lang w:val="en-US" w:eastAsia="zh-CN"/>
        </w:rPr>
        <w:t>验算时，</w:t>
      </w:r>
      <w:r>
        <w:rPr>
          <w:rFonts w:hint="eastAsia" w:eastAsiaTheme="minorEastAsia"/>
          <w:color w:val="auto"/>
        </w:rPr>
        <w:t>一</w:t>
      </w:r>
      <w:r>
        <w:rPr>
          <w:rFonts w:hint="eastAsia" w:eastAsiaTheme="minorEastAsia"/>
          <w:color w:val="auto"/>
          <w:lang w:val="en-US" w:eastAsia="zh-CN"/>
        </w:rPr>
        <w:t>级</w:t>
      </w:r>
      <w:r>
        <w:rPr>
          <w:rFonts w:hint="eastAsia" w:eastAsiaTheme="minorEastAsia"/>
          <w:color w:val="auto"/>
        </w:rPr>
        <w:t>、</w:t>
      </w:r>
      <w:r>
        <w:rPr>
          <w:rFonts w:hint="eastAsia"/>
          <w:color w:val="auto"/>
        </w:rPr>
        <w:t>二</w:t>
      </w:r>
      <w:r>
        <w:rPr>
          <w:rFonts w:hint="eastAsia" w:eastAsiaTheme="minorEastAsia"/>
          <w:color w:val="auto"/>
          <w:lang w:val="en-US" w:eastAsia="zh-CN"/>
        </w:rPr>
        <w:t>级</w:t>
      </w:r>
      <w:r>
        <w:rPr>
          <w:rFonts w:hint="eastAsia"/>
          <w:color w:val="auto"/>
        </w:rPr>
        <w:t>、三</w:t>
      </w:r>
      <w:r>
        <w:rPr>
          <w:rFonts w:hint="eastAsia" w:eastAsiaTheme="minorEastAsia"/>
          <w:color w:val="auto"/>
          <w:lang w:val="en-US" w:eastAsia="zh-CN"/>
        </w:rPr>
        <w:t>级</w:t>
      </w:r>
      <w:r>
        <w:rPr>
          <w:rFonts w:hint="eastAsia"/>
          <w:color w:val="auto"/>
        </w:rPr>
        <w:t>、四级</w:t>
      </w:r>
      <w:r>
        <w:rPr>
          <w:rFonts w:hint="eastAsia"/>
          <w:color w:val="auto"/>
          <w:lang w:val="en-US" w:eastAsia="zh-CN"/>
        </w:rPr>
        <w:t>的</w:t>
      </w:r>
      <w:r>
        <w:rPr>
          <w:rFonts w:hint="eastAsia"/>
          <w:color w:val="auto"/>
          <w:lang w:eastAsia="zh-CN"/>
        </w:rPr>
        <w:t>受弯连接增大</w:t>
      </w:r>
      <w:r>
        <w:rPr>
          <w:rFonts w:hint="eastAsia"/>
          <w:color w:val="auto"/>
        </w:rPr>
        <w:t>系数</w:t>
      </w:r>
      <w:r>
        <w:rPr>
          <w:rFonts w:hint="eastAsia"/>
          <w:color w:val="auto"/>
          <w:lang w:val="en-US" w:eastAsia="zh-CN"/>
        </w:rPr>
        <w:t>应</w:t>
      </w:r>
      <w:r>
        <w:rPr>
          <w:rFonts w:hint="eastAsia"/>
          <w:color w:val="auto"/>
        </w:rPr>
        <w:t>分别取1.</w:t>
      </w:r>
      <w:r>
        <w:rPr>
          <w:rFonts w:hint="eastAsia"/>
          <w:color w:val="auto"/>
          <w:lang w:val="en-US" w:eastAsia="zh-CN"/>
        </w:rPr>
        <w:t>4</w:t>
      </w:r>
      <w:r>
        <w:rPr>
          <w:rFonts w:hint="eastAsia" w:eastAsiaTheme="minorEastAsia"/>
          <w:color w:val="auto"/>
        </w:rPr>
        <w:t>、</w:t>
      </w:r>
      <w:r>
        <w:rPr>
          <w:rFonts w:hint="eastAsia"/>
          <w:color w:val="auto"/>
        </w:rPr>
        <w:t>1.</w:t>
      </w:r>
      <w:r>
        <w:rPr>
          <w:rFonts w:hint="eastAsia"/>
          <w:color w:val="auto"/>
          <w:lang w:val="en-US" w:eastAsia="zh-CN"/>
        </w:rPr>
        <w:t>3</w:t>
      </w:r>
      <w:r>
        <w:rPr>
          <w:rFonts w:hint="eastAsia" w:eastAsiaTheme="minorEastAsia"/>
          <w:color w:val="auto"/>
        </w:rPr>
        <w:t>、</w:t>
      </w:r>
      <w:r>
        <w:rPr>
          <w:rFonts w:hint="eastAsia"/>
          <w:color w:val="auto"/>
        </w:rPr>
        <w:t>1.</w:t>
      </w:r>
      <w:r>
        <w:rPr>
          <w:rFonts w:hint="eastAsia"/>
          <w:color w:val="auto"/>
          <w:lang w:val="en-US" w:eastAsia="zh-CN"/>
        </w:rPr>
        <w:t>2</w:t>
      </w:r>
      <w:r>
        <w:rPr>
          <w:rFonts w:hint="eastAsia" w:eastAsiaTheme="minorEastAsia"/>
          <w:color w:val="auto"/>
        </w:rPr>
        <w:t>、</w:t>
      </w:r>
      <w:r>
        <w:rPr>
          <w:rFonts w:hint="eastAsia"/>
          <w:color w:val="auto"/>
        </w:rPr>
        <w:t>1.</w:t>
      </w:r>
      <w:r>
        <w:rPr>
          <w:rFonts w:hint="eastAsia"/>
          <w:color w:val="auto"/>
          <w:lang w:val="en-US" w:eastAsia="zh-CN"/>
        </w:rPr>
        <w:t>2。</w:t>
      </w:r>
    </w:p>
    <w:p w14:paraId="0646C278">
      <w:pPr>
        <w:pStyle w:val="42"/>
        <w:rPr>
          <w:color w:val="auto"/>
        </w:rPr>
      </w:pPr>
      <w:r>
        <w:rPr>
          <w:rFonts w:hint="eastAsia"/>
          <w:color w:val="auto"/>
        </w:rPr>
        <w:t>当柱底不设</w:t>
      </w:r>
      <w:r>
        <w:rPr>
          <w:rFonts w:hint="eastAsia"/>
          <w:color w:val="auto"/>
          <w:lang w:val="en-US" w:eastAsia="zh-CN"/>
        </w:rPr>
        <w:t>柱端</w:t>
      </w:r>
      <w:r>
        <w:rPr>
          <w:rFonts w:hint="eastAsia"/>
          <w:color w:val="auto"/>
        </w:rPr>
        <w:t>钢</w:t>
      </w:r>
      <w:r>
        <w:rPr>
          <w:rFonts w:hint="eastAsia"/>
          <w:color w:val="auto"/>
          <w:lang w:val="en-US" w:eastAsia="zh-CN"/>
        </w:rPr>
        <w:t>组</w:t>
      </w:r>
      <w:r>
        <w:rPr>
          <w:rFonts w:hint="eastAsia"/>
          <w:color w:val="auto"/>
        </w:rPr>
        <w:t>件时，可采用杯口式柱脚。预制柱与杯口基础的连接计算及构造要求应符合现行国家标准《建筑地基基础设计规范》GB 50007的有关规定。</w:t>
      </w:r>
    </w:p>
    <w:p w14:paraId="629A2938">
      <w:pPr>
        <w:pStyle w:val="41"/>
        <w:numPr>
          <w:ilvl w:val="1"/>
          <w:numId w:val="9"/>
        </w:numPr>
        <w:bidi w:val="0"/>
      </w:pPr>
      <w:bookmarkStart w:id="51" w:name="_Toc15697"/>
      <w:r>
        <w:rPr>
          <w:rFonts w:hint="eastAsia"/>
          <w:lang w:eastAsia="zh-CN"/>
        </w:rPr>
        <w:t>楼盖节点</w:t>
      </w:r>
      <w:bookmarkEnd w:id="51"/>
    </w:p>
    <w:p w14:paraId="69D0BD87">
      <w:pPr>
        <w:pStyle w:val="42"/>
        <w:rPr>
          <w:color w:val="auto"/>
        </w:rPr>
      </w:pPr>
      <w:bookmarkStart w:id="52" w:name="_Toc29770"/>
      <w:bookmarkStart w:id="53" w:name="_Toc30030"/>
      <w:r>
        <w:rPr>
          <w:rFonts w:hint="eastAsia"/>
          <w:color w:val="auto"/>
        </w:rPr>
        <w:t>主次梁</w:t>
      </w:r>
      <w:r>
        <w:rPr>
          <w:rFonts w:hint="eastAsia"/>
          <w:color w:val="auto"/>
          <w:lang w:val="en-US" w:eastAsia="zh-CN"/>
        </w:rPr>
        <w:t>连接</w:t>
      </w:r>
      <w:r>
        <w:rPr>
          <w:rFonts w:hint="eastAsia"/>
          <w:color w:val="auto"/>
        </w:rPr>
        <w:t>宜按铰接设计，可采用钢牛腿、混凝土挑耳、</w:t>
      </w:r>
      <w:r>
        <w:rPr>
          <w:rFonts w:hint="eastAsia"/>
          <w:color w:val="auto"/>
          <w:lang w:val="en-US" w:eastAsia="zh-CN"/>
        </w:rPr>
        <w:t>钢企口</w:t>
      </w:r>
      <w:r>
        <w:rPr>
          <w:rFonts w:hint="eastAsia"/>
          <w:color w:val="auto"/>
        </w:rPr>
        <w:t>或钢</w:t>
      </w:r>
      <w:r>
        <w:rPr>
          <w:rFonts w:hint="eastAsia"/>
          <w:color w:val="auto"/>
          <w:lang w:val="en-US" w:eastAsia="zh-CN"/>
        </w:rPr>
        <w:t>组</w:t>
      </w:r>
      <w:r>
        <w:rPr>
          <w:rFonts w:hint="eastAsia"/>
          <w:color w:val="auto"/>
        </w:rPr>
        <w:t>件进行连接，承载力验算应符合现行国家标准《混凝土结构设计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50010、《钢结构设计标准》GB 50017的有关规定，构造应符合下列规定：</w:t>
      </w:r>
    </w:p>
    <w:p w14:paraId="7CC4021D">
      <w:pPr>
        <w:pStyle w:val="43"/>
        <w:ind w:firstLine="480" w:firstLineChars="0"/>
        <w:rPr>
          <w:color w:val="auto"/>
        </w:rPr>
      </w:pPr>
      <w:r>
        <w:rPr>
          <w:rFonts w:hint="eastAsia"/>
          <w:color w:val="auto"/>
        </w:rPr>
        <w:t>当采用钢牛腿连接</w:t>
      </w:r>
      <w:r>
        <w:rPr>
          <w:rFonts w:hint="eastAsia"/>
          <w:color w:val="auto"/>
          <w:lang w:val="en-US" w:eastAsia="zh-CN"/>
        </w:rPr>
        <w:t>[</w:t>
      </w:r>
      <w:r>
        <w:rPr>
          <w:rFonts w:hint="eastAsia"/>
          <w:color w:val="auto"/>
        </w:rPr>
        <w:t>图6.</w:t>
      </w:r>
      <w:r>
        <w:rPr>
          <w:rFonts w:hint="eastAsia"/>
          <w:color w:val="auto"/>
          <w:lang w:val="en-US" w:eastAsia="zh-CN"/>
        </w:rPr>
        <w:t>4</w:t>
      </w:r>
      <w:r>
        <w:rPr>
          <w:rFonts w:hint="eastAsia"/>
          <w:color w:val="auto"/>
        </w:rPr>
        <w:t>.1（a）</w:t>
      </w:r>
      <w:r>
        <w:rPr>
          <w:rFonts w:hint="eastAsia"/>
          <w:color w:val="auto"/>
          <w:lang w:val="en-US" w:eastAsia="zh-CN"/>
        </w:rPr>
        <w:t>]</w:t>
      </w:r>
      <w:r>
        <w:rPr>
          <w:rFonts w:hint="eastAsia"/>
          <w:color w:val="auto"/>
        </w:rPr>
        <w:t>或混凝土挑耳连接</w:t>
      </w:r>
      <w:r>
        <w:rPr>
          <w:rFonts w:hint="eastAsia"/>
          <w:color w:val="auto"/>
          <w:lang w:val="en-US" w:eastAsia="zh-CN"/>
        </w:rPr>
        <w:t>[</w:t>
      </w:r>
      <w:r>
        <w:rPr>
          <w:rFonts w:hint="eastAsia"/>
          <w:color w:val="auto"/>
        </w:rPr>
        <w:t>图6.</w:t>
      </w:r>
      <w:r>
        <w:rPr>
          <w:rFonts w:hint="eastAsia"/>
          <w:color w:val="auto"/>
          <w:lang w:val="en-US" w:eastAsia="zh-CN"/>
        </w:rPr>
        <w:t>4</w:t>
      </w:r>
      <w:r>
        <w:rPr>
          <w:rFonts w:hint="eastAsia"/>
          <w:color w:val="auto"/>
        </w:rPr>
        <w:t>.1（b）</w:t>
      </w:r>
      <w:r>
        <w:rPr>
          <w:rFonts w:hint="eastAsia"/>
          <w:color w:val="auto"/>
          <w:lang w:val="en-US" w:eastAsia="zh-CN"/>
        </w:rPr>
        <w:t>]</w:t>
      </w:r>
      <w:r>
        <w:rPr>
          <w:rFonts w:hint="eastAsia"/>
          <w:color w:val="auto"/>
        </w:rPr>
        <w:t>时，支垫的宽度</w:t>
      </w:r>
      <w:r>
        <w:rPr>
          <w:rFonts w:hint="eastAsia"/>
          <w:i/>
          <w:iCs/>
          <w:color w:val="auto"/>
        </w:rPr>
        <w:t>b</w:t>
      </w:r>
      <w:r>
        <w:rPr>
          <w:rFonts w:hint="eastAsia"/>
          <w:color w:val="auto"/>
        </w:rPr>
        <w:t>应满足施工及使用阶段次梁搁置处局部受压承载力的要求，且不应小于100mm；支垫至次梁、钢牛腿或挑耳边缘的距离均不应小于15mm，次梁端部至主梁边缘的距离可取为15mm</w:t>
      </w:r>
      <w:r>
        <w:rPr>
          <w:rFonts w:hint="eastAsia"/>
          <w:color w:val="auto"/>
          <w:lang w:eastAsia="zh-CN"/>
        </w:rPr>
        <w:t>；</w:t>
      </w:r>
    </w:p>
    <w:p w14:paraId="39FEB9DC">
      <w:pPr>
        <w:pStyle w:val="43"/>
        <w:ind w:firstLine="480" w:firstLineChars="0"/>
        <w:rPr>
          <w:color w:val="auto"/>
        </w:rPr>
      </w:pPr>
      <w:r>
        <w:rPr>
          <w:rFonts w:hint="eastAsia"/>
          <w:color w:val="auto"/>
        </w:rPr>
        <w:t>当采用</w:t>
      </w:r>
      <w:r>
        <w:rPr>
          <w:rFonts w:hint="eastAsia"/>
          <w:color w:val="auto"/>
          <w:lang w:val="en-US" w:eastAsia="zh-CN"/>
        </w:rPr>
        <w:t>钢企口</w:t>
      </w:r>
      <w:r>
        <w:rPr>
          <w:rFonts w:hint="eastAsia"/>
          <w:color w:val="auto"/>
        </w:rPr>
        <w:t>连接</w:t>
      </w:r>
      <w:r>
        <w:rPr>
          <w:rFonts w:hint="eastAsia"/>
          <w:color w:val="auto"/>
          <w:lang w:val="en-US" w:eastAsia="zh-CN"/>
        </w:rPr>
        <w:t>[</w:t>
      </w:r>
      <w:r>
        <w:rPr>
          <w:rFonts w:hint="eastAsia"/>
          <w:color w:val="auto"/>
        </w:rPr>
        <w:t>图6.</w:t>
      </w:r>
      <w:r>
        <w:rPr>
          <w:rFonts w:hint="eastAsia"/>
          <w:color w:val="auto"/>
          <w:lang w:val="en-US" w:eastAsia="zh-CN"/>
        </w:rPr>
        <w:t>4</w:t>
      </w:r>
      <w:r>
        <w:rPr>
          <w:rFonts w:hint="eastAsia"/>
          <w:color w:val="auto"/>
        </w:rPr>
        <w:t>.1（c）</w:t>
      </w:r>
      <w:r>
        <w:rPr>
          <w:rFonts w:hint="eastAsia"/>
          <w:color w:val="auto"/>
          <w:lang w:val="en-US" w:eastAsia="zh-CN"/>
        </w:rPr>
        <w:t>]</w:t>
      </w:r>
      <w:r>
        <w:rPr>
          <w:rFonts w:hint="eastAsia"/>
          <w:color w:val="auto"/>
        </w:rPr>
        <w:t>时，应在主梁侧面设置支承</w:t>
      </w:r>
      <w:r>
        <w:rPr>
          <w:rFonts w:hint="eastAsia"/>
          <w:color w:val="auto"/>
          <w:lang w:val="en-US" w:eastAsia="zh-CN"/>
        </w:rPr>
        <w:t>钢企口</w:t>
      </w:r>
      <w:r>
        <w:rPr>
          <w:rFonts w:hint="eastAsia"/>
          <w:color w:val="auto"/>
        </w:rPr>
        <w:t>的挑耳，次梁底宜与挑耳底齐平；</w:t>
      </w:r>
      <w:r>
        <w:rPr>
          <w:rFonts w:hint="eastAsia"/>
          <w:color w:val="auto"/>
          <w:lang w:val="en-US" w:eastAsia="zh-CN"/>
        </w:rPr>
        <w:t>钢企口</w:t>
      </w:r>
      <w:r>
        <w:rPr>
          <w:rFonts w:hint="eastAsia"/>
          <w:color w:val="auto"/>
        </w:rPr>
        <w:t>端部至主梁边缘的距离可取为15mm；</w:t>
      </w:r>
      <w:r>
        <w:rPr>
          <w:rFonts w:hint="eastAsia"/>
          <w:color w:val="auto"/>
          <w:lang w:val="en-US" w:eastAsia="zh-CN"/>
        </w:rPr>
        <w:t>钢企口</w:t>
      </w:r>
      <w:r>
        <w:rPr>
          <w:rFonts w:hint="eastAsia"/>
          <w:color w:val="auto"/>
        </w:rPr>
        <w:t>两侧应对称布置抗剪栓钉，</w:t>
      </w:r>
      <w:r>
        <w:rPr>
          <w:rFonts w:hint="eastAsia"/>
          <w:color w:val="auto"/>
          <w:lang w:val="en-US" w:eastAsia="zh-CN"/>
        </w:rPr>
        <w:t>钢企口</w:t>
      </w:r>
      <w:r>
        <w:rPr>
          <w:rFonts w:hint="eastAsia"/>
          <w:color w:val="auto"/>
        </w:rPr>
        <w:t>厚度不应小于抗剪栓钉直径的</w:t>
      </w:r>
      <w:r>
        <w:rPr>
          <w:rFonts w:hint="eastAsia"/>
          <w:color w:val="auto"/>
          <w:lang w:val="en-US" w:eastAsia="zh-CN"/>
        </w:rPr>
        <w:t>3/5</w:t>
      </w:r>
      <w:r>
        <w:rPr>
          <w:rFonts w:hint="eastAsia"/>
          <w:color w:val="auto"/>
          <w:lang w:eastAsia="zh-CN"/>
        </w:rPr>
        <w:t>；</w:t>
      </w:r>
    </w:p>
    <w:p w14:paraId="3CC9BF0F">
      <w:pPr>
        <w:pStyle w:val="43"/>
        <w:ind w:firstLine="480" w:firstLineChars="0"/>
        <w:rPr>
          <w:color w:val="auto"/>
        </w:rPr>
      </w:pPr>
      <w:r>
        <w:rPr>
          <w:rFonts w:hint="eastAsia"/>
          <w:color w:val="auto"/>
        </w:rPr>
        <w:t>当采用钢</w:t>
      </w:r>
      <w:r>
        <w:rPr>
          <w:rFonts w:hint="eastAsia"/>
          <w:color w:val="auto"/>
          <w:lang w:val="en-US" w:eastAsia="zh-CN"/>
        </w:rPr>
        <w:t>组</w:t>
      </w:r>
      <w:r>
        <w:rPr>
          <w:rFonts w:hint="eastAsia"/>
          <w:color w:val="auto"/>
        </w:rPr>
        <w:t>件连接</w:t>
      </w:r>
      <w:r>
        <w:rPr>
          <w:rFonts w:hint="eastAsia"/>
          <w:color w:val="auto"/>
          <w:lang w:val="en-US" w:eastAsia="zh-CN"/>
        </w:rPr>
        <w:t>[</w:t>
      </w:r>
      <w:r>
        <w:rPr>
          <w:rFonts w:hint="eastAsia"/>
          <w:color w:val="auto"/>
        </w:rPr>
        <w:t>图6.</w:t>
      </w:r>
      <w:r>
        <w:rPr>
          <w:rFonts w:hint="eastAsia"/>
          <w:color w:val="auto"/>
          <w:lang w:val="en-US" w:eastAsia="zh-CN"/>
        </w:rPr>
        <w:t>4</w:t>
      </w:r>
      <w:r>
        <w:rPr>
          <w:rFonts w:hint="eastAsia"/>
          <w:color w:val="auto"/>
        </w:rPr>
        <w:t>.1（d）</w:t>
      </w:r>
      <w:r>
        <w:rPr>
          <w:rFonts w:hint="eastAsia"/>
          <w:color w:val="auto"/>
          <w:lang w:val="en-US" w:eastAsia="zh-CN"/>
        </w:rPr>
        <w:t>]</w:t>
      </w:r>
      <w:r>
        <w:rPr>
          <w:rFonts w:hint="eastAsia"/>
          <w:color w:val="auto"/>
        </w:rPr>
        <w:t>时，主梁沿次梁轴线方向埋置的钢</w:t>
      </w:r>
      <w:r>
        <w:rPr>
          <w:rFonts w:hint="eastAsia"/>
          <w:color w:val="auto"/>
          <w:lang w:val="en-US" w:eastAsia="zh-CN"/>
        </w:rPr>
        <w:t>组</w:t>
      </w:r>
      <w:r>
        <w:rPr>
          <w:rFonts w:hint="eastAsia"/>
          <w:color w:val="auto"/>
        </w:rPr>
        <w:t>件伸出长度宜与次梁钢</w:t>
      </w:r>
      <w:r>
        <w:rPr>
          <w:rFonts w:hint="eastAsia"/>
          <w:color w:val="auto"/>
          <w:lang w:val="en-US" w:eastAsia="zh-CN"/>
        </w:rPr>
        <w:t>组</w:t>
      </w:r>
      <w:r>
        <w:rPr>
          <w:rFonts w:hint="eastAsia"/>
          <w:color w:val="auto"/>
        </w:rPr>
        <w:t>件的伸出长度相等，主梁与次梁连接处钢</w:t>
      </w:r>
      <w:r>
        <w:rPr>
          <w:rFonts w:hint="eastAsia"/>
          <w:color w:val="auto"/>
          <w:lang w:val="en-US" w:eastAsia="zh-CN"/>
        </w:rPr>
        <w:t>组</w:t>
      </w:r>
      <w:r>
        <w:rPr>
          <w:rFonts w:hint="eastAsia"/>
          <w:color w:val="auto"/>
        </w:rPr>
        <w:t>件翼缘间距不宜小于10mm；当主梁仅一侧与次梁连接时，钢</w:t>
      </w:r>
      <w:r>
        <w:rPr>
          <w:rFonts w:hint="eastAsia"/>
          <w:color w:val="auto"/>
          <w:lang w:val="en-US" w:eastAsia="zh-CN"/>
        </w:rPr>
        <w:t>组</w:t>
      </w:r>
      <w:r>
        <w:rPr>
          <w:rFonts w:hint="eastAsia"/>
          <w:color w:val="auto"/>
        </w:rPr>
        <w:t>件埋入主梁部分应伸过支座中心线，且其腹板上宜打孔穿加强筋，加强筋的长度不宜小于1500mm。</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2A6C2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tcPr>
          <w:p w14:paraId="20BF8BC1">
            <w:pPr>
              <w:pStyle w:val="48"/>
              <w:rPr>
                <w:color w:val="auto"/>
              </w:rPr>
            </w:pPr>
            <w:r>
              <w:drawing>
                <wp:inline distT="0" distB="0" distL="114300" distR="114300">
                  <wp:extent cx="1645920" cy="1619885"/>
                  <wp:effectExtent l="0" t="0" r="11430" b="18415"/>
                  <wp:docPr id="6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0"/>
                          <pic:cNvPicPr>
                            <a:picLocks noChangeAspect="1"/>
                          </pic:cNvPicPr>
                        </pic:nvPicPr>
                        <pic:blipFill>
                          <a:blip r:embed="rId346"/>
                          <a:stretch>
                            <a:fillRect/>
                          </a:stretch>
                        </pic:blipFill>
                        <pic:spPr>
                          <a:xfrm>
                            <a:off x="0" y="0"/>
                            <a:ext cx="1645920" cy="1619885"/>
                          </a:xfrm>
                          <a:prstGeom prst="rect">
                            <a:avLst/>
                          </a:prstGeom>
                          <a:noFill/>
                          <a:ln>
                            <a:noFill/>
                          </a:ln>
                        </pic:spPr>
                      </pic:pic>
                    </a:graphicData>
                  </a:graphic>
                </wp:inline>
              </w:drawing>
            </w:r>
          </w:p>
        </w:tc>
        <w:tc>
          <w:tcPr>
            <w:tcW w:w="4258" w:type="dxa"/>
          </w:tcPr>
          <w:p w14:paraId="16820A8E">
            <w:pPr>
              <w:pStyle w:val="48"/>
              <w:rPr>
                <w:color w:val="auto"/>
              </w:rPr>
            </w:pPr>
            <w:r>
              <w:drawing>
                <wp:inline distT="0" distB="0" distL="114300" distR="114300">
                  <wp:extent cx="1613535" cy="1619885"/>
                  <wp:effectExtent l="0" t="0" r="5715" b="18415"/>
                  <wp:docPr id="6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1"/>
                          <pic:cNvPicPr>
                            <a:picLocks noChangeAspect="1"/>
                          </pic:cNvPicPr>
                        </pic:nvPicPr>
                        <pic:blipFill>
                          <a:blip r:embed="rId347"/>
                          <a:stretch>
                            <a:fillRect/>
                          </a:stretch>
                        </pic:blipFill>
                        <pic:spPr>
                          <a:xfrm>
                            <a:off x="0" y="0"/>
                            <a:ext cx="1613535" cy="1619885"/>
                          </a:xfrm>
                          <a:prstGeom prst="rect">
                            <a:avLst/>
                          </a:prstGeom>
                          <a:noFill/>
                          <a:ln>
                            <a:noFill/>
                          </a:ln>
                        </pic:spPr>
                      </pic:pic>
                    </a:graphicData>
                  </a:graphic>
                </wp:inline>
              </w:drawing>
            </w:r>
          </w:p>
        </w:tc>
      </w:tr>
      <w:tr w14:paraId="033A8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tcPr>
          <w:p w14:paraId="39E5C9EC">
            <w:pPr>
              <w:pStyle w:val="45"/>
              <w:rPr>
                <w:color w:val="auto"/>
              </w:rPr>
            </w:pPr>
            <w:r>
              <w:rPr>
                <w:rFonts w:hint="eastAsia"/>
                <w:color w:val="auto"/>
              </w:rPr>
              <w:t>（a）钢牛腿连接</w:t>
            </w:r>
          </w:p>
        </w:tc>
        <w:tc>
          <w:tcPr>
            <w:tcW w:w="4258" w:type="dxa"/>
          </w:tcPr>
          <w:p w14:paraId="084B134F">
            <w:pPr>
              <w:pStyle w:val="45"/>
              <w:rPr>
                <w:color w:val="auto"/>
              </w:rPr>
            </w:pPr>
            <w:r>
              <w:rPr>
                <w:rFonts w:hint="eastAsia"/>
                <w:color w:val="auto"/>
              </w:rPr>
              <w:t>（b）混凝土挑耳连接</w:t>
            </w:r>
          </w:p>
        </w:tc>
      </w:tr>
      <w:tr w14:paraId="57C55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10895239">
            <w:pPr>
              <w:ind w:firstLine="0" w:firstLineChars="0"/>
              <w:jc w:val="center"/>
              <w:rPr>
                <w:color w:val="auto"/>
              </w:rPr>
            </w:pPr>
            <w:r>
              <w:drawing>
                <wp:inline distT="0" distB="0" distL="114300" distR="114300">
                  <wp:extent cx="3606165" cy="1619885"/>
                  <wp:effectExtent l="0" t="0" r="13335" b="18415"/>
                  <wp:docPr id="20"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2"/>
                          <pic:cNvPicPr>
                            <a:picLocks noChangeAspect="1"/>
                          </pic:cNvPicPr>
                        </pic:nvPicPr>
                        <pic:blipFill>
                          <a:blip r:embed="rId348"/>
                          <a:stretch>
                            <a:fillRect/>
                          </a:stretch>
                        </pic:blipFill>
                        <pic:spPr>
                          <a:xfrm>
                            <a:off x="0" y="0"/>
                            <a:ext cx="3606165" cy="1619885"/>
                          </a:xfrm>
                          <a:prstGeom prst="rect">
                            <a:avLst/>
                          </a:prstGeom>
                          <a:noFill/>
                          <a:ln>
                            <a:noFill/>
                          </a:ln>
                        </pic:spPr>
                      </pic:pic>
                    </a:graphicData>
                  </a:graphic>
                </wp:inline>
              </w:drawing>
            </w:r>
          </w:p>
        </w:tc>
      </w:tr>
      <w:tr w14:paraId="42821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0A3C5B61">
            <w:pPr>
              <w:pStyle w:val="45"/>
              <w:rPr>
                <w:color w:val="auto"/>
              </w:rPr>
            </w:pPr>
            <w:r>
              <w:rPr>
                <w:rFonts w:hint="eastAsia"/>
                <w:color w:val="auto"/>
              </w:rPr>
              <w:t>（c）</w:t>
            </w:r>
            <w:r>
              <w:rPr>
                <w:rFonts w:hint="eastAsia"/>
                <w:color w:val="auto"/>
                <w:lang w:val="en-US" w:eastAsia="zh-CN"/>
              </w:rPr>
              <w:t>钢企口</w:t>
            </w:r>
            <w:r>
              <w:rPr>
                <w:rFonts w:hint="eastAsia"/>
                <w:color w:val="auto"/>
              </w:rPr>
              <w:t>连接</w:t>
            </w:r>
          </w:p>
        </w:tc>
      </w:tr>
      <w:tr w14:paraId="6230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5E36AF6E">
            <w:pPr>
              <w:pStyle w:val="48"/>
              <w:rPr>
                <w:color w:val="auto"/>
              </w:rPr>
            </w:pPr>
            <w:r>
              <w:drawing>
                <wp:inline distT="0" distB="0" distL="114300" distR="114300">
                  <wp:extent cx="3195955" cy="1619885"/>
                  <wp:effectExtent l="0" t="0" r="4445" b="18415"/>
                  <wp:docPr id="2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3"/>
                          <pic:cNvPicPr>
                            <a:picLocks noChangeAspect="1"/>
                          </pic:cNvPicPr>
                        </pic:nvPicPr>
                        <pic:blipFill>
                          <a:blip r:embed="rId349"/>
                          <a:stretch>
                            <a:fillRect/>
                          </a:stretch>
                        </pic:blipFill>
                        <pic:spPr>
                          <a:xfrm>
                            <a:off x="0" y="0"/>
                            <a:ext cx="3195955" cy="1619885"/>
                          </a:xfrm>
                          <a:prstGeom prst="rect">
                            <a:avLst/>
                          </a:prstGeom>
                          <a:noFill/>
                          <a:ln>
                            <a:noFill/>
                          </a:ln>
                        </pic:spPr>
                      </pic:pic>
                    </a:graphicData>
                  </a:graphic>
                </wp:inline>
              </w:drawing>
            </w:r>
          </w:p>
        </w:tc>
      </w:tr>
      <w:tr w14:paraId="595F9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6F7587C7">
            <w:pPr>
              <w:pStyle w:val="45"/>
              <w:rPr>
                <w:rFonts w:hint="eastAsia"/>
                <w:color w:val="auto"/>
              </w:rPr>
            </w:pPr>
            <w:r>
              <w:rPr>
                <w:rFonts w:hint="eastAsia"/>
                <w:color w:val="auto"/>
              </w:rPr>
              <w:t>（d）钢</w:t>
            </w:r>
            <w:r>
              <w:rPr>
                <w:rFonts w:hint="eastAsia"/>
                <w:color w:val="auto"/>
                <w:lang w:val="en-US" w:eastAsia="zh-CN"/>
              </w:rPr>
              <w:t>组</w:t>
            </w:r>
            <w:r>
              <w:rPr>
                <w:rFonts w:hint="eastAsia"/>
                <w:color w:val="auto"/>
              </w:rPr>
              <w:t>件连接</w:t>
            </w:r>
          </w:p>
          <w:p w14:paraId="0FA6E14E">
            <w:pPr>
              <w:pStyle w:val="45"/>
              <w:rPr>
                <w:color w:val="auto"/>
              </w:rPr>
            </w:pPr>
            <w:r>
              <w:rPr>
                <w:rFonts w:hint="eastAsia"/>
                <w:color w:val="auto"/>
              </w:rPr>
              <w:t>1—预制主梁；2—构造纵筋；3—连接钢筋；4—预制次梁；5—支垫；</w:t>
            </w:r>
          </w:p>
          <w:p w14:paraId="3045B476">
            <w:pPr>
              <w:pStyle w:val="45"/>
              <w:rPr>
                <w:color w:val="auto"/>
              </w:rPr>
            </w:pPr>
            <w:r>
              <w:rPr>
                <w:rFonts w:hint="eastAsia"/>
                <w:color w:val="auto"/>
              </w:rPr>
              <w:t>6—钢牛腿；7—混凝土挑耳；8—</w:t>
            </w:r>
            <w:r>
              <w:rPr>
                <w:rFonts w:hint="eastAsia"/>
                <w:color w:val="auto"/>
                <w:lang w:val="en-US" w:eastAsia="zh-CN"/>
              </w:rPr>
              <w:t>钢企口</w:t>
            </w:r>
            <w:r>
              <w:rPr>
                <w:rFonts w:hint="eastAsia"/>
                <w:color w:val="auto"/>
              </w:rPr>
              <w:t>；9—支承</w:t>
            </w:r>
            <w:r>
              <w:rPr>
                <w:rFonts w:hint="eastAsia"/>
                <w:color w:val="auto"/>
                <w:lang w:val="en-US" w:eastAsia="zh-CN"/>
              </w:rPr>
              <w:t>钢企口</w:t>
            </w:r>
            <w:r>
              <w:rPr>
                <w:rFonts w:hint="eastAsia"/>
                <w:color w:val="auto"/>
              </w:rPr>
              <w:t>挑耳；10—</w:t>
            </w:r>
            <w:r>
              <w:rPr>
                <w:rFonts w:hint="eastAsia"/>
                <w:color w:val="auto"/>
                <w:lang w:val="en-US" w:eastAsia="zh-CN"/>
              </w:rPr>
              <w:t>抗剪栓钉</w:t>
            </w:r>
            <w:r>
              <w:rPr>
                <w:rFonts w:hint="eastAsia"/>
                <w:color w:val="auto"/>
              </w:rPr>
              <w:t>；</w:t>
            </w:r>
          </w:p>
          <w:p w14:paraId="742F0256">
            <w:pPr>
              <w:pStyle w:val="45"/>
              <w:rPr>
                <w:color w:val="auto"/>
              </w:rPr>
            </w:pPr>
            <w:r>
              <w:rPr>
                <w:rFonts w:hint="eastAsia"/>
                <w:color w:val="auto"/>
              </w:rPr>
              <w:t>11—钢</w:t>
            </w:r>
            <w:r>
              <w:rPr>
                <w:rFonts w:hint="eastAsia"/>
                <w:color w:val="auto"/>
                <w:lang w:val="en-US" w:eastAsia="zh-CN"/>
              </w:rPr>
              <w:t>组</w:t>
            </w:r>
            <w:r>
              <w:rPr>
                <w:rFonts w:hint="eastAsia"/>
                <w:color w:val="auto"/>
              </w:rPr>
              <w:t>件；12—连接板；13—螺栓；14—加强筋</w:t>
            </w:r>
          </w:p>
          <w:p w14:paraId="0124199E">
            <w:pPr>
              <w:pStyle w:val="45"/>
            </w:pPr>
            <w:r>
              <w:rPr>
                <w:rFonts w:hint="eastAsia"/>
                <w:color w:val="auto"/>
              </w:rPr>
              <w:t>图6.</w:t>
            </w:r>
            <w:r>
              <w:rPr>
                <w:rFonts w:hint="eastAsia"/>
                <w:color w:val="auto"/>
                <w:lang w:val="en-US" w:eastAsia="zh-CN"/>
              </w:rPr>
              <w:t>4</w:t>
            </w:r>
            <w:r>
              <w:rPr>
                <w:rFonts w:hint="eastAsia"/>
                <w:color w:val="auto"/>
              </w:rPr>
              <w:t>.1  主次梁节点构造</w:t>
            </w:r>
          </w:p>
        </w:tc>
      </w:tr>
    </w:tbl>
    <w:p w14:paraId="111BE1A2">
      <w:pPr>
        <w:pStyle w:val="42"/>
        <w:rPr>
          <w:color w:val="auto"/>
        </w:rPr>
      </w:pPr>
      <w:r>
        <w:rPr>
          <w:rFonts w:hint="eastAsia"/>
          <w:color w:val="auto"/>
        </w:rPr>
        <w:t>当采用叠合梁时，梁支座板端</w:t>
      </w:r>
      <w:r>
        <w:rPr>
          <w:rFonts w:hint="eastAsia"/>
          <w:color w:val="auto"/>
          <w:lang w:val="en-US" w:eastAsia="zh-CN"/>
        </w:rPr>
        <w:t>与梁</w:t>
      </w:r>
      <w:r>
        <w:rPr>
          <w:rFonts w:hint="eastAsia"/>
          <w:color w:val="auto"/>
        </w:rPr>
        <w:t>连接构造应符合现行行业标准《装配式混凝土结构技术规程》JGJ 1的有关规定。</w:t>
      </w:r>
    </w:p>
    <w:p w14:paraId="148294EC">
      <w:pPr>
        <w:pStyle w:val="42"/>
        <w:numPr>
          <w:ilvl w:val="2"/>
          <w:numId w:val="2"/>
        </w:numPr>
      </w:pPr>
      <w:r>
        <w:rPr>
          <w:rFonts w:hint="eastAsia"/>
          <w:lang w:eastAsia="zh-CN"/>
        </w:rPr>
        <w:t>当采用全预制梁，</w:t>
      </w:r>
      <w:r>
        <w:rPr>
          <w:rFonts w:hint="eastAsia"/>
          <w:lang w:val="en-US" w:eastAsia="zh-CN"/>
        </w:rPr>
        <w:t>叠合板</w:t>
      </w:r>
      <w:r>
        <w:rPr>
          <w:rFonts w:hint="eastAsia"/>
          <w:lang w:eastAsia="zh-CN"/>
        </w:rPr>
        <w:t>与梁的连接</w:t>
      </w:r>
      <w:r>
        <w:rPr>
          <w:rFonts w:hint="eastAsia"/>
          <w:lang w:val="en-US" w:eastAsia="zh-CN"/>
        </w:rPr>
        <w:t>构造</w:t>
      </w:r>
      <w:r>
        <w:rPr>
          <w:rFonts w:hint="eastAsia"/>
          <w:lang w:eastAsia="zh-CN"/>
        </w:rPr>
        <w:t>应符合下列规定：</w:t>
      </w:r>
    </w:p>
    <w:p w14:paraId="42432DD8">
      <w:pPr>
        <w:pStyle w:val="43"/>
        <w:numPr>
          <w:ilvl w:val="3"/>
          <w:numId w:val="2"/>
        </w:numPr>
        <w:bidi w:val="0"/>
        <w:rPr>
          <w:rFonts w:hint="eastAsia"/>
        </w:rPr>
      </w:pPr>
      <w:r>
        <w:rPr>
          <w:rFonts w:hint="eastAsia"/>
          <w:lang w:val="en-US" w:eastAsia="zh-CN"/>
        </w:rPr>
        <w:t>叠合板底板</w:t>
      </w:r>
      <w:r>
        <w:rPr>
          <w:rFonts w:hint="eastAsia"/>
          <w:color w:val="auto"/>
        </w:rPr>
        <w:t>的搁置长度不宜小于50mm</w:t>
      </w:r>
      <w:r>
        <w:rPr>
          <w:rFonts w:hint="eastAsia"/>
          <w:color w:val="auto"/>
          <w:lang w:val="en-US" w:eastAsia="zh-CN"/>
        </w:rPr>
        <w:t>[</w:t>
      </w:r>
      <w:r>
        <w:rPr>
          <w:rFonts w:hint="eastAsia"/>
          <w:color w:val="auto"/>
        </w:rPr>
        <w:t>图6.</w:t>
      </w:r>
      <w:r>
        <w:rPr>
          <w:rFonts w:hint="eastAsia"/>
          <w:color w:val="auto"/>
          <w:lang w:val="en-US" w:eastAsia="zh-CN"/>
        </w:rPr>
        <w:t>4</w:t>
      </w:r>
      <w:r>
        <w:rPr>
          <w:rFonts w:hint="eastAsia"/>
          <w:color w:val="auto"/>
        </w:rPr>
        <w:t>.</w:t>
      </w:r>
      <w:r>
        <w:rPr>
          <w:rFonts w:hint="eastAsia"/>
          <w:color w:val="auto"/>
          <w:lang w:val="en-US" w:eastAsia="zh-CN"/>
        </w:rPr>
        <w:t>3</w:t>
      </w:r>
      <w:r>
        <w:rPr>
          <w:rFonts w:hint="eastAsia"/>
          <w:color w:val="auto"/>
        </w:rPr>
        <w:t>（a）</w:t>
      </w:r>
      <w:r>
        <w:rPr>
          <w:rFonts w:hint="eastAsia"/>
          <w:color w:val="auto"/>
          <w:lang w:val="en-US" w:eastAsia="zh-CN"/>
        </w:rPr>
        <w:t>]</w:t>
      </w:r>
      <w:r>
        <w:rPr>
          <w:rFonts w:hint="eastAsia"/>
          <w:color w:val="auto"/>
        </w:rPr>
        <w:t>；</w:t>
      </w:r>
    </w:p>
    <w:p w14:paraId="462A0E0A">
      <w:pPr>
        <w:pStyle w:val="43"/>
        <w:numPr>
          <w:ilvl w:val="3"/>
          <w:numId w:val="2"/>
        </w:numPr>
        <w:bidi w:val="0"/>
        <w:rPr>
          <w:rFonts w:hint="eastAsia"/>
        </w:rPr>
      </w:pPr>
      <w:r>
        <w:rPr>
          <w:rFonts w:hint="eastAsia"/>
          <w:color w:val="auto"/>
          <w:lang w:val="en-US" w:eastAsia="zh-CN"/>
        </w:rPr>
        <w:t>为搁置叠合板底板，混凝土梁身范围内应设置垫板，梁端钢组件外露范围内可在连接件上翼缘焊接槽钢[</w:t>
      </w:r>
      <w:r>
        <w:rPr>
          <w:rFonts w:hint="eastAsia"/>
          <w:color w:val="auto"/>
        </w:rPr>
        <w:t>图6.</w:t>
      </w:r>
      <w:r>
        <w:rPr>
          <w:rFonts w:hint="eastAsia"/>
          <w:color w:val="auto"/>
          <w:lang w:val="en-US" w:eastAsia="zh-CN"/>
        </w:rPr>
        <w:t>4</w:t>
      </w: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w:t>
      </w:r>
      <w:r>
        <w:rPr>
          <w:rFonts w:hint="eastAsia"/>
          <w:color w:val="auto"/>
        </w:rPr>
        <w:t>；</w:t>
      </w:r>
    </w:p>
    <w:p w14:paraId="34DCA2FD">
      <w:pPr>
        <w:pStyle w:val="43"/>
        <w:numPr>
          <w:ilvl w:val="3"/>
          <w:numId w:val="2"/>
        </w:numPr>
        <w:bidi w:val="0"/>
        <w:rPr>
          <w:rFonts w:hint="default"/>
          <w:lang w:val="en-US" w:eastAsia="zh-CN"/>
        </w:rPr>
      </w:pPr>
      <w:r>
        <w:rPr>
          <w:rFonts w:hint="eastAsia"/>
          <w:color w:val="auto"/>
        </w:rPr>
        <w:t>混凝土梁身</w:t>
      </w:r>
      <w:r>
        <w:rPr>
          <w:rFonts w:hint="eastAsia"/>
          <w:color w:val="auto"/>
          <w:lang w:val="en-US" w:eastAsia="zh-CN"/>
        </w:rPr>
        <w:t>顶部应设置</w:t>
      </w:r>
      <w:r>
        <w:rPr>
          <w:rFonts w:hint="eastAsia"/>
          <w:color w:val="auto"/>
          <w:lang w:eastAsia="zh-CN"/>
        </w:rPr>
        <w:t>“倒</w:t>
      </w:r>
      <w:r>
        <w:rPr>
          <w:rFonts w:hint="eastAsia"/>
          <w:color w:val="auto"/>
          <w:lang w:val="en-US" w:eastAsia="zh-CN"/>
        </w:rPr>
        <w:t>U形</w:t>
      </w:r>
      <w:r>
        <w:rPr>
          <w:rFonts w:hint="eastAsia"/>
          <w:color w:val="auto"/>
          <w:lang w:eastAsia="zh-CN"/>
        </w:rPr>
        <w:t>”的</w:t>
      </w:r>
      <w:r>
        <w:rPr>
          <w:rFonts w:hint="eastAsia"/>
          <w:color w:val="auto"/>
        </w:rPr>
        <w:t>连接钢筋，钢筋直径不应小于8mm，间距不应大于</w:t>
      </w:r>
      <w:r>
        <w:rPr>
          <w:rFonts w:hint="eastAsia"/>
          <w:color w:val="auto"/>
          <w:lang w:val="en-US" w:eastAsia="zh-CN"/>
        </w:rPr>
        <w:t>2</w:t>
      </w:r>
      <w:r>
        <w:rPr>
          <w:rFonts w:hint="eastAsia"/>
          <w:color w:val="auto"/>
        </w:rPr>
        <w:t>00mm；</w:t>
      </w:r>
      <w:r>
        <w:rPr>
          <w:rFonts w:hint="eastAsia"/>
          <w:color w:val="auto"/>
          <w:lang w:val="en-US" w:eastAsia="zh-CN"/>
        </w:rPr>
        <w:t>连接钢筋下方</w:t>
      </w:r>
      <w:r>
        <w:rPr>
          <w:rFonts w:hint="eastAsia"/>
          <w:color w:val="auto"/>
        </w:rPr>
        <w:t>尚应设置直径不小于12mm的构造纵筋</w:t>
      </w:r>
      <w:r>
        <w:rPr>
          <w:rFonts w:hint="eastAsia"/>
          <w:color w:val="auto"/>
          <w:lang w:eastAsia="zh-CN"/>
        </w:rPr>
        <w:t>，</w:t>
      </w:r>
      <w:r>
        <w:rPr>
          <w:rFonts w:hint="eastAsia"/>
          <w:color w:val="auto"/>
        </w:rPr>
        <w:t>构造纵筋应锚入</w:t>
      </w:r>
      <w:r>
        <w:rPr>
          <w:rFonts w:hint="eastAsia"/>
          <w:color w:val="auto"/>
          <w:lang w:val="en-US" w:eastAsia="zh-CN"/>
        </w:rPr>
        <w:t>梁端钢组件</w:t>
      </w:r>
      <w:r>
        <w:rPr>
          <w:rFonts w:hint="eastAsia"/>
          <w:color w:val="auto"/>
        </w:rPr>
        <w:t>外露范围上方的混凝土内</w:t>
      </w:r>
      <w:r>
        <w:rPr>
          <w:rFonts w:hint="eastAsia"/>
          <w:color w:val="auto"/>
          <w:lang w:eastAsia="zh-CN"/>
        </w:rPr>
        <w:t>，</w:t>
      </w:r>
      <w:r>
        <w:rPr>
          <w:rFonts w:hint="eastAsia"/>
          <w:color w:val="auto"/>
          <w:lang w:val="en-US" w:eastAsia="zh-CN"/>
        </w:rPr>
        <w:t>锚固长度应符合现行国家标准</w:t>
      </w:r>
      <w:r>
        <w:rPr>
          <w:rFonts w:hint="eastAsia"/>
          <w:color w:val="auto"/>
        </w:rPr>
        <w:t>《混凝土结构设计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50010的有关规定</w:t>
      </w:r>
      <w:r>
        <w:rPr>
          <w:rFonts w:hint="eastAsia"/>
          <w:color w:val="auto"/>
          <w:lang w:eastAsia="zh-CN"/>
        </w:rPr>
        <w:t>。</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5AEC1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19CBA4CC">
            <w:pPr>
              <w:pStyle w:val="48"/>
              <w:rPr>
                <w:color w:val="auto"/>
              </w:rPr>
            </w:pPr>
            <w:r>
              <w:drawing>
                <wp:inline distT="0" distB="0" distL="114300" distR="114300">
                  <wp:extent cx="2520315" cy="1567180"/>
                  <wp:effectExtent l="0" t="0" r="13335" b="13970"/>
                  <wp:docPr id="1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5"/>
                          <pic:cNvPicPr>
                            <a:picLocks noChangeAspect="1"/>
                          </pic:cNvPicPr>
                        </pic:nvPicPr>
                        <pic:blipFill>
                          <a:blip r:embed="rId350"/>
                          <a:stretch>
                            <a:fillRect/>
                          </a:stretch>
                        </pic:blipFill>
                        <pic:spPr>
                          <a:xfrm>
                            <a:off x="0" y="0"/>
                            <a:ext cx="2520315" cy="1567180"/>
                          </a:xfrm>
                          <a:prstGeom prst="rect">
                            <a:avLst/>
                          </a:prstGeom>
                          <a:noFill/>
                          <a:ln>
                            <a:noFill/>
                          </a:ln>
                        </pic:spPr>
                      </pic:pic>
                    </a:graphicData>
                  </a:graphic>
                </wp:inline>
              </w:drawing>
            </w:r>
          </w:p>
        </w:tc>
      </w:tr>
      <w:tr w14:paraId="52044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6D8F06E8">
            <w:pPr>
              <w:pStyle w:val="48"/>
              <w:rPr>
                <w:color w:val="auto"/>
              </w:rPr>
            </w:pPr>
            <w:r>
              <w:rPr>
                <w:rFonts w:hint="eastAsia" w:eastAsia="黑体"/>
                <w:color w:val="auto"/>
                <w:sz w:val="21"/>
                <w:szCs w:val="21"/>
              </w:rPr>
              <w:t>（a）</w:t>
            </w:r>
            <w:r>
              <w:rPr>
                <w:rFonts w:hint="eastAsia" w:eastAsia="黑体"/>
                <w:color w:val="auto"/>
                <w:sz w:val="21"/>
                <w:szCs w:val="21"/>
                <w:lang w:val="en-US" w:eastAsia="zh-CN"/>
              </w:rPr>
              <w:t>叠合板与混凝土梁身连接示意</w:t>
            </w:r>
          </w:p>
        </w:tc>
      </w:tr>
      <w:tr w14:paraId="330B8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tcPr>
          <w:p w14:paraId="1B959752">
            <w:pPr>
              <w:pStyle w:val="48"/>
              <w:rPr>
                <w:color w:val="auto"/>
              </w:rPr>
            </w:pPr>
            <w:r>
              <w:drawing>
                <wp:inline distT="0" distB="0" distL="114300" distR="114300">
                  <wp:extent cx="2374900" cy="1800225"/>
                  <wp:effectExtent l="0" t="0" r="6350" b="9525"/>
                  <wp:docPr id="2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6"/>
                          <pic:cNvPicPr>
                            <a:picLocks noChangeAspect="1"/>
                          </pic:cNvPicPr>
                        </pic:nvPicPr>
                        <pic:blipFill>
                          <a:blip r:embed="rId351"/>
                          <a:stretch>
                            <a:fillRect/>
                          </a:stretch>
                        </pic:blipFill>
                        <pic:spPr>
                          <a:xfrm>
                            <a:off x="0" y="0"/>
                            <a:ext cx="2374900" cy="1800225"/>
                          </a:xfrm>
                          <a:prstGeom prst="rect">
                            <a:avLst/>
                          </a:prstGeom>
                          <a:noFill/>
                          <a:ln>
                            <a:noFill/>
                          </a:ln>
                        </pic:spPr>
                      </pic:pic>
                    </a:graphicData>
                  </a:graphic>
                </wp:inline>
              </w:drawing>
            </w:r>
          </w:p>
        </w:tc>
        <w:tc>
          <w:tcPr>
            <w:tcW w:w="4258" w:type="dxa"/>
          </w:tcPr>
          <w:p w14:paraId="2DFAFCB2">
            <w:pPr>
              <w:pStyle w:val="48"/>
              <w:rPr>
                <w:color w:val="auto"/>
              </w:rPr>
            </w:pPr>
            <w:r>
              <w:drawing>
                <wp:inline distT="0" distB="0" distL="114300" distR="114300">
                  <wp:extent cx="1766570" cy="1800225"/>
                  <wp:effectExtent l="0" t="0" r="5080" b="9525"/>
                  <wp:docPr id="6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7"/>
                          <pic:cNvPicPr>
                            <a:picLocks noChangeAspect="1"/>
                          </pic:cNvPicPr>
                        </pic:nvPicPr>
                        <pic:blipFill>
                          <a:blip r:embed="rId352"/>
                          <a:stretch>
                            <a:fillRect/>
                          </a:stretch>
                        </pic:blipFill>
                        <pic:spPr>
                          <a:xfrm>
                            <a:off x="0" y="0"/>
                            <a:ext cx="1766570" cy="1800225"/>
                          </a:xfrm>
                          <a:prstGeom prst="rect">
                            <a:avLst/>
                          </a:prstGeom>
                          <a:noFill/>
                          <a:ln>
                            <a:noFill/>
                          </a:ln>
                        </pic:spPr>
                      </pic:pic>
                    </a:graphicData>
                  </a:graphic>
                </wp:inline>
              </w:drawing>
            </w:r>
          </w:p>
        </w:tc>
      </w:tr>
      <w:tr w14:paraId="47445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57B1092C">
            <w:pPr>
              <w:pStyle w:val="45"/>
              <w:rPr>
                <w:rFonts w:hint="eastAsia"/>
                <w:color w:val="auto"/>
              </w:rPr>
            </w:pPr>
            <w:r>
              <w:rPr>
                <w:rFonts w:hint="eastAsia" w:eastAsia="黑体"/>
                <w:color w:val="auto"/>
                <w:sz w:val="21"/>
                <w:szCs w:val="21"/>
              </w:rPr>
              <w:t>（</w:t>
            </w:r>
            <w:r>
              <w:rPr>
                <w:rFonts w:hint="eastAsia" w:eastAsia="黑体"/>
                <w:color w:val="auto"/>
                <w:sz w:val="21"/>
                <w:szCs w:val="21"/>
                <w:lang w:val="en-US" w:eastAsia="zh-CN"/>
              </w:rPr>
              <w:t>b</w:t>
            </w:r>
            <w:r>
              <w:rPr>
                <w:rFonts w:hint="eastAsia" w:eastAsia="黑体"/>
                <w:color w:val="auto"/>
                <w:sz w:val="21"/>
                <w:szCs w:val="21"/>
              </w:rPr>
              <w:t>）</w:t>
            </w:r>
            <w:r>
              <w:rPr>
                <w:rFonts w:hint="eastAsia" w:eastAsia="黑体"/>
                <w:color w:val="auto"/>
                <w:sz w:val="21"/>
                <w:szCs w:val="21"/>
                <w:lang w:val="en-US" w:eastAsia="zh-CN"/>
              </w:rPr>
              <w:t>叠合板与梁端钢组件连接示意</w:t>
            </w:r>
          </w:p>
          <w:p w14:paraId="20EC658E">
            <w:pPr>
              <w:pStyle w:val="45"/>
              <w:rPr>
                <w:rFonts w:hint="eastAsia"/>
                <w:color w:val="auto"/>
              </w:rPr>
            </w:pPr>
            <w:r>
              <w:rPr>
                <w:rFonts w:hint="eastAsia"/>
                <w:color w:val="auto"/>
              </w:rPr>
              <w:t>1—预制主梁；2—支垫；3—</w:t>
            </w:r>
            <w:r>
              <w:rPr>
                <w:rFonts w:hint="eastAsia"/>
                <w:color w:val="auto"/>
                <w:lang w:val="en-US" w:eastAsia="zh-CN"/>
              </w:rPr>
              <w:t>叠合板底板</w:t>
            </w:r>
            <w:r>
              <w:rPr>
                <w:rFonts w:hint="eastAsia"/>
                <w:color w:val="auto"/>
              </w:rPr>
              <w:t>；4—</w:t>
            </w:r>
            <w:r>
              <w:rPr>
                <w:rFonts w:hint="eastAsia"/>
                <w:color w:val="auto"/>
                <w:lang w:val="en-US" w:eastAsia="zh-CN"/>
              </w:rPr>
              <w:t>后浇混凝土</w:t>
            </w:r>
            <w:r>
              <w:rPr>
                <w:rFonts w:hint="eastAsia"/>
                <w:color w:val="auto"/>
              </w:rPr>
              <w:t>；5—</w:t>
            </w:r>
            <w:r>
              <w:rPr>
                <w:rFonts w:hint="eastAsia"/>
                <w:color w:val="auto"/>
                <w:lang w:val="en-US" w:eastAsia="zh-CN"/>
              </w:rPr>
              <w:t>构造钢筋</w:t>
            </w:r>
            <w:r>
              <w:rPr>
                <w:rFonts w:hint="eastAsia"/>
                <w:color w:val="auto"/>
              </w:rPr>
              <w:t>；6—连接钢筋；</w:t>
            </w:r>
          </w:p>
          <w:p w14:paraId="7982B842">
            <w:pPr>
              <w:pStyle w:val="45"/>
            </w:pPr>
            <w:r>
              <w:rPr>
                <w:rFonts w:hint="eastAsia"/>
                <w:color w:val="auto"/>
              </w:rPr>
              <w:t>7—</w:t>
            </w:r>
            <w:r>
              <w:rPr>
                <w:rFonts w:hint="eastAsia"/>
                <w:color w:val="auto"/>
                <w:lang w:val="en-US" w:eastAsia="zh-CN"/>
              </w:rPr>
              <w:t>混凝土梁身边线</w:t>
            </w:r>
            <w:r>
              <w:rPr>
                <w:rFonts w:hint="eastAsia"/>
                <w:color w:val="auto"/>
              </w:rPr>
              <w:t>；8—</w:t>
            </w:r>
            <w:r>
              <w:rPr>
                <w:rFonts w:hint="eastAsia"/>
                <w:color w:val="auto"/>
                <w:lang w:val="en-US" w:eastAsia="zh-CN"/>
              </w:rPr>
              <w:t>槽钢</w:t>
            </w:r>
            <w:r>
              <w:rPr>
                <w:rFonts w:hint="eastAsia"/>
                <w:color w:val="auto"/>
              </w:rPr>
              <w:t>；</w:t>
            </w:r>
            <w:r>
              <w:rPr>
                <w:rFonts w:hint="eastAsia"/>
                <w:color w:val="auto"/>
                <w:lang w:val="en-US" w:eastAsia="zh-CN"/>
              </w:rPr>
              <w:t>9</w:t>
            </w:r>
            <w:r>
              <w:rPr>
                <w:rFonts w:hint="eastAsia"/>
                <w:color w:val="auto"/>
              </w:rPr>
              <w:t>—</w:t>
            </w:r>
            <w:r>
              <w:rPr>
                <w:rFonts w:hint="eastAsia"/>
                <w:color w:val="auto"/>
                <w:lang w:val="en-US" w:eastAsia="zh-CN"/>
              </w:rPr>
              <w:t>梁端钢组件</w:t>
            </w:r>
            <w:r>
              <w:rPr>
                <w:rFonts w:hint="eastAsia"/>
                <w:color w:val="auto"/>
              </w:rPr>
              <w:t>；10—</w:t>
            </w:r>
            <w:r>
              <w:rPr>
                <w:rFonts w:hint="eastAsia"/>
                <w:color w:val="auto"/>
                <w:lang w:val="en-US" w:eastAsia="zh-CN"/>
              </w:rPr>
              <w:t>柱侧钢组件</w:t>
            </w:r>
          </w:p>
        </w:tc>
      </w:tr>
    </w:tbl>
    <w:p w14:paraId="5520B950">
      <w:pPr>
        <w:numPr>
          <w:ilvl w:val="0"/>
          <w:numId w:val="0"/>
        </w:numPr>
        <w:bidi w:val="0"/>
        <w:rPr>
          <w:rFonts w:hint="default"/>
          <w:lang w:val="en-US" w:eastAsia="zh-CN"/>
        </w:rPr>
      </w:pPr>
    </w:p>
    <w:p w14:paraId="4C846FA1">
      <w:pPr>
        <w:pStyle w:val="45"/>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图6.</w:t>
      </w:r>
      <w:r>
        <w:rPr>
          <w:rFonts w:hint="eastAsia" w:cs="Times New Roman"/>
          <w:color w:val="auto"/>
          <w:lang w:val="en-US" w:eastAsia="zh-CN"/>
        </w:rPr>
        <w:t>4</w:t>
      </w:r>
      <w:r>
        <w:rPr>
          <w:rFonts w:hint="eastAsia" w:ascii="Times New Roman" w:hAnsi="Times New Roman" w:cs="Times New Roman"/>
          <w:color w:val="auto"/>
          <w:lang w:val="en-US" w:eastAsia="zh-CN"/>
        </w:rPr>
        <w:t>.</w:t>
      </w:r>
      <w:r>
        <w:rPr>
          <w:rFonts w:hint="eastAsia" w:cs="Times New Roman"/>
          <w:color w:val="auto"/>
          <w:lang w:val="en-US" w:eastAsia="zh-CN"/>
        </w:rPr>
        <w:t>3</w:t>
      </w:r>
      <w:r>
        <w:rPr>
          <w:rFonts w:hint="eastAsia" w:ascii="Times New Roman" w:hAnsi="Times New Roman" w:cs="Times New Roman"/>
          <w:color w:val="auto"/>
          <w:lang w:val="en-US" w:eastAsia="zh-CN"/>
        </w:rPr>
        <w:t xml:space="preserve"> </w:t>
      </w:r>
      <w:r>
        <w:rPr>
          <w:rFonts w:hint="eastAsia" w:cs="Times New Roman"/>
          <w:color w:val="auto"/>
          <w:lang w:val="en-US" w:eastAsia="zh-CN"/>
        </w:rPr>
        <w:t xml:space="preserve"> 叠合</w:t>
      </w:r>
      <w:r>
        <w:rPr>
          <w:rFonts w:hint="eastAsia" w:ascii="Times New Roman" w:hAnsi="Times New Roman" w:cs="Times New Roman"/>
          <w:color w:val="auto"/>
          <w:lang w:val="en-US" w:eastAsia="zh-CN"/>
        </w:rPr>
        <w:t>板与全预制梁</w:t>
      </w:r>
      <w:r>
        <w:rPr>
          <w:rFonts w:hint="eastAsia" w:cs="Times New Roman"/>
          <w:color w:val="auto"/>
          <w:lang w:val="en-US" w:eastAsia="zh-CN"/>
        </w:rPr>
        <w:t>支座</w:t>
      </w:r>
      <w:r>
        <w:rPr>
          <w:rFonts w:hint="eastAsia" w:ascii="Times New Roman" w:hAnsi="Times New Roman" w:cs="Times New Roman"/>
          <w:color w:val="auto"/>
          <w:lang w:val="en-US" w:eastAsia="zh-CN"/>
        </w:rPr>
        <w:t>连接构造示意</w:t>
      </w:r>
    </w:p>
    <w:p w14:paraId="241A7BE0">
      <w:pPr>
        <w:pStyle w:val="42"/>
        <w:numPr>
          <w:ilvl w:val="2"/>
          <w:numId w:val="2"/>
        </w:numPr>
      </w:pPr>
      <w:r>
        <w:rPr>
          <w:rFonts w:hint="eastAsia"/>
          <w:lang w:eastAsia="zh-CN"/>
        </w:rPr>
        <w:t>当采用全预制梁</w:t>
      </w:r>
      <w:r>
        <w:rPr>
          <w:rFonts w:hint="eastAsia"/>
          <w:lang w:val="en-US" w:eastAsia="zh-CN"/>
        </w:rPr>
        <w:t>时</w:t>
      </w:r>
      <w:r>
        <w:rPr>
          <w:rFonts w:hint="eastAsia"/>
          <w:lang w:eastAsia="zh-CN"/>
        </w:rPr>
        <w:t>，全预制</w:t>
      </w:r>
      <w:r>
        <w:rPr>
          <w:rFonts w:hint="eastAsia"/>
          <w:lang w:val="en-US" w:eastAsia="zh-CN"/>
        </w:rPr>
        <w:t>板</w:t>
      </w:r>
      <w:r>
        <w:rPr>
          <w:rFonts w:hint="eastAsia"/>
          <w:lang w:eastAsia="zh-CN"/>
        </w:rPr>
        <w:t>与梁的连接</w:t>
      </w:r>
      <w:r>
        <w:rPr>
          <w:rFonts w:hint="eastAsia"/>
          <w:lang w:val="en-US" w:eastAsia="zh-CN"/>
        </w:rPr>
        <w:t>除应符合本规程第6.4.3条的规定外，</w:t>
      </w:r>
      <w:r>
        <w:rPr>
          <w:rFonts w:hint="eastAsia"/>
          <w:lang w:eastAsia="zh-CN"/>
        </w:rPr>
        <w:t>全预制</w:t>
      </w:r>
      <w:r>
        <w:rPr>
          <w:rFonts w:hint="eastAsia"/>
          <w:lang w:val="en-US" w:eastAsia="zh-CN"/>
        </w:rPr>
        <w:t>板伸出的受力钢筋尚应符合下列规定：</w:t>
      </w:r>
    </w:p>
    <w:p w14:paraId="7D2D438F">
      <w:pPr>
        <w:pStyle w:val="43"/>
        <w:bidi w:val="0"/>
      </w:pPr>
      <w:r>
        <w:rPr>
          <w:rFonts w:hint="eastAsia"/>
          <w:lang w:val="en-US" w:eastAsia="zh-CN"/>
        </w:rPr>
        <w:t>中间支座处板顶钢筋可采用搭接连接，钢筋端部应设</w:t>
      </w:r>
      <w:r>
        <w:rPr>
          <w:rFonts w:hint="default" w:ascii="Times New Roman" w:hAnsi="Times New Roman" w:cs="Times New Roman"/>
          <w:lang w:val="en-US" w:eastAsia="zh-CN"/>
        </w:rPr>
        <w:t>置135°弯钩</w:t>
      </w:r>
      <w:r>
        <w:rPr>
          <w:rFonts w:hint="eastAsia"/>
          <w:lang w:val="en-US" w:eastAsia="zh-CN"/>
        </w:rPr>
        <w:t>，搭接长度</w:t>
      </w:r>
      <w:r>
        <w:rPr>
          <w:rFonts w:hint="eastAsia"/>
          <w:i/>
          <w:iCs/>
          <w:lang w:val="en-US" w:eastAsia="zh-CN"/>
        </w:rPr>
        <w:t>L</w:t>
      </w:r>
      <w:r>
        <w:rPr>
          <w:rFonts w:hint="eastAsia"/>
          <w:i/>
          <w:iCs/>
          <w:vertAlign w:val="subscript"/>
          <w:lang w:val="en-US" w:eastAsia="zh-CN"/>
        </w:rPr>
        <w:t>l</w:t>
      </w:r>
      <w:r>
        <w:rPr>
          <w:rFonts w:hint="eastAsia"/>
          <w:i w:val="0"/>
          <w:iCs w:val="0"/>
          <w:vertAlign w:val="baseline"/>
          <w:lang w:val="en-US" w:eastAsia="zh-CN"/>
        </w:rPr>
        <w:t>可取为搭接钢筋的锚固长度</w:t>
      </w:r>
      <w:r>
        <w:rPr>
          <w:rFonts w:hint="eastAsia"/>
          <w:color w:val="auto"/>
          <w:lang w:val="en-US" w:eastAsia="zh-CN"/>
        </w:rPr>
        <w:t>；</w:t>
      </w:r>
      <w:r>
        <w:rPr>
          <w:rFonts w:hint="eastAsia"/>
          <w:lang w:val="en-US" w:eastAsia="zh-CN"/>
        </w:rPr>
        <w:t>板底钢筋宜伸至支座中心线</w:t>
      </w:r>
      <w:r>
        <w:rPr>
          <w:rFonts w:hint="eastAsia"/>
          <w:color w:val="auto"/>
          <w:lang w:val="en-US" w:eastAsia="zh-CN"/>
        </w:rPr>
        <w:t>[</w:t>
      </w:r>
      <w:r>
        <w:rPr>
          <w:rFonts w:hint="eastAsia"/>
          <w:color w:val="auto"/>
        </w:rPr>
        <w:t>图6.</w:t>
      </w:r>
      <w:r>
        <w:rPr>
          <w:rFonts w:hint="eastAsia"/>
          <w:color w:val="auto"/>
          <w:lang w:val="en-US" w:eastAsia="zh-CN"/>
        </w:rPr>
        <w:t>4</w:t>
      </w:r>
      <w:r>
        <w:rPr>
          <w:rFonts w:hint="eastAsia"/>
          <w:color w:val="auto"/>
        </w:rPr>
        <w:t>.</w:t>
      </w:r>
      <w:r>
        <w:rPr>
          <w:rFonts w:hint="eastAsia"/>
          <w:color w:val="auto"/>
          <w:lang w:val="en-US" w:eastAsia="zh-CN"/>
        </w:rPr>
        <w:t>4</w:t>
      </w:r>
      <w:r>
        <w:rPr>
          <w:rFonts w:hint="eastAsia"/>
          <w:color w:val="auto"/>
        </w:rPr>
        <w:t>（a）</w:t>
      </w:r>
      <w:r>
        <w:rPr>
          <w:rFonts w:hint="eastAsia"/>
          <w:color w:val="auto"/>
          <w:lang w:val="en-US" w:eastAsia="zh-CN"/>
        </w:rPr>
        <w:t>]</w:t>
      </w:r>
      <w:r>
        <w:rPr>
          <w:rFonts w:hint="eastAsia"/>
          <w:lang w:eastAsia="zh-CN"/>
        </w:rPr>
        <w:t>；</w:t>
      </w:r>
    </w:p>
    <w:p w14:paraId="046FBB37">
      <w:pPr>
        <w:pStyle w:val="43"/>
        <w:bidi w:val="0"/>
        <w:rPr>
          <w:rFonts w:hint="eastAsia"/>
          <w:lang w:val="en-US" w:eastAsia="zh-CN"/>
        </w:rPr>
      </w:pPr>
      <w:r>
        <w:rPr>
          <w:rFonts w:hint="eastAsia"/>
          <w:lang w:val="en-US" w:eastAsia="zh-CN"/>
        </w:rPr>
        <w:t>边支座处板顶钢筋可采</w:t>
      </w:r>
      <w:r>
        <w:rPr>
          <w:rFonts w:hint="default" w:ascii="Times New Roman" w:hAnsi="Times New Roman" w:cs="Times New Roman"/>
          <w:lang w:val="en-US" w:eastAsia="zh-CN"/>
        </w:rPr>
        <w:t>用90°弯折</w:t>
      </w:r>
      <w:r>
        <w:rPr>
          <w:rFonts w:hint="eastAsia"/>
          <w:lang w:val="en-US" w:eastAsia="zh-CN"/>
        </w:rPr>
        <w:t>锚固的方式，其包含弯弧在内的水平投影长度不应小于0.35</w:t>
      </w:r>
      <w:r>
        <w:rPr>
          <w:rFonts w:hint="eastAsia"/>
          <w:i/>
          <w:iCs/>
          <w:lang w:val="en-US" w:eastAsia="zh-CN"/>
        </w:rPr>
        <w:t>l</w:t>
      </w:r>
      <w:r>
        <w:rPr>
          <w:rFonts w:hint="eastAsia"/>
          <w:vertAlign w:val="subscript"/>
          <w:lang w:val="en-US" w:eastAsia="zh-CN"/>
        </w:rPr>
        <w:t>ab</w:t>
      </w:r>
      <w:r>
        <w:rPr>
          <w:rFonts w:hint="eastAsia"/>
          <w:vertAlign w:val="baseline"/>
          <w:lang w:val="en-US" w:eastAsia="zh-CN"/>
        </w:rPr>
        <w:t>，</w:t>
      </w:r>
      <w:r>
        <w:rPr>
          <w:rFonts w:hint="eastAsia"/>
          <w:lang w:val="en-US" w:eastAsia="zh-CN"/>
        </w:rPr>
        <w:t>弯折钢筋在弯折平面内包含弯弧段的投影长度不应小于15</w:t>
      </w:r>
      <w:r>
        <w:rPr>
          <w:rFonts w:hint="eastAsia"/>
          <w:i/>
          <w:iCs/>
          <w:lang w:val="en-US" w:eastAsia="zh-CN"/>
        </w:rPr>
        <w:t>d</w:t>
      </w:r>
      <w:r>
        <w:rPr>
          <w:rFonts w:hint="eastAsia"/>
          <w:lang w:eastAsia="zh-CN"/>
        </w:rPr>
        <w:t>；</w:t>
      </w:r>
      <w:r>
        <w:rPr>
          <w:rFonts w:hint="eastAsia"/>
          <w:lang w:val="en-US" w:eastAsia="zh-CN"/>
        </w:rPr>
        <w:t>板底钢筋锚固长度不应小于5</w:t>
      </w:r>
      <w:r>
        <w:rPr>
          <w:rFonts w:hint="eastAsia"/>
          <w:i/>
          <w:iCs/>
          <w:lang w:val="en-US" w:eastAsia="zh-CN"/>
        </w:rPr>
        <w:t>d</w:t>
      </w:r>
      <w:r>
        <w:rPr>
          <w:rFonts w:hint="eastAsia"/>
          <w:lang w:eastAsia="zh-CN"/>
        </w:rPr>
        <w:t>，</w:t>
      </w:r>
      <w:r>
        <w:rPr>
          <w:rFonts w:hint="eastAsia"/>
          <w:lang w:val="en-US" w:eastAsia="zh-CN"/>
        </w:rPr>
        <w:t>且宜伸过支座中心线</w:t>
      </w:r>
      <w:r>
        <w:rPr>
          <w:rFonts w:hint="eastAsia"/>
          <w:color w:val="auto"/>
          <w:lang w:val="en-US" w:eastAsia="zh-CN"/>
        </w:rPr>
        <w:t>[</w:t>
      </w:r>
      <w:r>
        <w:rPr>
          <w:rFonts w:hint="eastAsia"/>
          <w:color w:val="auto"/>
        </w:rPr>
        <w:t>图6.</w:t>
      </w:r>
      <w:r>
        <w:rPr>
          <w:rFonts w:hint="eastAsia"/>
          <w:color w:val="auto"/>
          <w:lang w:val="en-US" w:eastAsia="zh-CN"/>
        </w:rPr>
        <w:t>4</w:t>
      </w: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b</w:t>
      </w:r>
      <w:r>
        <w:rPr>
          <w:rFonts w:hint="eastAsia"/>
          <w:color w:val="auto"/>
        </w:rPr>
        <w:t>）</w:t>
      </w:r>
      <w:r>
        <w:rPr>
          <w:rFonts w:hint="eastAsia"/>
          <w:color w:val="auto"/>
          <w:lang w:val="en-US" w:eastAsia="zh-CN"/>
        </w:rPr>
        <w:t>]</w:t>
      </w:r>
      <w:r>
        <w:rPr>
          <w:rFonts w:hint="eastAsia"/>
          <w:lang w:eastAsia="zh-CN"/>
        </w:rPr>
        <w:t>。</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1DFCF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tcPr>
          <w:p w14:paraId="3EDD5215">
            <w:pPr>
              <w:pStyle w:val="48"/>
              <w:rPr>
                <w:color w:val="auto"/>
              </w:rPr>
            </w:pPr>
            <w:r>
              <w:drawing>
                <wp:inline distT="0" distB="0" distL="114300" distR="114300">
                  <wp:extent cx="2407285" cy="1800225"/>
                  <wp:effectExtent l="0" t="0" r="12065" b="9525"/>
                  <wp:docPr id="2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8"/>
                          <pic:cNvPicPr>
                            <a:picLocks noChangeAspect="1"/>
                          </pic:cNvPicPr>
                        </pic:nvPicPr>
                        <pic:blipFill>
                          <a:blip r:embed="rId353"/>
                          <a:stretch>
                            <a:fillRect/>
                          </a:stretch>
                        </pic:blipFill>
                        <pic:spPr>
                          <a:xfrm>
                            <a:off x="0" y="0"/>
                            <a:ext cx="2407285" cy="1800225"/>
                          </a:xfrm>
                          <a:prstGeom prst="rect">
                            <a:avLst/>
                          </a:prstGeom>
                          <a:noFill/>
                          <a:ln>
                            <a:noFill/>
                          </a:ln>
                        </pic:spPr>
                      </pic:pic>
                    </a:graphicData>
                  </a:graphic>
                </wp:inline>
              </w:drawing>
            </w:r>
          </w:p>
        </w:tc>
        <w:tc>
          <w:tcPr>
            <w:tcW w:w="4258" w:type="dxa"/>
          </w:tcPr>
          <w:p w14:paraId="5DBD8FC3">
            <w:pPr>
              <w:pStyle w:val="48"/>
              <w:rPr>
                <w:color w:val="auto"/>
              </w:rPr>
            </w:pPr>
            <w:r>
              <w:drawing>
                <wp:inline distT="0" distB="0" distL="114300" distR="114300">
                  <wp:extent cx="1648460" cy="1800225"/>
                  <wp:effectExtent l="0" t="0" r="8890" b="9525"/>
                  <wp:docPr id="1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0"/>
                          <pic:cNvPicPr>
                            <a:picLocks noChangeAspect="1"/>
                          </pic:cNvPicPr>
                        </pic:nvPicPr>
                        <pic:blipFill>
                          <a:blip r:embed="rId354"/>
                          <a:stretch>
                            <a:fillRect/>
                          </a:stretch>
                        </pic:blipFill>
                        <pic:spPr>
                          <a:xfrm>
                            <a:off x="0" y="0"/>
                            <a:ext cx="1648460" cy="1800225"/>
                          </a:xfrm>
                          <a:prstGeom prst="rect">
                            <a:avLst/>
                          </a:prstGeom>
                          <a:noFill/>
                          <a:ln>
                            <a:noFill/>
                          </a:ln>
                        </pic:spPr>
                      </pic:pic>
                    </a:graphicData>
                  </a:graphic>
                </wp:inline>
              </w:drawing>
            </w:r>
          </w:p>
        </w:tc>
      </w:tr>
      <w:tr w14:paraId="2CB42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shd w:val="clear" w:color="auto" w:fill="auto"/>
            <w:vAlign w:val="top"/>
          </w:tcPr>
          <w:p w14:paraId="604C729E">
            <w:pPr>
              <w:pStyle w:val="48"/>
              <w:ind w:firstLine="0" w:firstLineChars="0"/>
              <w:rPr>
                <w:rFonts w:ascii="Times New Roman" w:hAnsi="Times New Roman" w:eastAsia="宋体" w:cs="Times New Roman"/>
                <w:color w:val="auto"/>
                <w:kern w:val="2"/>
                <w:sz w:val="24"/>
                <w:szCs w:val="24"/>
                <w:lang w:val="en-US" w:eastAsia="zh-CN" w:bidi="ar-SA"/>
              </w:rPr>
            </w:pPr>
            <w:r>
              <w:rPr>
                <w:rFonts w:hint="eastAsia" w:eastAsia="黑体"/>
                <w:color w:val="auto"/>
                <w:sz w:val="21"/>
                <w:szCs w:val="21"/>
              </w:rPr>
              <w:t>（a）</w:t>
            </w:r>
            <w:r>
              <w:rPr>
                <w:rFonts w:hint="eastAsia" w:eastAsia="黑体"/>
                <w:color w:val="auto"/>
                <w:sz w:val="21"/>
                <w:szCs w:val="21"/>
                <w:lang w:val="en-US" w:eastAsia="zh-CN"/>
              </w:rPr>
              <w:t>中间支座连接示意</w:t>
            </w:r>
          </w:p>
        </w:tc>
        <w:tc>
          <w:tcPr>
            <w:tcW w:w="4258" w:type="dxa"/>
            <w:shd w:val="clear" w:color="auto" w:fill="auto"/>
            <w:vAlign w:val="top"/>
          </w:tcPr>
          <w:p w14:paraId="42AEF1F1">
            <w:pPr>
              <w:pStyle w:val="48"/>
              <w:ind w:firstLine="0" w:firstLineChars="0"/>
              <w:rPr>
                <w:rFonts w:ascii="Times New Roman" w:hAnsi="Times New Roman" w:eastAsia="宋体" w:cs="Times New Roman"/>
                <w:color w:val="auto"/>
                <w:kern w:val="2"/>
                <w:sz w:val="24"/>
                <w:szCs w:val="24"/>
                <w:lang w:val="en-US" w:eastAsia="zh-CN" w:bidi="ar-SA"/>
              </w:rPr>
            </w:pPr>
            <w:r>
              <w:rPr>
                <w:rFonts w:hint="eastAsia" w:eastAsia="黑体"/>
                <w:color w:val="auto"/>
                <w:sz w:val="21"/>
                <w:szCs w:val="21"/>
              </w:rPr>
              <w:t>（</w:t>
            </w:r>
            <w:r>
              <w:rPr>
                <w:rFonts w:hint="eastAsia" w:eastAsia="黑体"/>
                <w:color w:val="auto"/>
                <w:sz w:val="21"/>
                <w:szCs w:val="21"/>
                <w:lang w:val="en-US" w:eastAsia="zh-CN"/>
              </w:rPr>
              <w:t>b</w:t>
            </w:r>
            <w:r>
              <w:rPr>
                <w:rFonts w:hint="eastAsia" w:eastAsia="黑体"/>
                <w:color w:val="auto"/>
                <w:sz w:val="21"/>
                <w:szCs w:val="21"/>
              </w:rPr>
              <w:t>）</w:t>
            </w:r>
            <w:r>
              <w:rPr>
                <w:rFonts w:hint="eastAsia" w:eastAsia="黑体"/>
                <w:color w:val="auto"/>
                <w:sz w:val="21"/>
                <w:szCs w:val="21"/>
                <w:lang w:val="en-US" w:eastAsia="zh-CN"/>
              </w:rPr>
              <w:t>边支座连接示意</w:t>
            </w:r>
          </w:p>
        </w:tc>
      </w:tr>
      <w:tr w14:paraId="3CADF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gridSpan w:val="2"/>
          </w:tcPr>
          <w:p w14:paraId="3C3B085B">
            <w:pPr>
              <w:pStyle w:val="45"/>
              <w:rPr>
                <w:rFonts w:hint="eastAsia"/>
                <w:color w:val="auto"/>
              </w:rPr>
            </w:pPr>
            <w:r>
              <w:rPr>
                <w:rFonts w:hint="eastAsia"/>
                <w:color w:val="auto"/>
              </w:rPr>
              <w:t>1—梁；2—</w:t>
            </w:r>
            <w:r>
              <w:rPr>
                <w:rFonts w:hint="eastAsia"/>
                <w:color w:val="auto"/>
                <w:lang w:val="en-US" w:eastAsia="zh-CN"/>
              </w:rPr>
              <w:t>板底钢筋</w:t>
            </w:r>
            <w:r>
              <w:rPr>
                <w:rFonts w:hint="eastAsia"/>
                <w:color w:val="auto"/>
              </w:rPr>
              <w:t>；3—</w:t>
            </w:r>
            <w:r>
              <w:rPr>
                <w:rFonts w:hint="eastAsia"/>
                <w:color w:val="auto"/>
                <w:lang w:val="en-US" w:eastAsia="zh-CN"/>
              </w:rPr>
              <w:t>板顶钢筋</w:t>
            </w:r>
            <w:r>
              <w:rPr>
                <w:rFonts w:hint="eastAsia"/>
                <w:color w:val="auto"/>
              </w:rPr>
              <w:t>；4—连接钢筋；</w:t>
            </w:r>
          </w:p>
          <w:p w14:paraId="1661978E">
            <w:pPr>
              <w:pStyle w:val="45"/>
              <w:rPr>
                <w:rFonts w:hint="default" w:eastAsia="黑体"/>
                <w:color w:val="auto"/>
                <w:lang w:val="en-US" w:eastAsia="zh-CN"/>
              </w:rPr>
            </w:pPr>
            <w:r>
              <w:rPr>
                <w:rFonts w:hint="eastAsia"/>
                <w:color w:val="auto"/>
              </w:rPr>
              <w:t>5—</w:t>
            </w:r>
            <w:r>
              <w:rPr>
                <w:rFonts w:hint="eastAsia"/>
                <w:color w:val="auto"/>
                <w:lang w:val="en-US" w:eastAsia="zh-CN"/>
              </w:rPr>
              <w:t>构造钢筋；</w:t>
            </w:r>
            <w:r>
              <w:rPr>
                <w:rFonts w:hint="eastAsia"/>
                <w:color w:val="auto"/>
              </w:rPr>
              <w:t>6—</w:t>
            </w:r>
            <w:r>
              <w:rPr>
                <w:rFonts w:hint="eastAsia"/>
                <w:color w:val="auto"/>
                <w:lang w:val="en-US" w:eastAsia="zh-CN"/>
              </w:rPr>
              <w:t>后浇混凝土；7</w:t>
            </w:r>
            <w:r>
              <w:rPr>
                <w:rFonts w:hint="eastAsia"/>
                <w:color w:val="auto"/>
              </w:rPr>
              <w:t>—支垫</w:t>
            </w:r>
          </w:p>
          <w:p w14:paraId="5E50B9E1">
            <w:pPr>
              <w:pStyle w:val="45"/>
            </w:pPr>
            <w:r>
              <w:rPr>
                <w:rFonts w:hint="eastAsia"/>
                <w:color w:val="auto"/>
              </w:rPr>
              <w:t>图6.</w:t>
            </w:r>
            <w:r>
              <w:rPr>
                <w:rFonts w:hint="eastAsia"/>
                <w:color w:val="auto"/>
                <w:lang w:val="en-US" w:eastAsia="zh-CN"/>
              </w:rPr>
              <w:t>4</w:t>
            </w:r>
            <w:r>
              <w:rPr>
                <w:rFonts w:hint="eastAsia"/>
                <w:color w:val="auto"/>
              </w:rPr>
              <w:t>.</w:t>
            </w:r>
            <w:r>
              <w:rPr>
                <w:rFonts w:hint="eastAsia"/>
                <w:color w:val="auto"/>
                <w:lang w:val="en-US" w:eastAsia="zh-CN"/>
              </w:rPr>
              <w:t>4</w:t>
            </w:r>
            <w:r>
              <w:rPr>
                <w:rFonts w:hint="eastAsia"/>
                <w:color w:val="auto"/>
              </w:rPr>
              <w:t xml:space="preserve">  </w:t>
            </w:r>
            <w:r>
              <w:rPr>
                <w:rFonts w:hint="eastAsia"/>
                <w:color w:val="auto"/>
                <w:lang w:val="en-US" w:eastAsia="zh-CN"/>
              </w:rPr>
              <w:t>全预制</w:t>
            </w:r>
            <w:r>
              <w:rPr>
                <w:rFonts w:hint="eastAsia" w:ascii="Times New Roman" w:hAnsi="Times New Roman" w:cs="Times New Roman"/>
                <w:color w:val="auto"/>
                <w:lang w:val="en-US" w:eastAsia="zh-CN"/>
              </w:rPr>
              <w:t>板与全预制梁</w:t>
            </w:r>
            <w:r>
              <w:rPr>
                <w:rFonts w:hint="eastAsia" w:cs="Times New Roman"/>
                <w:color w:val="auto"/>
                <w:lang w:val="en-US" w:eastAsia="zh-CN"/>
              </w:rPr>
              <w:t>支座</w:t>
            </w:r>
            <w:r>
              <w:rPr>
                <w:rFonts w:hint="eastAsia" w:ascii="Times New Roman" w:hAnsi="Times New Roman" w:cs="Times New Roman"/>
                <w:color w:val="auto"/>
                <w:lang w:val="en-US" w:eastAsia="zh-CN"/>
              </w:rPr>
              <w:t>连接构造示意</w:t>
            </w:r>
          </w:p>
        </w:tc>
      </w:tr>
    </w:tbl>
    <w:p w14:paraId="7A94A2BA">
      <w:pPr>
        <w:pStyle w:val="49"/>
        <w:bidi w:val="0"/>
        <w:rPr>
          <w:rFonts w:hint="eastAsia"/>
          <w:lang w:eastAsia="zh-CN"/>
        </w:rPr>
      </w:pPr>
    </w:p>
    <w:p w14:paraId="393A23DA">
      <w:pPr>
        <w:pStyle w:val="39"/>
        <w:numPr>
          <w:ilvl w:val="0"/>
          <w:numId w:val="9"/>
        </w:numPr>
        <w:spacing w:before="312" w:after="312"/>
      </w:pPr>
      <w:bookmarkStart w:id="54" w:name="_Toc28089"/>
      <w:r>
        <w:rPr>
          <w:rFonts w:hint="eastAsia"/>
        </w:rPr>
        <w:t>制作与</w:t>
      </w:r>
      <w:r>
        <w:rPr>
          <w:rFonts w:hint="eastAsia"/>
          <w:lang w:val="en-US" w:eastAsia="zh-CN"/>
        </w:rPr>
        <w:t>施工</w:t>
      </w:r>
      <w:bookmarkEnd w:id="52"/>
      <w:bookmarkEnd w:id="53"/>
      <w:bookmarkEnd w:id="54"/>
    </w:p>
    <w:p w14:paraId="544B3C20">
      <w:pPr>
        <w:pStyle w:val="41"/>
        <w:numPr>
          <w:ilvl w:val="1"/>
          <w:numId w:val="9"/>
        </w:numPr>
        <w:spacing w:before="312" w:after="312"/>
      </w:pPr>
      <w:bookmarkStart w:id="55" w:name="_Toc32423"/>
      <w:bookmarkStart w:id="56" w:name="_Toc28663"/>
      <w:r>
        <w:t>一般规定</w:t>
      </w:r>
      <w:bookmarkEnd w:id="55"/>
      <w:bookmarkEnd w:id="56"/>
    </w:p>
    <w:p w14:paraId="39575BF9">
      <w:pPr>
        <w:pStyle w:val="42"/>
        <w:numPr>
          <w:ilvl w:val="2"/>
          <w:numId w:val="9"/>
        </w:numPr>
        <w:rPr>
          <w:rFonts w:hint="eastAsia"/>
          <w:lang w:val="en-US" w:eastAsia="zh-CN"/>
        </w:rPr>
      </w:pPr>
      <w:r>
        <w:rPr>
          <w:rFonts w:hint="eastAsia"/>
          <w:lang w:val="en-US" w:eastAsia="zh-CN"/>
        </w:rPr>
        <w:t>预制梁、预制柱的制作单位应具备保证质量要求的生产工艺设施，并应有完善的质量管理体系和试验检测手段；制作前，应编制生产方案，生产方案宜包括生产工艺、模具方案、生产计划、技术质量控制措施、成品保护、堆放及运输方案等内容。</w:t>
      </w:r>
    </w:p>
    <w:p w14:paraId="2F0DABE7">
      <w:pPr>
        <w:pStyle w:val="42"/>
        <w:bidi w:val="0"/>
        <w:rPr>
          <w:rFonts w:hint="eastAsia"/>
        </w:rPr>
      </w:pPr>
      <w:r>
        <w:rPr>
          <w:rFonts w:hint="eastAsia"/>
        </w:rPr>
        <w:t>预制梁、预制柱的质量检验可分为材料质量检验、制作过程质量检验和构件成品质量检验。制作过程质量检验应包括模具</w:t>
      </w:r>
      <w:r>
        <w:rPr>
          <w:rFonts w:hint="eastAsia"/>
          <w:lang w:eastAsia="zh-CN"/>
        </w:rPr>
        <w:t>、</w:t>
      </w:r>
      <w:r>
        <w:rPr>
          <w:rFonts w:hint="eastAsia"/>
        </w:rPr>
        <w:t>钢筋</w:t>
      </w:r>
      <w:r>
        <w:rPr>
          <w:rFonts w:hint="eastAsia"/>
          <w:lang w:eastAsia="zh-CN"/>
        </w:rPr>
        <w:t>、</w:t>
      </w:r>
      <w:r>
        <w:rPr>
          <w:rFonts w:hint="eastAsia"/>
          <w:lang w:val="en-US" w:eastAsia="zh-CN"/>
        </w:rPr>
        <w:t>钢组件、预留连接杆、</w:t>
      </w:r>
      <w:r>
        <w:rPr>
          <w:rFonts w:hint="eastAsia"/>
        </w:rPr>
        <w:t>混凝土等</w:t>
      </w:r>
      <w:r>
        <w:rPr>
          <w:rFonts w:hint="eastAsia"/>
          <w:lang w:val="en-US" w:eastAsia="zh-CN"/>
        </w:rPr>
        <w:t>检验项目；</w:t>
      </w:r>
      <w:r>
        <w:rPr>
          <w:rFonts w:hint="eastAsia"/>
        </w:rPr>
        <w:t>构件成品质量检验应包括构件外观质量</w:t>
      </w:r>
      <w:r>
        <w:rPr>
          <w:rFonts w:hint="eastAsia"/>
          <w:lang w:val="en-US" w:eastAsia="zh-CN"/>
        </w:rPr>
        <w:t>和</w:t>
      </w:r>
      <w:r>
        <w:rPr>
          <w:rFonts w:hint="eastAsia"/>
        </w:rPr>
        <w:t>尺寸偏差</w:t>
      </w:r>
      <w:r>
        <w:rPr>
          <w:rFonts w:hint="eastAsia"/>
          <w:lang w:val="en-US" w:eastAsia="zh-CN"/>
        </w:rPr>
        <w:t>等。</w:t>
      </w:r>
    </w:p>
    <w:p w14:paraId="1F23A04F">
      <w:pPr>
        <w:pStyle w:val="42"/>
        <w:numPr>
          <w:ilvl w:val="2"/>
          <w:numId w:val="9"/>
        </w:numPr>
        <w:rPr>
          <w:rFonts w:hint="eastAsia"/>
          <w:lang w:val="en-US" w:eastAsia="zh-CN"/>
        </w:rPr>
      </w:pPr>
      <w:r>
        <w:rPr>
          <w:rFonts w:hint="eastAsia"/>
          <w:lang w:val="en-US" w:eastAsia="zh-CN"/>
        </w:rPr>
        <w:t>预制梁、预制柱的制作宜采用信息化管理手段；构件经检验合格后，应在表面设置标识，标识设置宜采用射频识别、二维码等信息化技术。</w:t>
      </w:r>
    </w:p>
    <w:p w14:paraId="1E7091A3">
      <w:pPr>
        <w:pStyle w:val="42"/>
        <w:numPr>
          <w:ilvl w:val="2"/>
          <w:numId w:val="9"/>
        </w:numPr>
        <w:rPr>
          <w:rFonts w:hint="eastAsia"/>
          <w:lang w:val="en-US" w:eastAsia="zh-CN"/>
        </w:rPr>
      </w:pPr>
      <w:r>
        <w:rPr>
          <w:rFonts w:hint="eastAsia"/>
          <w:lang w:val="en-US" w:eastAsia="zh-CN"/>
        </w:rPr>
        <w:t>预制梁、预制柱施工前应编制专项施工方案，专项施工方案宜包括施工场地布置、预制构件运输与存放、安装与连接施工、绿色施工、安全管理、质量管理、应急预案等内容；超过一定规模的危险性较大分部分项工程专项施工方案应组织专家论证；专项施工方案实施前应进行交底。</w:t>
      </w:r>
    </w:p>
    <w:p w14:paraId="3B2EC450">
      <w:pPr>
        <w:pStyle w:val="42"/>
        <w:numPr>
          <w:ilvl w:val="2"/>
          <w:numId w:val="9"/>
        </w:numPr>
      </w:pPr>
      <w:r>
        <w:rPr>
          <w:rFonts w:hint="eastAsia"/>
        </w:rPr>
        <w:fldChar w:fldCharType="begin"/>
      </w:r>
      <w:r>
        <w:instrText xml:space="preserve"> HYPERLINK "https://www.ytuymu.com/web/books/ca7e4c35-068a-4fa2-abf0-c673b2613677/items/a7975d8f-d54b-47b1-b713-1a1366108fd8?q=%E5%BA%94%E8%BF%9B%E8%A1%8C%E9%A2%84%E6%8B%BC%E8%A3%85" </w:instrText>
      </w:r>
      <w:r>
        <w:rPr>
          <w:rFonts w:hint="eastAsia"/>
        </w:rPr>
        <w:fldChar w:fldCharType="separate"/>
      </w:r>
      <w:r>
        <w:rPr>
          <w:rFonts w:hint="eastAsia"/>
        </w:rPr>
        <w:t>预制梁、预制柱吊运、堆放、翻转、运输及安装时，应采取防止</w:t>
      </w:r>
      <w:r>
        <w:rPr>
          <w:rFonts w:hint="eastAsia"/>
          <w:lang w:val="en-US" w:eastAsia="zh-CN"/>
        </w:rPr>
        <w:t>钢组件</w:t>
      </w:r>
      <w:r>
        <w:rPr>
          <w:rFonts w:hint="eastAsia"/>
        </w:rPr>
        <w:t>、预留连接</w:t>
      </w:r>
      <w:r>
        <w:rPr>
          <w:rFonts w:hint="eastAsia"/>
          <w:lang w:val="en-US" w:eastAsia="zh-CN"/>
        </w:rPr>
        <w:t>杆</w:t>
      </w:r>
      <w:r>
        <w:rPr>
          <w:rFonts w:hint="eastAsia"/>
        </w:rPr>
        <w:t>损伤或污染的措施。</w:t>
      </w:r>
    </w:p>
    <w:p w14:paraId="3F397154">
      <w:pPr>
        <w:pStyle w:val="42"/>
        <w:numPr>
          <w:ilvl w:val="2"/>
          <w:numId w:val="9"/>
        </w:numPr>
        <w:bidi w:val="0"/>
        <w:rPr>
          <w:rFonts w:hint="eastAsia"/>
        </w:rPr>
      </w:pPr>
      <w:r>
        <w:rPr>
          <w:rFonts w:hint="eastAsia"/>
        </w:rPr>
        <w:fldChar w:fldCharType="end"/>
      </w:r>
      <w:r>
        <w:rPr>
          <w:rFonts w:hint="eastAsia"/>
          <w:lang w:val="en-US" w:eastAsia="zh-CN"/>
        </w:rPr>
        <w:t>钢组件框架结构</w:t>
      </w:r>
      <w:r>
        <w:rPr>
          <w:rFonts w:hint="eastAsia"/>
          <w:color w:val="auto"/>
        </w:rPr>
        <w:t>施工前应按国家现行标准《混凝土结构工程施工规范》GB 50666</w:t>
      </w:r>
      <w:r>
        <w:rPr>
          <w:rFonts w:hint="eastAsia"/>
          <w:color w:val="auto"/>
          <w:lang w:eastAsia="zh-CN"/>
        </w:rPr>
        <w:t>、《</w:t>
      </w:r>
      <w:r>
        <w:rPr>
          <w:rFonts w:hint="eastAsia"/>
          <w:color w:val="auto"/>
          <w:lang w:val="en-US" w:eastAsia="zh-CN"/>
        </w:rPr>
        <w:t>装配式混凝土结构技术规程</w:t>
      </w:r>
      <w:r>
        <w:rPr>
          <w:rFonts w:hint="eastAsia"/>
          <w:color w:val="auto"/>
          <w:lang w:eastAsia="zh-CN"/>
        </w:rPr>
        <w:t>》</w:t>
      </w:r>
      <w:r>
        <w:rPr>
          <w:rFonts w:hint="eastAsia"/>
          <w:color w:val="auto"/>
          <w:lang w:val="en-US" w:eastAsia="zh-CN"/>
        </w:rPr>
        <w:t>JGJ 1及</w:t>
      </w:r>
      <w:r>
        <w:rPr>
          <w:rFonts w:hint="eastAsia"/>
          <w:color w:val="auto"/>
        </w:rPr>
        <w:t>本规程的有关规定进行施工阶段结构分析和验算。</w:t>
      </w:r>
    </w:p>
    <w:p w14:paraId="2433DAB7">
      <w:pPr>
        <w:pStyle w:val="42"/>
        <w:numPr>
          <w:ilvl w:val="2"/>
          <w:numId w:val="9"/>
        </w:numPr>
        <w:bidi w:val="0"/>
        <w:rPr>
          <w:rFonts w:hint="eastAsia"/>
          <w:lang w:val="en-US" w:eastAsia="zh-CN"/>
        </w:rPr>
      </w:pPr>
      <w:r>
        <w:rPr>
          <w:rFonts w:hint="eastAsia"/>
          <w:lang w:val="en-US" w:eastAsia="zh-CN"/>
        </w:rPr>
        <w:t>钢组件框架结构</w:t>
      </w:r>
      <w:r>
        <w:rPr>
          <w:rFonts w:hint="eastAsia"/>
        </w:rPr>
        <w:t>正常施工前应选择有代表性的单元，进行首件</w:t>
      </w:r>
      <w:r>
        <w:rPr>
          <w:rFonts w:hint="eastAsia"/>
          <w:lang w:val="en-US" w:eastAsia="zh-CN"/>
        </w:rPr>
        <w:t>验收和首段吊装，</w:t>
      </w:r>
      <w:r>
        <w:rPr>
          <w:rFonts w:hint="eastAsia"/>
        </w:rPr>
        <w:t>验收合格后，方可进行正常施工。</w:t>
      </w:r>
    </w:p>
    <w:p w14:paraId="32D05852">
      <w:pPr>
        <w:pStyle w:val="42"/>
        <w:numPr>
          <w:ilvl w:val="2"/>
          <w:numId w:val="9"/>
        </w:numPr>
        <w:bidi w:val="0"/>
        <w:rPr>
          <w:rFonts w:hint="eastAsia"/>
          <w:lang w:val="en-US" w:eastAsia="zh-CN"/>
        </w:rPr>
      </w:pPr>
      <w:r>
        <w:rPr>
          <w:rFonts w:hint="eastAsia"/>
          <w:lang w:val="en-US" w:eastAsia="zh-CN"/>
        </w:rPr>
        <w:t>钢组件框架结构施工中应采取有效措施保证预制构件吊装的安全性，以及预制构件安装后形成的临时结构的安全性。</w:t>
      </w:r>
    </w:p>
    <w:p w14:paraId="07B5125A">
      <w:pPr>
        <w:pStyle w:val="41"/>
        <w:numPr>
          <w:ilvl w:val="1"/>
          <w:numId w:val="9"/>
        </w:numPr>
        <w:spacing w:before="312" w:after="312"/>
      </w:pPr>
      <w:bookmarkStart w:id="57" w:name="_Toc9581"/>
      <w:bookmarkStart w:id="58" w:name="_Toc27793"/>
      <w:bookmarkStart w:id="59" w:name="_Toc17265"/>
      <w:r>
        <w:rPr>
          <w:rFonts w:hint="eastAsia"/>
        </w:rPr>
        <w:t>制作与检验</w:t>
      </w:r>
      <w:bookmarkEnd w:id="57"/>
      <w:bookmarkEnd w:id="58"/>
      <w:bookmarkEnd w:id="59"/>
    </w:p>
    <w:p w14:paraId="1A011D81">
      <w:pPr>
        <w:pStyle w:val="42"/>
        <w:numPr>
          <w:ilvl w:val="2"/>
          <w:numId w:val="9"/>
        </w:numPr>
        <w:rPr>
          <w:rFonts w:hint="eastAsia"/>
        </w:rPr>
      </w:pPr>
      <w:r>
        <w:rPr>
          <w:rFonts w:hint="eastAsia"/>
        </w:rPr>
        <w:t>预制梁、预制柱用混凝土原材料和钢筋应符合下列规定：</w:t>
      </w:r>
    </w:p>
    <w:p w14:paraId="1B12939A">
      <w:pPr>
        <w:pStyle w:val="43"/>
        <w:numPr>
          <w:ilvl w:val="3"/>
          <w:numId w:val="9"/>
        </w:numPr>
        <w:bidi w:val="0"/>
        <w:rPr>
          <w:rFonts w:hint="eastAsia"/>
        </w:rPr>
      </w:pPr>
      <w:r>
        <w:rPr>
          <w:rFonts w:hint="eastAsia"/>
        </w:rPr>
        <w:t>混凝土原材料及配合比设计应符合国家现行标准《混凝土结构工程施工规范》GB 50666</w:t>
      </w:r>
      <w:r>
        <w:rPr>
          <w:rFonts w:hint="eastAsia"/>
          <w:lang w:eastAsia="zh-CN"/>
        </w:rPr>
        <w:t>、</w:t>
      </w:r>
      <w:r>
        <w:rPr>
          <w:rFonts w:hint="eastAsia"/>
        </w:rPr>
        <w:t>《普通混凝土配合比设计规程》JGJ 55</w:t>
      </w:r>
      <w:r>
        <w:rPr>
          <w:rFonts w:hint="eastAsia"/>
          <w:lang w:val="en-US" w:eastAsia="zh-CN"/>
        </w:rPr>
        <w:t>及本规程第3章</w:t>
      </w:r>
      <w:r>
        <w:rPr>
          <w:rFonts w:hint="eastAsia"/>
        </w:rPr>
        <w:t>的有关规定；</w:t>
      </w:r>
    </w:p>
    <w:p w14:paraId="5C70A1B4">
      <w:pPr>
        <w:pStyle w:val="43"/>
        <w:numPr>
          <w:ilvl w:val="3"/>
          <w:numId w:val="9"/>
        </w:numPr>
        <w:bidi w:val="0"/>
      </w:pPr>
      <w:r>
        <w:rPr>
          <w:rFonts w:hint="eastAsia"/>
        </w:rPr>
        <w:t>钢筋的加工、连接与安装应符合现行国家标准《混凝土结构工程施工规范》GB 50666和《混凝土结构工程施工质量验收规范》GB 50204的有关规定。</w:t>
      </w:r>
    </w:p>
    <w:p w14:paraId="6453F5B6">
      <w:pPr>
        <w:pStyle w:val="42"/>
        <w:numPr>
          <w:ilvl w:val="2"/>
          <w:numId w:val="9"/>
        </w:numPr>
        <w:rPr>
          <w:rFonts w:hint="eastAsia"/>
        </w:rPr>
      </w:pPr>
      <w:r>
        <w:rPr>
          <w:rFonts w:hint="eastAsia"/>
        </w:rPr>
        <w:t>预制梁、预制柱中</w:t>
      </w:r>
      <w:r>
        <w:rPr>
          <w:rFonts w:hint="eastAsia"/>
          <w:lang w:eastAsia="zh-CN"/>
        </w:rPr>
        <w:t>钢组件</w:t>
      </w:r>
      <w:r>
        <w:rPr>
          <w:rFonts w:hint="eastAsia"/>
        </w:rPr>
        <w:t>的制作及质量检验应符合现行国家标准《钢结构焊接规范》GB 50661、《钢结构工程施工规范》GB 50755</w:t>
      </w:r>
      <w:r>
        <w:rPr>
          <w:rFonts w:hint="eastAsia"/>
          <w:lang w:eastAsia="zh-CN"/>
        </w:rPr>
        <w:t>、</w:t>
      </w:r>
      <w:r>
        <w:rPr>
          <w:rFonts w:hint="eastAsia"/>
        </w:rPr>
        <w:t>《钢结构工程施工质量验收标准》GB 50205的有关规定，并应符合下列规定：</w:t>
      </w:r>
    </w:p>
    <w:p w14:paraId="4016E957">
      <w:pPr>
        <w:pStyle w:val="43"/>
        <w:numPr>
          <w:ilvl w:val="3"/>
          <w:numId w:val="9"/>
        </w:numPr>
        <w:bidi w:val="0"/>
        <w:rPr>
          <w:rFonts w:hint="eastAsia"/>
        </w:rPr>
      </w:pPr>
      <w:r>
        <w:rPr>
          <w:rFonts w:hint="eastAsia"/>
        </w:rPr>
        <w:t>制作采用的钢材、连接材料等应符合设计要求及本规程第</w:t>
      </w:r>
      <w:r>
        <w:rPr>
          <w:rFonts w:hint="eastAsia"/>
          <w:lang w:val="en-US" w:eastAsia="zh-CN"/>
        </w:rPr>
        <w:t>3</w:t>
      </w:r>
      <w:r>
        <w:rPr>
          <w:rFonts w:hint="eastAsia"/>
        </w:rPr>
        <w:t>章的有关规定，且应按国家现行有关标准的规定进行进厂质量验收；</w:t>
      </w:r>
    </w:p>
    <w:p w14:paraId="0D5AD709">
      <w:pPr>
        <w:pStyle w:val="43"/>
        <w:numPr>
          <w:ilvl w:val="3"/>
          <w:numId w:val="9"/>
        </w:numPr>
        <w:bidi w:val="0"/>
        <w:rPr>
          <w:rFonts w:hint="eastAsia"/>
        </w:rPr>
      </w:pPr>
      <w:r>
        <w:rPr>
          <w:rFonts w:hint="eastAsia"/>
        </w:rPr>
        <w:t>需进行边缘加工的零件，宜采用精密切割；焊接坡口宜采用自动切割、半自动切割、坡口机、刨边机等加工，并应采用样板控制坡口角度和尺寸；</w:t>
      </w:r>
    </w:p>
    <w:p w14:paraId="1815328E">
      <w:pPr>
        <w:pStyle w:val="43"/>
        <w:numPr>
          <w:ilvl w:val="3"/>
          <w:numId w:val="9"/>
        </w:numPr>
        <w:bidi w:val="0"/>
        <w:rPr>
          <w:rFonts w:hint="eastAsia"/>
        </w:rPr>
      </w:pPr>
      <w:r>
        <w:rPr>
          <w:rFonts w:hint="eastAsia"/>
        </w:rPr>
        <w:t>组装前应检查零件的材质、规格、外观、尺寸偏差、数量等，检验合格后方可进行组装；</w:t>
      </w:r>
    </w:p>
    <w:p w14:paraId="68714181">
      <w:pPr>
        <w:pStyle w:val="43"/>
        <w:numPr>
          <w:ilvl w:val="3"/>
          <w:numId w:val="9"/>
        </w:numPr>
        <w:bidi w:val="0"/>
        <w:rPr>
          <w:rFonts w:hint="eastAsia"/>
        </w:rPr>
      </w:pPr>
      <w:r>
        <w:rPr>
          <w:rFonts w:hint="eastAsia"/>
        </w:rPr>
        <w:t>焊接前应进行焊接工艺评定，应严格按照工艺文件规定的焊接方法、工艺参数、施焊顺序进行，焊缝质量等级应符合设计要求及现行国家标准《钢结构焊接规范》GB 50661的有关规定</w:t>
      </w:r>
      <w:r>
        <w:rPr>
          <w:rFonts w:hint="eastAsia"/>
          <w:lang w:eastAsia="zh-CN"/>
        </w:rPr>
        <w:t>；</w:t>
      </w:r>
    </w:p>
    <w:p w14:paraId="5C095CA1">
      <w:pPr>
        <w:pStyle w:val="43"/>
        <w:numPr>
          <w:ilvl w:val="3"/>
          <w:numId w:val="9"/>
        </w:numPr>
        <w:bidi w:val="0"/>
        <w:rPr>
          <w:rFonts w:hint="eastAsia"/>
        </w:rPr>
      </w:pPr>
      <w:r>
        <w:rPr>
          <w:rFonts w:hint="eastAsia"/>
          <w:lang w:val="en-US" w:eastAsia="zh-CN"/>
        </w:rPr>
        <w:t>柱端分体式钢组件应按不同规格型号，按本标准附录A进行拉伸性能检验，且应符合相关产品标准的要求。</w:t>
      </w:r>
    </w:p>
    <w:p w14:paraId="04F2B996">
      <w:pPr>
        <w:pStyle w:val="42"/>
        <w:numPr>
          <w:ilvl w:val="2"/>
          <w:numId w:val="9"/>
        </w:numPr>
        <w:bidi w:val="0"/>
      </w:pPr>
      <w:r>
        <w:rPr>
          <w:rFonts w:hint="eastAsia"/>
          <w:lang w:val="en-US" w:eastAsia="zh-CN"/>
        </w:rPr>
        <w:t>钢组件上</w:t>
      </w:r>
      <w:r>
        <w:rPr>
          <w:rFonts w:hint="eastAsia"/>
        </w:rPr>
        <w:t>螺栓孔的孔径及位置尺寸允许偏差应符合现行国家标准《钢结构工程施工质量验收标准》GB 50205的有关规定。</w:t>
      </w:r>
    </w:p>
    <w:p w14:paraId="74A3BE69">
      <w:pPr>
        <w:pStyle w:val="42"/>
        <w:numPr>
          <w:ilvl w:val="2"/>
          <w:numId w:val="9"/>
        </w:numPr>
        <w:bidi w:val="0"/>
      </w:pPr>
      <w:r>
        <w:rPr>
          <w:rFonts w:hint="eastAsia"/>
        </w:rPr>
        <w:t>预制梁、预制柱中</w:t>
      </w:r>
      <w:r>
        <w:rPr>
          <w:rFonts w:hint="eastAsia"/>
          <w:lang w:eastAsia="zh-CN"/>
        </w:rPr>
        <w:t>钢组件</w:t>
      </w:r>
      <w:r>
        <w:rPr>
          <w:rFonts w:hint="eastAsia"/>
        </w:rPr>
        <w:t>与钢筋的焊接应符合现行行业标准《钢筋焊接及验收规程》JGJ 18和本规程的有关规定。</w:t>
      </w:r>
    </w:p>
    <w:p w14:paraId="6E527D91">
      <w:pPr>
        <w:pStyle w:val="42"/>
        <w:numPr>
          <w:ilvl w:val="2"/>
          <w:numId w:val="9"/>
        </w:numPr>
        <w:bidi w:val="0"/>
      </w:pPr>
      <w:r>
        <w:rPr>
          <w:rFonts w:hint="eastAsia"/>
          <w:lang w:val="en-US" w:eastAsia="zh-CN"/>
        </w:rPr>
        <w:t>基础或预制柱预留连接杆与钢筋采用焊接连接时应符合</w:t>
      </w:r>
      <w:r>
        <w:rPr>
          <w:rFonts w:hint="eastAsia"/>
        </w:rPr>
        <w:t>现行行业标准《钢筋焊接及验收规程》JGJ 18</w:t>
      </w:r>
      <w:r>
        <w:rPr>
          <w:rFonts w:hint="eastAsia"/>
          <w:lang w:val="en-US" w:eastAsia="zh-CN"/>
        </w:rPr>
        <w:t>的有关规定，并应进行焊接接头拉伸性能检验；当采用机械连接时，应符合现行行业标准《钢筋机械连接技术规程》JGJ 107中</w:t>
      </w:r>
      <w:r>
        <w:rPr>
          <w:rFonts w:hint="default" w:ascii="Times New Roman" w:hAnsi="Times New Roman" w:cs="Times New Roman"/>
          <w:lang w:val="en-US" w:eastAsia="zh-CN"/>
        </w:rPr>
        <w:t>Ⅰ</w:t>
      </w:r>
      <w:r>
        <w:rPr>
          <w:rFonts w:hint="eastAsia" w:ascii="Times New Roman" w:hAnsi="Times New Roman" w:cs="Times New Roman"/>
          <w:lang w:val="en-US" w:eastAsia="zh-CN"/>
        </w:rPr>
        <w:t>级接头的有关规定。</w:t>
      </w:r>
    </w:p>
    <w:p w14:paraId="44CF308F">
      <w:pPr>
        <w:pStyle w:val="42"/>
        <w:numPr>
          <w:ilvl w:val="2"/>
          <w:numId w:val="9"/>
        </w:numPr>
        <w:bidi w:val="0"/>
      </w:pPr>
      <w:r>
        <w:rPr>
          <w:rFonts w:hint="eastAsia"/>
        </w:rPr>
        <w:t>预制梁、预制柱的模具尺寸允许偏差及检验方法应符合表</w:t>
      </w:r>
      <w:r>
        <w:rPr>
          <w:rFonts w:hint="eastAsia"/>
          <w:lang w:val="en-US" w:eastAsia="zh-CN"/>
        </w:rPr>
        <w:t>7.2.6</w:t>
      </w:r>
      <w:r>
        <w:rPr>
          <w:rFonts w:hint="eastAsia"/>
        </w:rPr>
        <w:t>的规定。</w:t>
      </w:r>
    </w:p>
    <w:p w14:paraId="011B915C">
      <w:pPr>
        <w:pStyle w:val="45"/>
        <w:rPr>
          <w:color w:val="auto"/>
        </w:rPr>
      </w:pPr>
      <w:r>
        <w:rPr>
          <w:rFonts w:hint="eastAsia"/>
          <w:color w:val="auto"/>
        </w:rPr>
        <w:t>表</w:t>
      </w:r>
      <w:r>
        <w:rPr>
          <w:rFonts w:hint="eastAsia"/>
          <w:color w:val="auto"/>
          <w:lang w:val="en-US" w:eastAsia="zh-CN"/>
        </w:rPr>
        <w:t>7</w:t>
      </w:r>
      <w:r>
        <w:rPr>
          <w:rFonts w:hint="eastAsia"/>
          <w:color w:val="auto"/>
        </w:rPr>
        <w:t>.2.</w:t>
      </w:r>
      <w:r>
        <w:rPr>
          <w:rFonts w:hint="eastAsia"/>
          <w:color w:val="auto"/>
          <w:lang w:val="en-US" w:eastAsia="zh-CN"/>
        </w:rPr>
        <w:t>6</w:t>
      </w:r>
      <w:r>
        <w:rPr>
          <w:rFonts w:hint="eastAsia"/>
          <w:color w:val="auto"/>
        </w:rPr>
        <w:t xml:space="preserve">  预制梁、预制柱的模具尺寸允许偏差及检验方法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83"/>
        <w:gridCol w:w="1793"/>
        <w:gridCol w:w="1581"/>
        <w:gridCol w:w="3732"/>
      </w:tblGrid>
      <w:tr w14:paraId="2E6D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66F8A035">
            <w:pPr>
              <w:pStyle w:val="47"/>
              <w:rPr>
                <w:color w:val="auto"/>
              </w:rPr>
            </w:pPr>
            <w:r>
              <w:rPr>
                <w:color w:val="auto"/>
              </w:rPr>
              <w:t>项次</w:t>
            </w:r>
          </w:p>
        </w:tc>
        <w:tc>
          <w:tcPr>
            <w:tcW w:w="1630" w:type="pct"/>
            <w:gridSpan w:val="2"/>
            <w:vAlign w:val="center"/>
          </w:tcPr>
          <w:p w14:paraId="710E834B">
            <w:pPr>
              <w:pStyle w:val="47"/>
              <w:rPr>
                <w:color w:val="auto"/>
              </w:rPr>
            </w:pPr>
            <w:r>
              <w:rPr>
                <w:rFonts w:hint="eastAsia"/>
                <w:color w:val="auto"/>
              </w:rPr>
              <w:t>检验项目</w:t>
            </w:r>
          </w:p>
        </w:tc>
        <w:tc>
          <w:tcPr>
            <w:tcW w:w="928" w:type="pct"/>
            <w:vAlign w:val="center"/>
          </w:tcPr>
          <w:p w14:paraId="6112B6F1">
            <w:pPr>
              <w:pStyle w:val="47"/>
              <w:rPr>
                <w:color w:val="auto"/>
              </w:rPr>
            </w:pPr>
            <w:r>
              <w:rPr>
                <w:rFonts w:hint="eastAsia"/>
                <w:color w:val="auto"/>
              </w:rPr>
              <w:t>允许偏差（mm）</w:t>
            </w:r>
          </w:p>
        </w:tc>
        <w:tc>
          <w:tcPr>
            <w:tcW w:w="2189" w:type="pct"/>
            <w:vAlign w:val="center"/>
          </w:tcPr>
          <w:p w14:paraId="16E03629">
            <w:pPr>
              <w:pStyle w:val="47"/>
              <w:rPr>
                <w:color w:val="auto"/>
              </w:rPr>
            </w:pPr>
            <w:r>
              <w:rPr>
                <w:rFonts w:hint="eastAsia"/>
                <w:color w:val="auto"/>
              </w:rPr>
              <w:t>检验方法</w:t>
            </w:r>
          </w:p>
        </w:tc>
      </w:tr>
      <w:tr w14:paraId="1C4F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restart"/>
            <w:vAlign w:val="center"/>
          </w:tcPr>
          <w:p w14:paraId="660651B1">
            <w:pPr>
              <w:pStyle w:val="47"/>
              <w:rPr>
                <w:color w:val="auto"/>
              </w:rPr>
            </w:pPr>
            <w:r>
              <w:rPr>
                <w:rFonts w:hint="eastAsia"/>
                <w:color w:val="auto"/>
              </w:rPr>
              <w:t>1</w:t>
            </w:r>
          </w:p>
        </w:tc>
        <w:tc>
          <w:tcPr>
            <w:tcW w:w="577" w:type="pct"/>
            <w:vMerge w:val="restart"/>
            <w:vAlign w:val="center"/>
          </w:tcPr>
          <w:p w14:paraId="2D8BADBE">
            <w:pPr>
              <w:pStyle w:val="47"/>
              <w:rPr>
                <w:color w:val="auto"/>
              </w:rPr>
            </w:pPr>
            <w:r>
              <w:rPr>
                <w:rFonts w:hint="eastAsia"/>
                <w:color w:val="auto"/>
              </w:rPr>
              <w:t>长度</w:t>
            </w:r>
          </w:p>
        </w:tc>
        <w:tc>
          <w:tcPr>
            <w:tcW w:w="1053" w:type="pct"/>
            <w:vAlign w:val="center"/>
          </w:tcPr>
          <w:p w14:paraId="0A8E78FE">
            <w:pPr>
              <w:pStyle w:val="47"/>
              <w:rPr>
                <w:color w:val="auto"/>
              </w:rPr>
            </w:pPr>
            <w:r>
              <w:rPr>
                <w:rFonts w:hint="eastAsia" w:ascii="宋体" w:hAnsi="宋体" w:cs="宋体"/>
                <w:color w:val="auto"/>
              </w:rPr>
              <w:t>≤</w:t>
            </w:r>
            <w:r>
              <w:rPr>
                <w:rFonts w:hint="eastAsia"/>
                <w:color w:val="auto"/>
              </w:rPr>
              <w:t>6m</w:t>
            </w:r>
          </w:p>
        </w:tc>
        <w:tc>
          <w:tcPr>
            <w:tcW w:w="928" w:type="pct"/>
            <w:vAlign w:val="center"/>
          </w:tcPr>
          <w:p w14:paraId="50C34760">
            <w:pPr>
              <w:pStyle w:val="47"/>
              <w:rPr>
                <w:color w:val="auto"/>
              </w:rPr>
            </w:pPr>
            <w:r>
              <w:rPr>
                <w:rFonts w:hint="eastAsia"/>
                <w:color w:val="auto"/>
                <w:lang w:val="en-US" w:eastAsia="zh-CN"/>
              </w:rPr>
              <w:t>±3</w:t>
            </w:r>
          </w:p>
        </w:tc>
        <w:tc>
          <w:tcPr>
            <w:tcW w:w="2189" w:type="pct"/>
            <w:vMerge w:val="restart"/>
            <w:vAlign w:val="center"/>
          </w:tcPr>
          <w:p w14:paraId="6EA9EB63">
            <w:pPr>
              <w:pStyle w:val="47"/>
              <w:rPr>
                <w:color w:val="auto"/>
              </w:rPr>
            </w:pPr>
            <w:r>
              <w:rPr>
                <w:rFonts w:hint="eastAsia"/>
                <w:color w:val="auto"/>
              </w:rPr>
              <w:t>尺量平行构件高度方向，取其中偏差绝对值较大处</w:t>
            </w:r>
          </w:p>
        </w:tc>
      </w:tr>
      <w:tr w14:paraId="5EB7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vAlign w:val="center"/>
          </w:tcPr>
          <w:p w14:paraId="0E41D466">
            <w:pPr>
              <w:pStyle w:val="47"/>
              <w:rPr>
                <w:color w:val="auto"/>
              </w:rPr>
            </w:pPr>
          </w:p>
        </w:tc>
        <w:tc>
          <w:tcPr>
            <w:tcW w:w="577" w:type="pct"/>
            <w:vMerge w:val="continue"/>
            <w:vAlign w:val="center"/>
          </w:tcPr>
          <w:p w14:paraId="6357AE24">
            <w:pPr>
              <w:pStyle w:val="47"/>
              <w:rPr>
                <w:color w:val="auto"/>
              </w:rPr>
            </w:pPr>
          </w:p>
        </w:tc>
        <w:tc>
          <w:tcPr>
            <w:tcW w:w="1053" w:type="pct"/>
            <w:vAlign w:val="center"/>
          </w:tcPr>
          <w:p w14:paraId="02B257FD">
            <w:pPr>
              <w:pStyle w:val="47"/>
              <w:rPr>
                <w:color w:val="auto"/>
              </w:rPr>
            </w:pPr>
            <w:r>
              <w:rPr>
                <w:rFonts w:hint="eastAsia"/>
                <w:color w:val="auto"/>
              </w:rPr>
              <w:t>&gt;6m且</w:t>
            </w:r>
            <w:r>
              <w:rPr>
                <w:rFonts w:hint="eastAsia" w:ascii="宋体" w:hAnsi="宋体" w:cs="宋体"/>
                <w:color w:val="auto"/>
              </w:rPr>
              <w:t>≤</w:t>
            </w:r>
            <w:r>
              <w:rPr>
                <w:rFonts w:hint="eastAsia"/>
                <w:color w:val="auto"/>
              </w:rPr>
              <w:t>12</w:t>
            </w:r>
            <w:r>
              <w:rPr>
                <w:color w:val="auto"/>
              </w:rPr>
              <w:t>m</w:t>
            </w:r>
          </w:p>
        </w:tc>
        <w:tc>
          <w:tcPr>
            <w:tcW w:w="928" w:type="pct"/>
            <w:vAlign w:val="center"/>
          </w:tcPr>
          <w:p w14:paraId="5A012BB1">
            <w:pPr>
              <w:pStyle w:val="47"/>
              <w:rPr>
                <w:color w:val="auto"/>
              </w:rPr>
            </w:pPr>
            <w:r>
              <w:rPr>
                <w:rFonts w:hint="eastAsia"/>
                <w:color w:val="auto"/>
              </w:rPr>
              <w:t>3, -4</w:t>
            </w:r>
          </w:p>
        </w:tc>
        <w:tc>
          <w:tcPr>
            <w:tcW w:w="2189" w:type="pct"/>
            <w:vMerge w:val="continue"/>
            <w:vAlign w:val="center"/>
          </w:tcPr>
          <w:p w14:paraId="293758B4">
            <w:pPr>
              <w:pStyle w:val="47"/>
              <w:rPr>
                <w:color w:val="auto"/>
              </w:rPr>
            </w:pPr>
          </w:p>
        </w:tc>
      </w:tr>
      <w:tr w14:paraId="51F0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51" w:type="pct"/>
            <w:vMerge w:val="continue"/>
            <w:vAlign w:val="center"/>
          </w:tcPr>
          <w:p w14:paraId="050DB11F">
            <w:pPr>
              <w:pStyle w:val="47"/>
              <w:rPr>
                <w:color w:val="auto"/>
              </w:rPr>
            </w:pPr>
          </w:p>
        </w:tc>
        <w:tc>
          <w:tcPr>
            <w:tcW w:w="577" w:type="pct"/>
            <w:vMerge w:val="continue"/>
            <w:vAlign w:val="center"/>
          </w:tcPr>
          <w:p w14:paraId="1C60213A">
            <w:pPr>
              <w:pStyle w:val="47"/>
              <w:rPr>
                <w:color w:val="auto"/>
              </w:rPr>
            </w:pPr>
          </w:p>
        </w:tc>
        <w:tc>
          <w:tcPr>
            <w:tcW w:w="1053" w:type="pct"/>
            <w:vAlign w:val="center"/>
          </w:tcPr>
          <w:p w14:paraId="66C0BF40">
            <w:pPr>
              <w:pStyle w:val="47"/>
              <w:rPr>
                <w:color w:val="auto"/>
              </w:rPr>
            </w:pPr>
            <w:r>
              <w:rPr>
                <w:rFonts w:hint="eastAsia"/>
                <w:color w:val="auto"/>
              </w:rPr>
              <w:t>&gt;12m</w:t>
            </w:r>
          </w:p>
        </w:tc>
        <w:tc>
          <w:tcPr>
            <w:tcW w:w="928" w:type="pct"/>
            <w:vAlign w:val="center"/>
          </w:tcPr>
          <w:p w14:paraId="6E7CE33C">
            <w:pPr>
              <w:pStyle w:val="47"/>
              <w:rPr>
                <w:color w:val="auto"/>
              </w:rPr>
            </w:pPr>
            <w:r>
              <w:rPr>
                <w:rFonts w:hint="eastAsia"/>
                <w:color w:val="auto"/>
              </w:rPr>
              <w:t>3, -5</w:t>
            </w:r>
          </w:p>
        </w:tc>
        <w:tc>
          <w:tcPr>
            <w:tcW w:w="2189" w:type="pct"/>
            <w:vMerge w:val="continue"/>
            <w:vAlign w:val="center"/>
          </w:tcPr>
          <w:p w14:paraId="783047C9">
            <w:pPr>
              <w:pStyle w:val="47"/>
              <w:rPr>
                <w:color w:val="auto"/>
              </w:rPr>
            </w:pPr>
          </w:p>
        </w:tc>
      </w:tr>
      <w:tr w14:paraId="46C9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444C98A6">
            <w:pPr>
              <w:pStyle w:val="47"/>
              <w:rPr>
                <w:color w:val="auto"/>
              </w:rPr>
            </w:pPr>
            <w:r>
              <w:rPr>
                <w:rFonts w:hint="eastAsia"/>
                <w:color w:val="auto"/>
              </w:rPr>
              <w:t>2</w:t>
            </w:r>
          </w:p>
        </w:tc>
        <w:tc>
          <w:tcPr>
            <w:tcW w:w="1630" w:type="pct"/>
            <w:gridSpan w:val="2"/>
            <w:vAlign w:val="center"/>
          </w:tcPr>
          <w:p w14:paraId="24210927">
            <w:pPr>
              <w:pStyle w:val="47"/>
              <w:rPr>
                <w:color w:val="auto"/>
              </w:rPr>
            </w:pPr>
            <w:r>
              <w:rPr>
                <w:rFonts w:hint="eastAsia"/>
                <w:color w:val="auto"/>
              </w:rPr>
              <w:t>截面宽度、高度</w:t>
            </w:r>
          </w:p>
        </w:tc>
        <w:tc>
          <w:tcPr>
            <w:tcW w:w="928" w:type="pct"/>
            <w:vAlign w:val="center"/>
          </w:tcPr>
          <w:p w14:paraId="111619E3">
            <w:pPr>
              <w:pStyle w:val="47"/>
              <w:rPr>
                <w:color w:val="auto"/>
              </w:rPr>
            </w:pPr>
            <w:r>
              <w:rPr>
                <w:rFonts w:hint="eastAsia"/>
                <w:color w:val="auto"/>
              </w:rPr>
              <w:t>3, -4</w:t>
            </w:r>
          </w:p>
        </w:tc>
        <w:tc>
          <w:tcPr>
            <w:tcW w:w="2189" w:type="pct"/>
            <w:vAlign w:val="center"/>
          </w:tcPr>
          <w:p w14:paraId="5E3B9E31">
            <w:pPr>
              <w:spacing w:line="240" w:lineRule="auto"/>
              <w:ind w:firstLine="0" w:firstLineChars="0"/>
              <w:jc w:val="left"/>
              <w:rPr>
                <w:color w:val="auto"/>
                <w:sz w:val="21"/>
              </w:rPr>
            </w:pPr>
            <w:r>
              <w:rPr>
                <w:rFonts w:hint="eastAsia"/>
                <w:color w:val="auto"/>
                <w:sz w:val="21"/>
              </w:rPr>
              <w:t>尺量两端或中部，取其中偏差绝对值较大值</w:t>
            </w:r>
          </w:p>
        </w:tc>
      </w:tr>
      <w:tr w14:paraId="7C3D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0DE0624E">
            <w:pPr>
              <w:pStyle w:val="47"/>
              <w:rPr>
                <w:color w:val="auto"/>
              </w:rPr>
            </w:pPr>
            <w:r>
              <w:rPr>
                <w:rFonts w:hint="eastAsia"/>
                <w:color w:val="auto"/>
              </w:rPr>
              <w:t>3</w:t>
            </w:r>
          </w:p>
        </w:tc>
        <w:tc>
          <w:tcPr>
            <w:tcW w:w="1630" w:type="pct"/>
            <w:gridSpan w:val="2"/>
            <w:vAlign w:val="center"/>
          </w:tcPr>
          <w:p w14:paraId="7B3B82FE">
            <w:pPr>
              <w:pStyle w:val="47"/>
              <w:rPr>
                <w:color w:val="auto"/>
              </w:rPr>
            </w:pPr>
            <w:r>
              <w:rPr>
                <w:rFonts w:hint="eastAsia"/>
                <w:color w:val="auto"/>
              </w:rPr>
              <w:t>底模表面平整度</w:t>
            </w:r>
          </w:p>
        </w:tc>
        <w:tc>
          <w:tcPr>
            <w:tcW w:w="928" w:type="pct"/>
            <w:vAlign w:val="center"/>
          </w:tcPr>
          <w:p w14:paraId="11C31B95">
            <w:pPr>
              <w:pStyle w:val="47"/>
              <w:rPr>
                <w:color w:val="auto"/>
              </w:rPr>
            </w:pPr>
            <w:r>
              <w:rPr>
                <w:rFonts w:hint="eastAsia"/>
                <w:color w:val="auto"/>
              </w:rPr>
              <w:t>2</w:t>
            </w:r>
          </w:p>
        </w:tc>
        <w:tc>
          <w:tcPr>
            <w:tcW w:w="2189" w:type="pct"/>
            <w:vAlign w:val="center"/>
          </w:tcPr>
          <w:p w14:paraId="0FDFB561">
            <w:pPr>
              <w:pStyle w:val="47"/>
              <w:rPr>
                <w:color w:val="auto"/>
              </w:rPr>
            </w:pPr>
            <w:r>
              <w:rPr>
                <w:rFonts w:hint="eastAsia"/>
                <w:color w:val="auto"/>
              </w:rPr>
              <w:t>2m靠尺和塞尺量</w:t>
            </w:r>
          </w:p>
        </w:tc>
      </w:tr>
      <w:tr w14:paraId="1129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1FCCA6F5">
            <w:pPr>
              <w:pStyle w:val="47"/>
              <w:rPr>
                <w:color w:val="auto"/>
              </w:rPr>
            </w:pPr>
            <w:r>
              <w:rPr>
                <w:rFonts w:hint="eastAsia"/>
                <w:color w:val="auto"/>
              </w:rPr>
              <w:t>4</w:t>
            </w:r>
          </w:p>
        </w:tc>
        <w:tc>
          <w:tcPr>
            <w:tcW w:w="1630" w:type="pct"/>
            <w:gridSpan w:val="2"/>
            <w:vAlign w:val="center"/>
          </w:tcPr>
          <w:p w14:paraId="226112B8">
            <w:pPr>
              <w:pStyle w:val="47"/>
              <w:rPr>
                <w:color w:val="auto"/>
              </w:rPr>
            </w:pPr>
            <w:r>
              <w:rPr>
                <w:color w:val="auto"/>
              </w:rPr>
              <w:t>对角线差</w:t>
            </w:r>
          </w:p>
        </w:tc>
        <w:tc>
          <w:tcPr>
            <w:tcW w:w="928" w:type="pct"/>
            <w:vAlign w:val="center"/>
          </w:tcPr>
          <w:p w14:paraId="1232E89B">
            <w:pPr>
              <w:pStyle w:val="47"/>
              <w:rPr>
                <w:color w:val="auto"/>
              </w:rPr>
            </w:pPr>
            <w:r>
              <w:rPr>
                <w:rFonts w:hint="eastAsia"/>
                <w:color w:val="auto"/>
              </w:rPr>
              <w:t>3</w:t>
            </w:r>
          </w:p>
        </w:tc>
        <w:tc>
          <w:tcPr>
            <w:tcW w:w="2189" w:type="pct"/>
            <w:vAlign w:val="center"/>
          </w:tcPr>
          <w:p w14:paraId="2EFF9E14">
            <w:pPr>
              <w:pStyle w:val="47"/>
              <w:rPr>
                <w:color w:val="auto"/>
              </w:rPr>
            </w:pPr>
            <w:r>
              <w:rPr>
                <w:color w:val="auto"/>
              </w:rPr>
              <w:t>尺量</w:t>
            </w:r>
          </w:p>
        </w:tc>
      </w:tr>
      <w:tr w14:paraId="3A86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2D4A8579">
            <w:pPr>
              <w:pStyle w:val="47"/>
              <w:rPr>
                <w:color w:val="auto"/>
              </w:rPr>
            </w:pPr>
            <w:r>
              <w:rPr>
                <w:rFonts w:hint="eastAsia"/>
                <w:color w:val="auto"/>
              </w:rPr>
              <w:t>5</w:t>
            </w:r>
          </w:p>
        </w:tc>
        <w:tc>
          <w:tcPr>
            <w:tcW w:w="1630" w:type="pct"/>
            <w:gridSpan w:val="2"/>
            <w:vAlign w:val="center"/>
          </w:tcPr>
          <w:p w14:paraId="089050E9">
            <w:pPr>
              <w:pStyle w:val="47"/>
              <w:rPr>
                <w:color w:val="auto"/>
              </w:rPr>
            </w:pPr>
            <w:r>
              <w:rPr>
                <w:color w:val="auto"/>
              </w:rPr>
              <w:t>侧向弯曲</w:t>
            </w:r>
          </w:p>
        </w:tc>
        <w:tc>
          <w:tcPr>
            <w:tcW w:w="928" w:type="pct"/>
            <w:vAlign w:val="center"/>
          </w:tcPr>
          <w:p w14:paraId="6FF04050">
            <w:pPr>
              <w:pStyle w:val="47"/>
              <w:rPr>
                <w:color w:val="auto"/>
              </w:rPr>
            </w:pPr>
            <w:r>
              <w:rPr>
                <w:rFonts w:hint="eastAsia"/>
                <w:i/>
                <w:color w:val="auto"/>
              </w:rPr>
              <w:t>L</w:t>
            </w:r>
            <w:r>
              <w:rPr>
                <w:rFonts w:hint="eastAsia"/>
                <w:i/>
                <w:color w:val="auto"/>
                <w:vertAlign w:val="superscript"/>
              </w:rPr>
              <w:t>*</w:t>
            </w:r>
            <w:r>
              <w:rPr>
                <w:rFonts w:hint="eastAsia"/>
                <w:color w:val="auto"/>
              </w:rPr>
              <w:t>/1500且</w:t>
            </w:r>
            <w:r>
              <w:rPr>
                <w:rFonts w:hint="eastAsia" w:ascii="宋体" w:hAnsi="宋体" w:cs="宋体"/>
                <w:color w:val="auto"/>
              </w:rPr>
              <w:t>≤</w:t>
            </w:r>
            <w:r>
              <w:rPr>
                <w:rFonts w:hint="eastAsia"/>
                <w:color w:val="auto"/>
              </w:rPr>
              <w:t>5</w:t>
            </w:r>
          </w:p>
        </w:tc>
        <w:tc>
          <w:tcPr>
            <w:tcW w:w="2189" w:type="pct"/>
            <w:vAlign w:val="center"/>
          </w:tcPr>
          <w:p w14:paraId="6D1D0782">
            <w:pPr>
              <w:pStyle w:val="47"/>
              <w:rPr>
                <w:color w:val="auto"/>
              </w:rPr>
            </w:pPr>
            <w:r>
              <w:rPr>
                <w:color w:val="auto"/>
              </w:rPr>
              <w:t>拉线，尺量侧向弯曲最大处</w:t>
            </w:r>
          </w:p>
        </w:tc>
      </w:tr>
      <w:tr w14:paraId="0E71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72930889">
            <w:pPr>
              <w:pStyle w:val="47"/>
              <w:rPr>
                <w:color w:val="auto"/>
              </w:rPr>
            </w:pPr>
            <w:r>
              <w:rPr>
                <w:rFonts w:hint="eastAsia"/>
                <w:color w:val="auto"/>
              </w:rPr>
              <w:t>6</w:t>
            </w:r>
          </w:p>
        </w:tc>
        <w:tc>
          <w:tcPr>
            <w:tcW w:w="1630" w:type="pct"/>
            <w:gridSpan w:val="2"/>
            <w:vAlign w:val="center"/>
          </w:tcPr>
          <w:p w14:paraId="3330E896">
            <w:pPr>
              <w:pStyle w:val="47"/>
              <w:rPr>
                <w:color w:val="auto"/>
              </w:rPr>
            </w:pPr>
            <w:r>
              <w:rPr>
                <w:color w:val="auto"/>
              </w:rPr>
              <w:t>翘曲</w:t>
            </w:r>
          </w:p>
        </w:tc>
        <w:tc>
          <w:tcPr>
            <w:tcW w:w="928" w:type="pct"/>
            <w:vAlign w:val="center"/>
          </w:tcPr>
          <w:p w14:paraId="04EF497F">
            <w:pPr>
              <w:pStyle w:val="47"/>
              <w:rPr>
                <w:color w:val="auto"/>
              </w:rPr>
            </w:pPr>
            <w:r>
              <w:rPr>
                <w:rFonts w:hint="eastAsia"/>
                <w:i/>
                <w:color w:val="auto"/>
              </w:rPr>
              <w:t>L</w:t>
            </w:r>
            <w:r>
              <w:rPr>
                <w:rFonts w:hint="eastAsia"/>
                <w:color w:val="auto"/>
              </w:rPr>
              <w:t>/1500</w:t>
            </w:r>
          </w:p>
        </w:tc>
        <w:tc>
          <w:tcPr>
            <w:tcW w:w="2189" w:type="pct"/>
            <w:vAlign w:val="center"/>
          </w:tcPr>
          <w:p w14:paraId="0C9D69A9">
            <w:pPr>
              <w:pStyle w:val="47"/>
              <w:rPr>
                <w:color w:val="auto"/>
              </w:rPr>
            </w:pPr>
            <w:r>
              <w:rPr>
                <w:color w:val="auto"/>
              </w:rPr>
              <w:t>对角拉线，尺量交点间距离值的</w:t>
            </w:r>
            <w:r>
              <w:rPr>
                <w:rFonts w:hint="eastAsia"/>
                <w:color w:val="auto"/>
              </w:rPr>
              <w:t>2</w:t>
            </w:r>
            <w:r>
              <w:rPr>
                <w:color w:val="auto"/>
              </w:rPr>
              <w:t>倍</w:t>
            </w:r>
          </w:p>
        </w:tc>
      </w:tr>
      <w:tr w14:paraId="079E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7B370950">
            <w:pPr>
              <w:pStyle w:val="47"/>
              <w:rPr>
                <w:color w:val="auto"/>
              </w:rPr>
            </w:pPr>
            <w:r>
              <w:rPr>
                <w:rFonts w:hint="eastAsia"/>
                <w:color w:val="auto"/>
              </w:rPr>
              <w:t>7</w:t>
            </w:r>
          </w:p>
        </w:tc>
        <w:tc>
          <w:tcPr>
            <w:tcW w:w="1630" w:type="pct"/>
            <w:gridSpan w:val="2"/>
            <w:vAlign w:val="center"/>
          </w:tcPr>
          <w:p w14:paraId="2ABEA943">
            <w:pPr>
              <w:pStyle w:val="47"/>
              <w:rPr>
                <w:color w:val="auto"/>
              </w:rPr>
            </w:pPr>
            <w:r>
              <w:rPr>
                <w:color w:val="auto"/>
              </w:rPr>
              <w:t>组装缝隙</w:t>
            </w:r>
          </w:p>
        </w:tc>
        <w:tc>
          <w:tcPr>
            <w:tcW w:w="928" w:type="pct"/>
            <w:vAlign w:val="center"/>
          </w:tcPr>
          <w:p w14:paraId="11B4B77B">
            <w:pPr>
              <w:pStyle w:val="47"/>
              <w:rPr>
                <w:color w:val="auto"/>
              </w:rPr>
            </w:pPr>
            <w:r>
              <w:rPr>
                <w:rFonts w:hint="eastAsia"/>
                <w:color w:val="auto"/>
              </w:rPr>
              <w:t>1</w:t>
            </w:r>
          </w:p>
        </w:tc>
        <w:tc>
          <w:tcPr>
            <w:tcW w:w="2189" w:type="pct"/>
            <w:vAlign w:val="center"/>
          </w:tcPr>
          <w:p w14:paraId="0039DF0A">
            <w:pPr>
              <w:pStyle w:val="47"/>
              <w:rPr>
                <w:color w:val="auto"/>
              </w:rPr>
            </w:pPr>
            <w:r>
              <w:rPr>
                <w:color w:val="auto"/>
              </w:rPr>
              <w:t>塞片或塞尺量，取最大处</w:t>
            </w:r>
          </w:p>
        </w:tc>
      </w:tr>
      <w:tr w14:paraId="5BA4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Align w:val="center"/>
          </w:tcPr>
          <w:p w14:paraId="398AAD6F">
            <w:pPr>
              <w:pStyle w:val="47"/>
              <w:rPr>
                <w:color w:val="auto"/>
              </w:rPr>
            </w:pPr>
            <w:r>
              <w:rPr>
                <w:rFonts w:hint="eastAsia"/>
                <w:color w:val="auto"/>
              </w:rPr>
              <w:t>8</w:t>
            </w:r>
          </w:p>
        </w:tc>
        <w:tc>
          <w:tcPr>
            <w:tcW w:w="1630" w:type="pct"/>
            <w:gridSpan w:val="2"/>
            <w:vAlign w:val="center"/>
          </w:tcPr>
          <w:p w14:paraId="45575BAE">
            <w:pPr>
              <w:pStyle w:val="47"/>
              <w:rPr>
                <w:color w:val="auto"/>
              </w:rPr>
            </w:pPr>
            <w:r>
              <w:rPr>
                <w:color w:val="auto"/>
              </w:rPr>
              <w:t>端模与侧模高低差</w:t>
            </w:r>
          </w:p>
        </w:tc>
        <w:tc>
          <w:tcPr>
            <w:tcW w:w="928" w:type="pct"/>
            <w:vAlign w:val="center"/>
          </w:tcPr>
          <w:p w14:paraId="670C9616">
            <w:pPr>
              <w:pStyle w:val="47"/>
              <w:rPr>
                <w:color w:val="auto"/>
              </w:rPr>
            </w:pPr>
            <w:r>
              <w:rPr>
                <w:rFonts w:hint="eastAsia"/>
                <w:color w:val="auto"/>
              </w:rPr>
              <w:t>1</w:t>
            </w:r>
          </w:p>
        </w:tc>
        <w:tc>
          <w:tcPr>
            <w:tcW w:w="2189" w:type="pct"/>
            <w:vAlign w:val="center"/>
          </w:tcPr>
          <w:p w14:paraId="0B615B0E">
            <w:pPr>
              <w:pStyle w:val="47"/>
              <w:rPr>
                <w:color w:val="auto"/>
              </w:rPr>
            </w:pPr>
            <w:r>
              <w:rPr>
                <w:color w:val="auto"/>
              </w:rPr>
              <w:t>尺量</w:t>
            </w:r>
          </w:p>
        </w:tc>
      </w:tr>
      <w:tr w14:paraId="0B73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28C2E78E">
            <w:pPr>
              <w:pStyle w:val="47"/>
              <w:jc w:val="left"/>
              <w:rPr>
                <w:color w:val="auto"/>
              </w:rPr>
            </w:pPr>
            <w:r>
              <w:rPr>
                <w:rFonts w:hint="eastAsia"/>
                <w:color w:val="auto"/>
              </w:rPr>
              <w:t>注：*</w:t>
            </w:r>
            <w:r>
              <w:rPr>
                <w:rFonts w:hint="eastAsia"/>
                <w:iCs/>
                <w:color w:val="auto"/>
              </w:rPr>
              <w:t xml:space="preserve"> </w:t>
            </w:r>
            <w:r>
              <w:rPr>
                <w:rFonts w:hint="eastAsia"/>
                <w:i/>
                <w:color w:val="auto"/>
              </w:rPr>
              <w:t>L</w:t>
            </w:r>
            <w:r>
              <w:rPr>
                <w:rFonts w:hint="eastAsia"/>
                <w:color w:val="auto"/>
              </w:rPr>
              <w:t>为模具与混凝土接触面中最长边的尺寸。</w:t>
            </w:r>
          </w:p>
        </w:tc>
      </w:tr>
    </w:tbl>
    <w:p w14:paraId="0B9BBE97">
      <w:pPr>
        <w:pStyle w:val="49"/>
        <w:bidi w:val="0"/>
      </w:pPr>
    </w:p>
    <w:p w14:paraId="22E9FC60">
      <w:pPr>
        <w:pStyle w:val="42"/>
        <w:numPr>
          <w:ilvl w:val="2"/>
          <w:numId w:val="9"/>
        </w:numPr>
        <w:bidi w:val="0"/>
      </w:pPr>
      <w:r>
        <w:rPr>
          <w:rFonts w:hint="eastAsia"/>
        </w:rPr>
        <w:t>预制梁、预制柱的模具应设置保证</w:t>
      </w:r>
      <w:r>
        <w:rPr>
          <w:rFonts w:hint="eastAsia"/>
          <w:lang w:eastAsia="zh-CN"/>
        </w:rPr>
        <w:t>钢组件</w:t>
      </w:r>
      <w:r>
        <w:rPr>
          <w:rFonts w:hint="eastAsia"/>
        </w:rPr>
        <w:t>位置准确和可靠固定的措施。</w:t>
      </w:r>
      <w:r>
        <w:rPr>
          <w:rFonts w:hint="eastAsia"/>
          <w:lang w:val="en-US" w:eastAsia="zh-CN"/>
        </w:rPr>
        <w:t>预制梁、预制柱的钢组件、预留连接杆、预埋钢板、预留孔的安装偏差应符合表7.2.7的规定。</w:t>
      </w:r>
    </w:p>
    <w:p w14:paraId="6F21731C">
      <w:pPr>
        <w:pStyle w:val="45"/>
        <w:rPr>
          <w:color w:val="auto"/>
        </w:rPr>
      </w:pPr>
      <w:r>
        <w:rPr>
          <w:rFonts w:hint="eastAsia"/>
          <w:color w:val="auto"/>
        </w:rPr>
        <w:t>表</w:t>
      </w:r>
      <w:r>
        <w:rPr>
          <w:rFonts w:hint="eastAsia"/>
          <w:color w:val="auto"/>
          <w:lang w:val="en-US" w:eastAsia="zh-CN"/>
        </w:rPr>
        <w:t>7</w:t>
      </w:r>
      <w:r>
        <w:rPr>
          <w:rFonts w:hint="eastAsia"/>
          <w:color w:val="auto"/>
        </w:rPr>
        <w:t>.2.</w:t>
      </w:r>
      <w:r>
        <w:rPr>
          <w:rFonts w:hint="eastAsia"/>
          <w:color w:val="auto"/>
          <w:lang w:val="en-US" w:eastAsia="zh-CN"/>
        </w:rPr>
        <w:t>7</w:t>
      </w:r>
      <w:r>
        <w:rPr>
          <w:rFonts w:hint="eastAsia"/>
          <w:color w:val="auto"/>
        </w:rPr>
        <w:t xml:space="preserve">  预制梁、预制柱</w:t>
      </w:r>
      <w:r>
        <w:rPr>
          <w:rFonts w:hint="eastAsia"/>
          <w:color w:val="auto"/>
          <w:lang w:val="en-US" w:eastAsia="zh-CN"/>
        </w:rPr>
        <w:t>的钢组件等预留、预埋件安装允许偏差</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63"/>
        <w:gridCol w:w="1791"/>
        <w:gridCol w:w="1581"/>
        <w:gridCol w:w="3755"/>
      </w:tblGrid>
      <w:tr w14:paraId="1ABE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14:paraId="63152E12">
            <w:pPr>
              <w:pStyle w:val="47"/>
              <w:rPr>
                <w:color w:val="auto"/>
              </w:rPr>
            </w:pPr>
            <w:r>
              <w:rPr>
                <w:color w:val="auto"/>
              </w:rPr>
              <w:t>项次</w:t>
            </w:r>
          </w:p>
        </w:tc>
        <w:tc>
          <w:tcPr>
            <w:tcW w:w="1616" w:type="pct"/>
            <w:gridSpan w:val="2"/>
            <w:vAlign w:val="center"/>
          </w:tcPr>
          <w:p w14:paraId="4DBB3865">
            <w:pPr>
              <w:pStyle w:val="47"/>
              <w:rPr>
                <w:color w:val="auto"/>
              </w:rPr>
            </w:pPr>
            <w:r>
              <w:rPr>
                <w:rFonts w:hint="eastAsia"/>
                <w:color w:val="auto"/>
              </w:rPr>
              <w:t>检验项目</w:t>
            </w:r>
          </w:p>
        </w:tc>
        <w:tc>
          <w:tcPr>
            <w:tcW w:w="928" w:type="pct"/>
            <w:vAlign w:val="center"/>
          </w:tcPr>
          <w:p w14:paraId="179A7AD9">
            <w:pPr>
              <w:pStyle w:val="47"/>
              <w:rPr>
                <w:color w:val="auto"/>
              </w:rPr>
            </w:pPr>
            <w:r>
              <w:rPr>
                <w:rFonts w:hint="eastAsia"/>
                <w:color w:val="auto"/>
              </w:rPr>
              <w:t>允许偏差（mm）</w:t>
            </w:r>
          </w:p>
        </w:tc>
        <w:tc>
          <w:tcPr>
            <w:tcW w:w="2204" w:type="pct"/>
            <w:vAlign w:val="center"/>
          </w:tcPr>
          <w:p w14:paraId="617FBFAB">
            <w:pPr>
              <w:pStyle w:val="47"/>
              <w:rPr>
                <w:color w:val="auto"/>
              </w:rPr>
            </w:pPr>
            <w:r>
              <w:rPr>
                <w:rFonts w:hint="eastAsia"/>
                <w:color w:val="auto"/>
              </w:rPr>
              <w:t>检验方法</w:t>
            </w:r>
          </w:p>
        </w:tc>
      </w:tr>
      <w:tr w14:paraId="435A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restart"/>
            <w:vAlign w:val="center"/>
          </w:tcPr>
          <w:p w14:paraId="515F2786">
            <w:pPr>
              <w:pStyle w:val="47"/>
              <w:rPr>
                <w:color w:val="auto"/>
              </w:rPr>
            </w:pPr>
            <w:r>
              <w:rPr>
                <w:rFonts w:hint="eastAsia"/>
                <w:color w:val="auto"/>
              </w:rPr>
              <w:t>1</w:t>
            </w:r>
          </w:p>
        </w:tc>
        <w:tc>
          <w:tcPr>
            <w:tcW w:w="565" w:type="pct"/>
            <w:vMerge w:val="restart"/>
            <w:vAlign w:val="center"/>
          </w:tcPr>
          <w:p w14:paraId="27325ECD">
            <w:pPr>
              <w:pStyle w:val="47"/>
              <w:rPr>
                <w:rFonts w:hint="default" w:eastAsia="宋体"/>
                <w:color w:val="auto"/>
                <w:lang w:val="en-US" w:eastAsia="zh-CN"/>
              </w:rPr>
            </w:pPr>
            <w:r>
              <w:rPr>
                <w:rFonts w:hint="eastAsia"/>
                <w:color w:val="auto"/>
                <w:lang w:val="en-US" w:eastAsia="zh-CN"/>
              </w:rPr>
              <w:t>梁端钢组件</w:t>
            </w:r>
          </w:p>
        </w:tc>
        <w:tc>
          <w:tcPr>
            <w:tcW w:w="1051" w:type="pct"/>
            <w:vAlign w:val="center"/>
          </w:tcPr>
          <w:p w14:paraId="0B872E83">
            <w:pPr>
              <w:pStyle w:val="47"/>
              <w:rPr>
                <w:rFonts w:hint="default" w:eastAsia="宋体"/>
                <w:color w:val="auto"/>
                <w:lang w:val="en-US" w:eastAsia="zh-CN"/>
              </w:rPr>
            </w:pPr>
            <w:r>
              <w:rPr>
                <w:rFonts w:hint="eastAsia" w:eastAsia="宋体"/>
                <w:color w:val="auto"/>
                <w:lang w:val="en-US" w:eastAsia="zh-CN"/>
              </w:rPr>
              <w:t>轴线偏移</w:t>
            </w:r>
          </w:p>
        </w:tc>
        <w:tc>
          <w:tcPr>
            <w:tcW w:w="928" w:type="pct"/>
            <w:vAlign w:val="center"/>
          </w:tcPr>
          <w:p w14:paraId="37721F4B">
            <w:pPr>
              <w:pStyle w:val="47"/>
              <w:rPr>
                <w:rFonts w:hint="default"/>
                <w:color w:val="auto"/>
                <w:lang w:val="en-US"/>
              </w:rPr>
            </w:pPr>
            <w:r>
              <w:rPr>
                <w:rFonts w:hint="eastAsia"/>
                <w:color w:val="auto"/>
                <w:lang w:val="en-US" w:eastAsia="zh-CN"/>
              </w:rPr>
              <w:t>2</w:t>
            </w:r>
          </w:p>
        </w:tc>
        <w:tc>
          <w:tcPr>
            <w:tcW w:w="2204" w:type="pct"/>
            <w:vAlign w:val="center"/>
          </w:tcPr>
          <w:p w14:paraId="0AD89E43">
            <w:pPr>
              <w:pStyle w:val="47"/>
              <w:rPr>
                <w:color w:val="auto"/>
              </w:rPr>
            </w:pPr>
            <w:r>
              <w:rPr>
                <w:rFonts w:hint="eastAsia"/>
                <w:color w:val="auto"/>
              </w:rPr>
              <w:t>尺量</w:t>
            </w:r>
          </w:p>
        </w:tc>
      </w:tr>
      <w:tr w14:paraId="3140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50" w:type="pct"/>
            <w:vMerge w:val="continue"/>
            <w:vAlign w:val="center"/>
          </w:tcPr>
          <w:p w14:paraId="6A7C9416">
            <w:pPr>
              <w:pStyle w:val="47"/>
              <w:rPr>
                <w:color w:val="auto"/>
              </w:rPr>
            </w:pPr>
          </w:p>
        </w:tc>
        <w:tc>
          <w:tcPr>
            <w:tcW w:w="565" w:type="pct"/>
            <w:vMerge w:val="continue"/>
            <w:vAlign w:val="center"/>
          </w:tcPr>
          <w:p w14:paraId="3B15496E">
            <w:pPr>
              <w:pStyle w:val="47"/>
              <w:rPr>
                <w:color w:val="auto"/>
              </w:rPr>
            </w:pPr>
          </w:p>
        </w:tc>
        <w:tc>
          <w:tcPr>
            <w:tcW w:w="1051" w:type="pct"/>
            <w:vAlign w:val="center"/>
          </w:tcPr>
          <w:p w14:paraId="734FA4F3">
            <w:pPr>
              <w:pStyle w:val="47"/>
              <w:rPr>
                <w:rFonts w:hint="default" w:eastAsia="宋体"/>
                <w:color w:val="auto"/>
                <w:lang w:val="en-US" w:eastAsia="zh-CN"/>
              </w:rPr>
            </w:pPr>
            <w:r>
              <w:rPr>
                <w:rFonts w:hint="eastAsia"/>
                <w:color w:val="auto"/>
                <w:lang w:val="en-US" w:eastAsia="zh-CN"/>
              </w:rPr>
              <w:t>预制梁含梁端钢组件长度</w:t>
            </w:r>
          </w:p>
        </w:tc>
        <w:tc>
          <w:tcPr>
            <w:tcW w:w="928" w:type="pct"/>
            <w:vAlign w:val="center"/>
          </w:tcPr>
          <w:p w14:paraId="219150DE">
            <w:pPr>
              <w:pStyle w:val="47"/>
              <w:rPr>
                <w:rFonts w:hint="default"/>
                <w:color w:val="auto"/>
                <w:lang w:val="en-US"/>
              </w:rPr>
            </w:pPr>
            <w:r>
              <w:rPr>
                <w:rFonts w:hint="eastAsia"/>
                <w:color w:val="auto"/>
                <w:lang w:val="en-US" w:eastAsia="zh-CN"/>
              </w:rPr>
              <w:t>±3</w:t>
            </w:r>
          </w:p>
        </w:tc>
        <w:tc>
          <w:tcPr>
            <w:tcW w:w="2204" w:type="pct"/>
            <w:vAlign w:val="center"/>
          </w:tcPr>
          <w:p w14:paraId="1F86577F">
            <w:pPr>
              <w:pStyle w:val="47"/>
              <w:rPr>
                <w:rFonts w:hint="default" w:eastAsia="宋体"/>
                <w:color w:val="auto"/>
                <w:lang w:val="en-US" w:eastAsia="zh-CN"/>
              </w:rPr>
            </w:pPr>
            <w:r>
              <w:rPr>
                <w:rFonts w:hint="eastAsia"/>
                <w:color w:val="auto"/>
                <w:lang w:val="en-US" w:eastAsia="zh-CN"/>
              </w:rPr>
              <w:t>尺量</w:t>
            </w:r>
          </w:p>
        </w:tc>
      </w:tr>
      <w:tr w14:paraId="0869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50" w:type="pct"/>
            <w:vMerge w:val="restart"/>
            <w:vAlign w:val="center"/>
          </w:tcPr>
          <w:p w14:paraId="311589AC">
            <w:pPr>
              <w:pStyle w:val="47"/>
              <w:rPr>
                <w:rFonts w:hint="eastAsia" w:eastAsia="宋体"/>
                <w:color w:val="auto"/>
                <w:lang w:val="en-US" w:eastAsia="zh-CN"/>
              </w:rPr>
            </w:pPr>
            <w:r>
              <w:rPr>
                <w:rFonts w:hint="eastAsia"/>
                <w:color w:val="auto"/>
                <w:lang w:val="en-US" w:eastAsia="zh-CN"/>
              </w:rPr>
              <w:t>2</w:t>
            </w:r>
          </w:p>
        </w:tc>
        <w:tc>
          <w:tcPr>
            <w:tcW w:w="565" w:type="pct"/>
            <w:vMerge w:val="restart"/>
            <w:vAlign w:val="center"/>
          </w:tcPr>
          <w:p w14:paraId="086BBFD7">
            <w:pPr>
              <w:pStyle w:val="47"/>
              <w:rPr>
                <w:rFonts w:hint="default" w:eastAsia="宋体"/>
                <w:color w:val="auto"/>
                <w:lang w:val="en-US" w:eastAsia="zh-CN"/>
              </w:rPr>
            </w:pPr>
            <w:r>
              <w:rPr>
                <w:rFonts w:hint="eastAsia"/>
                <w:color w:val="auto"/>
                <w:lang w:val="en-US" w:eastAsia="zh-CN"/>
              </w:rPr>
              <w:t>柱端钢组件</w:t>
            </w:r>
          </w:p>
        </w:tc>
        <w:tc>
          <w:tcPr>
            <w:tcW w:w="1051" w:type="pct"/>
            <w:vAlign w:val="center"/>
          </w:tcPr>
          <w:p w14:paraId="0CE7D284">
            <w:pPr>
              <w:pStyle w:val="47"/>
              <w:rPr>
                <w:rFonts w:hint="default"/>
                <w:color w:val="auto"/>
                <w:lang w:val="en-US" w:eastAsia="zh-CN"/>
              </w:rPr>
            </w:pPr>
            <w:r>
              <w:rPr>
                <w:rFonts w:hint="eastAsia"/>
                <w:color w:val="auto"/>
                <w:lang w:val="en-US" w:eastAsia="zh-CN"/>
              </w:rPr>
              <w:t>螺栓孔中心线位置</w:t>
            </w:r>
          </w:p>
        </w:tc>
        <w:tc>
          <w:tcPr>
            <w:tcW w:w="928" w:type="pct"/>
            <w:vAlign w:val="center"/>
          </w:tcPr>
          <w:p w14:paraId="340355A1">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2</w:t>
            </w:r>
          </w:p>
        </w:tc>
        <w:tc>
          <w:tcPr>
            <w:tcW w:w="2204" w:type="pct"/>
            <w:vAlign w:val="center"/>
          </w:tcPr>
          <w:p w14:paraId="25C26204">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尺量</w:t>
            </w:r>
            <w:r>
              <w:rPr>
                <w:rFonts w:hint="eastAsia"/>
                <w:color w:val="auto"/>
                <w:sz w:val="21"/>
                <w:lang w:val="en-US" w:eastAsia="zh-CN"/>
              </w:rPr>
              <w:t>纵横两个方向的中心线位置，取较大值</w:t>
            </w:r>
          </w:p>
        </w:tc>
      </w:tr>
      <w:tr w14:paraId="1B3E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50" w:type="pct"/>
            <w:vMerge w:val="continue"/>
            <w:vAlign w:val="center"/>
          </w:tcPr>
          <w:p w14:paraId="40E5BBA6">
            <w:pPr>
              <w:pStyle w:val="47"/>
              <w:rPr>
                <w:color w:val="auto"/>
              </w:rPr>
            </w:pPr>
          </w:p>
        </w:tc>
        <w:tc>
          <w:tcPr>
            <w:tcW w:w="565" w:type="pct"/>
            <w:vMerge w:val="continue"/>
            <w:vAlign w:val="center"/>
          </w:tcPr>
          <w:p w14:paraId="046AD659">
            <w:pPr>
              <w:pStyle w:val="47"/>
              <w:rPr>
                <w:rFonts w:hint="eastAsia"/>
                <w:color w:val="auto"/>
                <w:lang w:val="en-US" w:eastAsia="zh-CN"/>
              </w:rPr>
            </w:pPr>
          </w:p>
        </w:tc>
        <w:tc>
          <w:tcPr>
            <w:tcW w:w="1051" w:type="pct"/>
            <w:vAlign w:val="center"/>
          </w:tcPr>
          <w:p w14:paraId="19D1904E">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预制柱含柱端钢组件长度</w:t>
            </w:r>
          </w:p>
        </w:tc>
        <w:tc>
          <w:tcPr>
            <w:tcW w:w="928" w:type="pct"/>
            <w:vAlign w:val="center"/>
          </w:tcPr>
          <w:p w14:paraId="3CC54D58">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±3</w:t>
            </w:r>
          </w:p>
        </w:tc>
        <w:tc>
          <w:tcPr>
            <w:tcW w:w="2204" w:type="pct"/>
            <w:vAlign w:val="center"/>
          </w:tcPr>
          <w:p w14:paraId="7E5B0B46">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尺量</w:t>
            </w:r>
          </w:p>
        </w:tc>
      </w:tr>
      <w:tr w14:paraId="0EB4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50" w:type="pct"/>
            <w:vMerge w:val="restart"/>
            <w:vAlign w:val="center"/>
          </w:tcPr>
          <w:p w14:paraId="3BA02EAC">
            <w:pPr>
              <w:pStyle w:val="47"/>
              <w:rPr>
                <w:rFonts w:hint="eastAsia" w:eastAsia="宋体"/>
                <w:color w:val="auto"/>
                <w:lang w:val="en-US" w:eastAsia="zh-CN"/>
              </w:rPr>
            </w:pPr>
            <w:r>
              <w:rPr>
                <w:rFonts w:hint="eastAsia"/>
                <w:color w:val="auto"/>
                <w:lang w:val="en-US" w:eastAsia="zh-CN"/>
              </w:rPr>
              <w:t>3</w:t>
            </w:r>
          </w:p>
        </w:tc>
        <w:tc>
          <w:tcPr>
            <w:tcW w:w="565" w:type="pct"/>
            <w:vMerge w:val="restart"/>
            <w:vAlign w:val="center"/>
          </w:tcPr>
          <w:p w14:paraId="0618BF96">
            <w:pPr>
              <w:pStyle w:val="47"/>
              <w:rPr>
                <w:rFonts w:hint="default" w:eastAsia="宋体"/>
                <w:color w:val="auto"/>
                <w:lang w:val="en-US" w:eastAsia="zh-CN"/>
              </w:rPr>
            </w:pPr>
            <w:r>
              <w:rPr>
                <w:rFonts w:hint="eastAsia"/>
                <w:color w:val="auto"/>
                <w:lang w:val="en-US" w:eastAsia="zh-CN"/>
              </w:rPr>
              <w:t>预留连接杆</w:t>
            </w:r>
          </w:p>
        </w:tc>
        <w:tc>
          <w:tcPr>
            <w:tcW w:w="1051" w:type="pct"/>
            <w:vAlign w:val="center"/>
          </w:tcPr>
          <w:p w14:paraId="34146F81">
            <w:pPr>
              <w:pStyle w:val="47"/>
              <w:rPr>
                <w:rFonts w:hint="eastAsia"/>
                <w:color w:val="auto"/>
                <w:lang w:val="en-US" w:eastAsia="zh-CN"/>
              </w:rPr>
            </w:pPr>
            <w:r>
              <w:rPr>
                <w:rFonts w:hint="eastAsia"/>
                <w:color w:val="auto"/>
                <w:lang w:val="en-US" w:eastAsia="zh-CN"/>
              </w:rPr>
              <w:t>中心线位置</w:t>
            </w:r>
          </w:p>
        </w:tc>
        <w:tc>
          <w:tcPr>
            <w:tcW w:w="928" w:type="pct"/>
            <w:vAlign w:val="center"/>
          </w:tcPr>
          <w:p w14:paraId="6D872574">
            <w:pPr>
              <w:pStyle w:val="47"/>
              <w:rPr>
                <w:rFonts w:hint="default"/>
                <w:color w:val="auto"/>
                <w:lang w:val="en-US" w:eastAsia="zh-CN"/>
              </w:rPr>
            </w:pPr>
            <w:r>
              <w:rPr>
                <w:rFonts w:hint="eastAsia"/>
                <w:color w:val="auto"/>
                <w:lang w:val="en-US" w:eastAsia="zh-CN"/>
              </w:rPr>
              <w:t>2</w:t>
            </w:r>
          </w:p>
        </w:tc>
        <w:tc>
          <w:tcPr>
            <w:tcW w:w="2204" w:type="pct"/>
            <w:vAlign w:val="center"/>
          </w:tcPr>
          <w:p w14:paraId="35725395">
            <w:pPr>
              <w:pStyle w:val="47"/>
              <w:rPr>
                <w:color w:val="auto"/>
              </w:rPr>
            </w:pPr>
            <w:r>
              <w:rPr>
                <w:rFonts w:hint="eastAsia"/>
                <w:color w:val="auto"/>
                <w:sz w:val="21"/>
              </w:rPr>
              <w:t>尺量</w:t>
            </w:r>
            <w:r>
              <w:rPr>
                <w:rFonts w:hint="eastAsia"/>
                <w:color w:val="auto"/>
                <w:sz w:val="21"/>
                <w:lang w:val="en-US" w:eastAsia="zh-CN"/>
              </w:rPr>
              <w:t>纵横两个方向的中心线位置，取较大值</w:t>
            </w:r>
          </w:p>
        </w:tc>
      </w:tr>
      <w:tr w14:paraId="2959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50" w:type="pct"/>
            <w:vMerge w:val="continue"/>
            <w:vAlign w:val="center"/>
          </w:tcPr>
          <w:p w14:paraId="2F08F8DD">
            <w:pPr>
              <w:pStyle w:val="47"/>
              <w:rPr>
                <w:color w:val="auto"/>
              </w:rPr>
            </w:pPr>
          </w:p>
        </w:tc>
        <w:tc>
          <w:tcPr>
            <w:tcW w:w="565" w:type="pct"/>
            <w:vMerge w:val="continue"/>
            <w:vAlign w:val="center"/>
          </w:tcPr>
          <w:p w14:paraId="206B29FE">
            <w:pPr>
              <w:pStyle w:val="47"/>
              <w:rPr>
                <w:color w:val="auto"/>
              </w:rPr>
            </w:pPr>
          </w:p>
        </w:tc>
        <w:tc>
          <w:tcPr>
            <w:tcW w:w="1051" w:type="pct"/>
            <w:vAlign w:val="center"/>
          </w:tcPr>
          <w:p w14:paraId="6F422A79">
            <w:pPr>
              <w:pStyle w:val="47"/>
              <w:rPr>
                <w:rFonts w:hint="default"/>
                <w:color w:val="auto"/>
                <w:lang w:val="en-US" w:eastAsia="zh-CN"/>
              </w:rPr>
            </w:pPr>
            <w:r>
              <w:rPr>
                <w:rFonts w:hint="eastAsia"/>
                <w:color w:val="auto"/>
                <w:lang w:val="en-US" w:eastAsia="zh-CN"/>
              </w:rPr>
              <w:t>外露长度</w:t>
            </w:r>
          </w:p>
        </w:tc>
        <w:tc>
          <w:tcPr>
            <w:tcW w:w="928" w:type="pct"/>
            <w:vAlign w:val="center"/>
          </w:tcPr>
          <w:p w14:paraId="6CC2477C">
            <w:pPr>
              <w:pStyle w:val="47"/>
              <w:rPr>
                <w:rFonts w:hint="default"/>
                <w:color w:val="auto"/>
                <w:lang w:val="en-US" w:eastAsia="zh-CN"/>
              </w:rPr>
            </w:pPr>
            <w:r>
              <w:rPr>
                <w:rFonts w:hint="eastAsia"/>
                <w:color w:val="auto"/>
                <w:lang w:val="en-US" w:eastAsia="zh-CN"/>
              </w:rPr>
              <w:t>+5, 0</w:t>
            </w:r>
          </w:p>
        </w:tc>
        <w:tc>
          <w:tcPr>
            <w:tcW w:w="2204" w:type="pct"/>
            <w:vAlign w:val="center"/>
          </w:tcPr>
          <w:p w14:paraId="5529A786">
            <w:pPr>
              <w:pStyle w:val="47"/>
              <w:rPr>
                <w:rFonts w:hint="eastAsia" w:eastAsia="宋体"/>
                <w:color w:val="auto"/>
                <w:lang w:val="en-US" w:eastAsia="zh-CN"/>
              </w:rPr>
            </w:pPr>
            <w:r>
              <w:rPr>
                <w:rFonts w:hint="eastAsia"/>
                <w:color w:val="auto"/>
                <w:lang w:val="en-US" w:eastAsia="zh-CN"/>
              </w:rPr>
              <w:t>尺量</w:t>
            </w:r>
          </w:p>
        </w:tc>
      </w:tr>
      <w:tr w14:paraId="1B05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restart"/>
            <w:vAlign w:val="center"/>
          </w:tcPr>
          <w:p w14:paraId="3BDABC7B">
            <w:pPr>
              <w:pStyle w:val="47"/>
              <w:rPr>
                <w:rFonts w:hint="eastAsia" w:eastAsia="宋体"/>
                <w:color w:val="auto"/>
                <w:lang w:eastAsia="zh-CN"/>
              </w:rPr>
            </w:pPr>
            <w:r>
              <w:rPr>
                <w:rFonts w:hint="eastAsia"/>
                <w:color w:val="auto"/>
                <w:lang w:val="en-US" w:eastAsia="zh-CN"/>
              </w:rPr>
              <w:t>4</w:t>
            </w:r>
          </w:p>
        </w:tc>
        <w:tc>
          <w:tcPr>
            <w:tcW w:w="565" w:type="pct"/>
            <w:vMerge w:val="restart"/>
            <w:vAlign w:val="center"/>
          </w:tcPr>
          <w:p w14:paraId="68A6E1BC">
            <w:pPr>
              <w:pStyle w:val="47"/>
              <w:rPr>
                <w:rFonts w:hint="default" w:eastAsia="宋体"/>
                <w:color w:val="auto"/>
                <w:lang w:val="en-US" w:eastAsia="zh-CN"/>
              </w:rPr>
            </w:pPr>
            <w:r>
              <w:rPr>
                <w:rFonts w:hint="eastAsia"/>
                <w:color w:val="auto"/>
                <w:lang w:val="en-US" w:eastAsia="zh-CN"/>
              </w:rPr>
              <w:t>预埋钢板</w:t>
            </w:r>
          </w:p>
        </w:tc>
        <w:tc>
          <w:tcPr>
            <w:tcW w:w="1051" w:type="pct"/>
            <w:vAlign w:val="center"/>
          </w:tcPr>
          <w:p w14:paraId="2CDCD0BA">
            <w:pPr>
              <w:pStyle w:val="47"/>
              <w:rPr>
                <w:rFonts w:hint="default"/>
                <w:color w:val="auto"/>
                <w:lang w:val="en-US" w:eastAsia="zh-CN"/>
              </w:rPr>
            </w:pPr>
            <w:r>
              <w:rPr>
                <w:rFonts w:hint="eastAsia"/>
                <w:color w:val="auto"/>
                <w:lang w:val="en-US" w:eastAsia="zh-CN"/>
              </w:rPr>
              <w:t>中心线位置</w:t>
            </w:r>
          </w:p>
        </w:tc>
        <w:tc>
          <w:tcPr>
            <w:tcW w:w="928" w:type="pct"/>
            <w:vAlign w:val="center"/>
          </w:tcPr>
          <w:p w14:paraId="0167FE32">
            <w:pPr>
              <w:pStyle w:val="47"/>
              <w:rPr>
                <w:rFonts w:hint="eastAsia" w:eastAsia="宋体"/>
                <w:color w:val="auto"/>
                <w:lang w:val="en-US" w:eastAsia="zh-CN"/>
              </w:rPr>
            </w:pPr>
            <w:r>
              <w:rPr>
                <w:rFonts w:hint="eastAsia"/>
                <w:color w:val="auto"/>
                <w:lang w:val="en-US" w:eastAsia="zh-CN"/>
              </w:rPr>
              <w:t>3</w:t>
            </w:r>
          </w:p>
        </w:tc>
        <w:tc>
          <w:tcPr>
            <w:tcW w:w="2204" w:type="pct"/>
            <w:vAlign w:val="center"/>
          </w:tcPr>
          <w:p w14:paraId="641E0D12">
            <w:pPr>
              <w:spacing w:line="240" w:lineRule="auto"/>
              <w:ind w:firstLine="0" w:firstLineChars="0"/>
              <w:jc w:val="center"/>
              <w:rPr>
                <w:rFonts w:hint="default" w:eastAsia="宋体"/>
                <w:color w:val="auto"/>
                <w:sz w:val="21"/>
                <w:lang w:val="en-US" w:eastAsia="zh-CN"/>
              </w:rPr>
            </w:pPr>
            <w:r>
              <w:rPr>
                <w:rFonts w:hint="eastAsia"/>
                <w:color w:val="auto"/>
                <w:sz w:val="21"/>
              </w:rPr>
              <w:t>尺量</w:t>
            </w:r>
            <w:r>
              <w:rPr>
                <w:rFonts w:hint="eastAsia"/>
                <w:color w:val="auto"/>
                <w:sz w:val="21"/>
                <w:lang w:val="en-US" w:eastAsia="zh-CN"/>
              </w:rPr>
              <w:t>纵横两个方向的中心线位置，取较大值</w:t>
            </w:r>
          </w:p>
        </w:tc>
      </w:tr>
      <w:tr w14:paraId="2A9F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vAlign w:val="center"/>
          </w:tcPr>
          <w:p w14:paraId="05376E17">
            <w:pPr>
              <w:pStyle w:val="47"/>
              <w:rPr>
                <w:rFonts w:hint="eastAsia"/>
                <w:color w:val="auto"/>
              </w:rPr>
            </w:pPr>
          </w:p>
        </w:tc>
        <w:tc>
          <w:tcPr>
            <w:tcW w:w="565" w:type="pct"/>
            <w:vMerge w:val="continue"/>
            <w:vAlign w:val="center"/>
          </w:tcPr>
          <w:p w14:paraId="19A9F445">
            <w:pPr>
              <w:pStyle w:val="47"/>
              <w:rPr>
                <w:rFonts w:hint="eastAsia"/>
                <w:color w:val="auto"/>
                <w:lang w:val="en-US" w:eastAsia="zh-CN"/>
              </w:rPr>
            </w:pPr>
          </w:p>
        </w:tc>
        <w:tc>
          <w:tcPr>
            <w:tcW w:w="1051" w:type="pct"/>
            <w:vAlign w:val="center"/>
          </w:tcPr>
          <w:p w14:paraId="534C40B7">
            <w:pPr>
              <w:pStyle w:val="47"/>
              <w:rPr>
                <w:rFonts w:hint="default"/>
                <w:color w:val="auto"/>
                <w:lang w:val="en-US" w:eastAsia="zh-CN"/>
              </w:rPr>
            </w:pPr>
            <w:r>
              <w:rPr>
                <w:rFonts w:hint="eastAsia"/>
                <w:color w:val="auto"/>
                <w:lang w:val="en-US" w:eastAsia="zh-CN"/>
              </w:rPr>
              <w:t>平面高差</w:t>
            </w:r>
          </w:p>
        </w:tc>
        <w:tc>
          <w:tcPr>
            <w:tcW w:w="928" w:type="pct"/>
            <w:vAlign w:val="center"/>
          </w:tcPr>
          <w:p w14:paraId="7131625B">
            <w:pPr>
              <w:pStyle w:val="47"/>
              <w:rPr>
                <w:rFonts w:hint="eastAsia"/>
                <w:color w:val="auto"/>
                <w:lang w:val="en-US" w:eastAsia="zh-CN"/>
              </w:rPr>
            </w:pPr>
            <w:r>
              <w:rPr>
                <w:rFonts w:hint="eastAsia"/>
                <w:color w:val="auto"/>
                <w:lang w:val="en-US" w:eastAsia="zh-CN"/>
              </w:rPr>
              <w:t>±2</w:t>
            </w:r>
          </w:p>
        </w:tc>
        <w:tc>
          <w:tcPr>
            <w:tcW w:w="2204" w:type="pct"/>
            <w:vAlign w:val="center"/>
          </w:tcPr>
          <w:p w14:paraId="627838B2">
            <w:pPr>
              <w:spacing w:line="240" w:lineRule="auto"/>
              <w:ind w:firstLine="0" w:firstLineChars="0"/>
              <w:jc w:val="center"/>
              <w:rPr>
                <w:rFonts w:hint="default" w:eastAsia="宋体"/>
                <w:color w:val="auto"/>
                <w:sz w:val="21"/>
                <w:lang w:val="en-US" w:eastAsia="zh-CN"/>
              </w:rPr>
            </w:pPr>
            <w:r>
              <w:rPr>
                <w:rFonts w:hint="eastAsia"/>
                <w:color w:val="auto"/>
                <w:sz w:val="21"/>
                <w:lang w:val="en-US" w:eastAsia="zh-CN"/>
              </w:rPr>
              <w:t>钢直尺和塞尺检查</w:t>
            </w:r>
          </w:p>
        </w:tc>
      </w:tr>
      <w:tr w14:paraId="79E2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restart"/>
            <w:vAlign w:val="center"/>
          </w:tcPr>
          <w:p w14:paraId="647E03B1">
            <w:pPr>
              <w:pStyle w:val="47"/>
              <w:rPr>
                <w:rFonts w:hint="eastAsia" w:eastAsia="宋体"/>
                <w:color w:val="auto"/>
                <w:lang w:val="en-US" w:eastAsia="zh-CN"/>
              </w:rPr>
            </w:pPr>
            <w:r>
              <w:rPr>
                <w:rFonts w:hint="eastAsia"/>
                <w:color w:val="auto"/>
                <w:lang w:val="en-US" w:eastAsia="zh-CN"/>
              </w:rPr>
              <w:t>5</w:t>
            </w:r>
          </w:p>
        </w:tc>
        <w:tc>
          <w:tcPr>
            <w:tcW w:w="565" w:type="pct"/>
            <w:vMerge w:val="restart"/>
            <w:vAlign w:val="center"/>
          </w:tcPr>
          <w:p w14:paraId="0ABE46B7">
            <w:pPr>
              <w:pStyle w:val="47"/>
              <w:rPr>
                <w:rFonts w:hint="default"/>
                <w:color w:val="auto"/>
                <w:lang w:val="en-US" w:eastAsia="zh-CN"/>
              </w:rPr>
            </w:pPr>
            <w:r>
              <w:rPr>
                <w:rFonts w:hint="eastAsia"/>
                <w:color w:val="auto"/>
                <w:lang w:val="en-US" w:eastAsia="zh-CN"/>
              </w:rPr>
              <w:t>预留孔</w:t>
            </w:r>
          </w:p>
        </w:tc>
        <w:tc>
          <w:tcPr>
            <w:tcW w:w="1051" w:type="pct"/>
            <w:vAlign w:val="center"/>
          </w:tcPr>
          <w:p w14:paraId="6ABAFF8B">
            <w:pPr>
              <w:pStyle w:val="47"/>
              <w:rPr>
                <w:rFonts w:hint="default"/>
                <w:color w:val="auto"/>
                <w:lang w:val="en-US" w:eastAsia="zh-CN"/>
              </w:rPr>
            </w:pPr>
            <w:r>
              <w:rPr>
                <w:rFonts w:hint="eastAsia"/>
                <w:color w:val="auto"/>
                <w:lang w:val="en-US" w:eastAsia="zh-CN"/>
              </w:rPr>
              <w:t>中心线位置</w:t>
            </w:r>
          </w:p>
        </w:tc>
        <w:tc>
          <w:tcPr>
            <w:tcW w:w="928" w:type="pct"/>
            <w:vAlign w:val="center"/>
          </w:tcPr>
          <w:p w14:paraId="16FA707D">
            <w:pPr>
              <w:pStyle w:val="47"/>
              <w:rPr>
                <w:rFonts w:hint="default"/>
                <w:color w:val="auto"/>
                <w:lang w:val="en-US" w:eastAsia="zh-CN"/>
              </w:rPr>
            </w:pPr>
            <w:r>
              <w:rPr>
                <w:rFonts w:hint="eastAsia"/>
                <w:color w:val="auto"/>
                <w:lang w:val="en-US" w:eastAsia="zh-CN"/>
              </w:rPr>
              <w:t>3</w:t>
            </w:r>
          </w:p>
        </w:tc>
        <w:tc>
          <w:tcPr>
            <w:tcW w:w="2204" w:type="pct"/>
            <w:vAlign w:val="center"/>
          </w:tcPr>
          <w:p w14:paraId="12BAD041">
            <w:pPr>
              <w:pStyle w:val="47"/>
              <w:rPr>
                <w:rFonts w:hint="default" w:eastAsia="宋体"/>
                <w:color w:val="auto"/>
                <w:sz w:val="21"/>
                <w:lang w:val="en-US" w:eastAsia="zh-CN"/>
              </w:rPr>
            </w:pPr>
            <w:r>
              <w:rPr>
                <w:rFonts w:hint="eastAsia"/>
                <w:color w:val="auto"/>
                <w:sz w:val="21"/>
                <w:lang w:val="en-US" w:eastAsia="zh-CN"/>
              </w:rPr>
              <w:t>尺量纵横两个方向的中心线位置，取较大值</w:t>
            </w:r>
          </w:p>
        </w:tc>
      </w:tr>
      <w:tr w14:paraId="6691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vAlign w:val="center"/>
          </w:tcPr>
          <w:p w14:paraId="203B6B2B">
            <w:pPr>
              <w:pStyle w:val="47"/>
              <w:rPr>
                <w:rFonts w:hint="eastAsia"/>
                <w:color w:val="auto"/>
              </w:rPr>
            </w:pPr>
          </w:p>
        </w:tc>
        <w:tc>
          <w:tcPr>
            <w:tcW w:w="565" w:type="pct"/>
            <w:vMerge w:val="continue"/>
            <w:vAlign w:val="center"/>
          </w:tcPr>
          <w:p w14:paraId="0D6B8D74">
            <w:pPr>
              <w:pStyle w:val="47"/>
              <w:rPr>
                <w:rFonts w:hint="eastAsia"/>
                <w:color w:val="auto"/>
                <w:lang w:val="en-US" w:eastAsia="zh-CN"/>
              </w:rPr>
            </w:pPr>
          </w:p>
        </w:tc>
        <w:tc>
          <w:tcPr>
            <w:tcW w:w="1051" w:type="pct"/>
            <w:vAlign w:val="center"/>
          </w:tcPr>
          <w:p w14:paraId="6ABF43B0">
            <w:pPr>
              <w:pStyle w:val="47"/>
              <w:rPr>
                <w:rFonts w:hint="default"/>
                <w:color w:val="auto"/>
                <w:lang w:val="en-US" w:eastAsia="zh-CN"/>
              </w:rPr>
            </w:pPr>
            <w:r>
              <w:rPr>
                <w:rFonts w:hint="eastAsia"/>
                <w:color w:val="auto"/>
                <w:lang w:val="en-US" w:eastAsia="zh-CN"/>
              </w:rPr>
              <w:t>尺寸</w:t>
            </w:r>
          </w:p>
        </w:tc>
        <w:tc>
          <w:tcPr>
            <w:tcW w:w="928" w:type="pct"/>
            <w:vAlign w:val="center"/>
          </w:tcPr>
          <w:p w14:paraId="3541E85F">
            <w:pPr>
              <w:pStyle w:val="47"/>
              <w:rPr>
                <w:rFonts w:hint="default"/>
                <w:color w:val="auto"/>
                <w:lang w:val="en-US" w:eastAsia="zh-CN"/>
              </w:rPr>
            </w:pPr>
            <w:r>
              <w:rPr>
                <w:rFonts w:hint="eastAsia"/>
                <w:color w:val="auto"/>
                <w:lang w:val="en-US" w:eastAsia="zh-CN"/>
              </w:rPr>
              <w:t>+3, 0</w:t>
            </w:r>
          </w:p>
        </w:tc>
        <w:tc>
          <w:tcPr>
            <w:tcW w:w="2204" w:type="pct"/>
            <w:vAlign w:val="center"/>
          </w:tcPr>
          <w:p w14:paraId="35C9D546">
            <w:pPr>
              <w:pStyle w:val="47"/>
              <w:rPr>
                <w:rFonts w:hint="eastAsia"/>
                <w:color w:val="auto"/>
                <w:sz w:val="21"/>
              </w:rPr>
            </w:pPr>
            <w:r>
              <w:rPr>
                <w:rFonts w:hint="eastAsia"/>
                <w:color w:val="auto"/>
                <w:sz w:val="21"/>
                <w:lang w:val="en-US" w:eastAsia="zh-CN"/>
              </w:rPr>
              <w:t>尺量纵横两个方向尺寸，取较大值</w:t>
            </w:r>
          </w:p>
        </w:tc>
      </w:tr>
      <w:tr w14:paraId="44DE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restart"/>
            <w:vAlign w:val="center"/>
          </w:tcPr>
          <w:p w14:paraId="0BC52F9C">
            <w:pPr>
              <w:pStyle w:val="47"/>
              <w:rPr>
                <w:rFonts w:hint="eastAsia" w:eastAsia="宋体"/>
                <w:color w:val="auto"/>
                <w:lang w:val="en-US" w:eastAsia="zh-CN"/>
              </w:rPr>
            </w:pPr>
            <w:r>
              <w:rPr>
                <w:rFonts w:hint="eastAsia"/>
                <w:color w:val="auto"/>
                <w:lang w:val="en-US" w:eastAsia="zh-CN"/>
              </w:rPr>
              <w:t>6</w:t>
            </w:r>
          </w:p>
        </w:tc>
        <w:tc>
          <w:tcPr>
            <w:tcW w:w="565" w:type="pct"/>
            <w:vMerge w:val="restart"/>
            <w:vAlign w:val="center"/>
          </w:tcPr>
          <w:p w14:paraId="30B19347">
            <w:pPr>
              <w:pStyle w:val="47"/>
              <w:rPr>
                <w:rFonts w:hint="default"/>
                <w:color w:val="auto"/>
                <w:lang w:val="en-US" w:eastAsia="zh-CN"/>
              </w:rPr>
            </w:pPr>
            <w:r>
              <w:rPr>
                <w:rFonts w:hint="eastAsia"/>
                <w:color w:val="auto"/>
                <w:lang w:val="en-US" w:eastAsia="zh-CN"/>
              </w:rPr>
              <w:t>吊件</w:t>
            </w:r>
          </w:p>
        </w:tc>
        <w:tc>
          <w:tcPr>
            <w:tcW w:w="1051" w:type="pct"/>
            <w:vAlign w:val="center"/>
          </w:tcPr>
          <w:p w14:paraId="123D414C">
            <w:pPr>
              <w:pStyle w:val="47"/>
              <w:rPr>
                <w:rFonts w:hint="default"/>
                <w:color w:val="auto"/>
                <w:lang w:val="en-US" w:eastAsia="zh-CN"/>
              </w:rPr>
            </w:pPr>
            <w:r>
              <w:rPr>
                <w:rFonts w:hint="eastAsia"/>
                <w:color w:val="auto"/>
                <w:lang w:val="en-US" w:eastAsia="zh-CN"/>
              </w:rPr>
              <w:t>中心线位置</w:t>
            </w:r>
          </w:p>
        </w:tc>
        <w:tc>
          <w:tcPr>
            <w:tcW w:w="928" w:type="pct"/>
            <w:vAlign w:val="center"/>
          </w:tcPr>
          <w:p w14:paraId="09C4B46B">
            <w:pPr>
              <w:pStyle w:val="47"/>
              <w:rPr>
                <w:rFonts w:hint="default"/>
                <w:color w:val="auto"/>
                <w:lang w:val="en-US" w:eastAsia="zh-CN"/>
              </w:rPr>
            </w:pPr>
            <w:r>
              <w:rPr>
                <w:rFonts w:hint="eastAsia"/>
                <w:color w:val="auto"/>
                <w:lang w:val="en-US" w:eastAsia="zh-CN"/>
              </w:rPr>
              <w:t>3</w:t>
            </w:r>
          </w:p>
        </w:tc>
        <w:tc>
          <w:tcPr>
            <w:tcW w:w="2204" w:type="pct"/>
            <w:vAlign w:val="center"/>
          </w:tcPr>
          <w:p w14:paraId="5C28A14B">
            <w:pPr>
              <w:pStyle w:val="47"/>
              <w:rPr>
                <w:rFonts w:hint="default"/>
                <w:color w:val="auto"/>
                <w:sz w:val="21"/>
                <w:lang w:val="en-US" w:eastAsia="zh-CN"/>
              </w:rPr>
            </w:pPr>
            <w:r>
              <w:rPr>
                <w:rFonts w:hint="eastAsia"/>
                <w:color w:val="auto"/>
                <w:sz w:val="21"/>
                <w:lang w:val="en-US" w:eastAsia="zh-CN"/>
              </w:rPr>
              <w:t>尺量纵横两个方向的中心线位置，取较大值</w:t>
            </w:r>
          </w:p>
        </w:tc>
      </w:tr>
      <w:tr w14:paraId="232A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vAlign w:val="center"/>
          </w:tcPr>
          <w:p w14:paraId="076FC293">
            <w:pPr>
              <w:pStyle w:val="47"/>
              <w:rPr>
                <w:rFonts w:hint="eastAsia"/>
                <w:color w:val="auto"/>
              </w:rPr>
            </w:pPr>
          </w:p>
        </w:tc>
        <w:tc>
          <w:tcPr>
            <w:tcW w:w="565" w:type="pct"/>
            <w:vMerge w:val="continue"/>
            <w:vAlign w:val="center"/>
          </w:tcPr>
          <w:p w14:paraId="3EEDC275">
            <w:pPr>
              <w:pStyle w:val="47"/>
              <w:rPr>
                <w:rFonts w:hint="eastAsia"/>
                <w:color w:val="auto"/>
                <w:lang w:val="en-US" w:eastAsia="zh-CN"/>
              </w:rPr>
            </w:pPr>
          </w:p>
        </w:tc>
        <w:tc>
          <w:tcPr>
            <w:tcW w:w="1051" w:type="pct"/>
            <w:vAlign w:val="center"/>
          </w:tcPr>
          <w:p w14:paraId="7436E528">
            <w:pPr>
              <w:pStyle w:val="47"/>
              <w:rPr>
                <w:rFonts w:hint="default"/>
                <w:color w:val="auto"/>
                <w:lang w:val="en-US" w:eastAsia="zh-CN"/>
              </w:rPr>
            </w:pPr>
            <w:r>
              <w:rPr>
                <w:rFonts w:hint="eastAsia"/>
                <w:color w:val="auto"/>
                <w:lang w:val="en-US" w:eastAsia="zh-CN"/>
              </w:rPr>
              <w:t>外露长度</w:t>
            </w:r>
          </w:p>
        </w:tc>
        <w:tc>
          <w:tcPr>
            <w:tcW w:w="928" w:type="pct"/>
            <w:vAlign w:val="center"/>
          </w:tcPr>
          <w:p w14:paraId="0A695D79">
            <w:pPr>
              <w:pStyle w:val="47"/>
              <w:rPr>
                <w:rFonts w:hint="default"/>
                <w:color w:val="auto"/>
                <w:lang w:val="en-US" w:eastAsia="zh-CN"/>
              </w:rPr>
            </w:pPr>
            <w:r>
              <w:rPr>
                <w:rFonts w:hint="eastAsia"/>
                <w:color w:val="auto"/>
                <w:lang w:val="en-US" w:eastAsia="zh-CN"/>
              </w:rPr>
              <w:t>0, -5</w:t>
            </w:r>
          </w:p>
        </w:tc>
        <w:tc>
          <w:tcPr>
            <w:tcW w:w="2204" w:type="pct"/>
            <w:vAlign w:val="center"/>
          </w:tcPr>
          <w:p w14:paraId="2A0F2B7C">
            <w:pPr>
              <w:pStyle w:val="47"/>
              <w:rPr>
                <w:rFonts w:hint="default"/>
                <w:color w:val="auto"/>
                <w:sz w:val="21"/>
                <w:lang w:val="en-US" w:eastAsia="zh-CN"/>
              </w:rPr>
            </w:pPr>
            <w:r>
              <w:rPr>
                <w:rFonts w:hint="eastAsia"/>
                <w:color w:val="auto"/>
                <w:sz w:val="21"/>
                <w:lang w:val="en-US" w:eastAsia="zh-CN"/>
              </w:rPr>
              <w:t>尺量</w:t>
            </w:r>
          </w:p>
        </w:tc>
      </w:tr>
    </w:tbl>
    <w:p w14:paraId="56A170E1">
      <w:pPr>
        <w:pStyle w:val="49"/>
        <w:bidi w:val="0"/>
      </w:pPr>
    </w:p>
    <w:p w14:paraId="1872A877">
      <w:pPr>
        <w:pStyle w:val="42"/>
        <w:numPr>
          <w:ilvl w:val="2"/>
          <w:numId w:val="9"/>
        </w:numPr>
        <w:bidi w:val="0"/>
      </w:pPr>
      <w:r>
        <w:rPr>
          <w:rFonts w:hint="eastAsia"/>
        </w:rPr>
        <w:t>预制梁、预制柱在混凝土浇筑前，应进行隐蔽工程检查，检查项目应包括下列内容：</w:t>
      </w:r>
    </w:p>
    <w:p w14:paraId="09201814">
      <w:pPr>
        <w:pStyle w:val="43"/>
        <w:numPr>
          <w:ilvl w:val="3"/>
          <w:numId w:val="9"/>
        </w:numPr>
        <w:ind w:firstLine="480"/>
        <w:rPr>
          <w:color w:val="auto"/>
        </w:rPr>
      </w:pPr>
      <w:r>
        <w:rPr>
          <w:color w:val="auto"/>
        </w:rPr>
        <w:t>钢筋的牌号、规格、数量、位置、间距、</w:t>
      </w:r>
      <w:r>
        <w:rPr>
          <w:rFonts w:hint="eastAsia"/>
          <w:color w:val="auto"/>
        </w:rPr>
        <w:t>弯折角度及平直段长度</w:t>
      </w:r>
      <w:r>
        <w:rPr>
          <w:color w:val="auto"/>
        </w:rPr>
        <w:t>等；</w:t>
      </w:r>
    </w:p>
    <w:p w14:paraId="00D180D3">
      <w:pPr>
        <w:pStyle w:val="43"/>
        <w:numPr>
          <w:ilvl w:val="3"/>
          <w:numId w:val="9"/>
        </w:numPr>
        <w:ind w:firstLine="480"/>
        <w:rPr>
          <w:color w:val="auto"/>
        </w:rPr>
      </w:pPr>
      <w:r>
        <w:rPr>
          <w:rFonts w:hint="eastAsia"/>
          <w:color w:val="auto"/>
          <w:lang w:eastAsia="zh-CN"/>
        </w:rPr>
        <w:t>钢组件</w:t>
      </w:r>
      <w:r>
        <w:rPr>
          <w:rFonts w:hint="eastAsia"/>
          <w:color w:val="auto"/>
        </w:rPr>
        <w:t>的规格、数量、位置等；</w:t>
      </w:r>
    </w:p>
    <w:p w14:paraId="7927A0DA">
      <w:pPr>
        <w:pStyle w:val="43"/>
        <w:numPr>
          <w:ilvl w:val="3"/>
          <w:numId w:val="9"/>
        </w:numPr>
        <w:ind w:firstLine="480"/>
        <w:rPr>
          <w:color w:val="auto"/>
        </w:rPr>
      </w:pPr>
      <w:r>
        <w:rPr>
          <w:rFonts w:hint="eastAsia"/>
          <w:color w:val="auto"/>
          <w:lang w:val="en-US" w:eastAsia="zh-CN"/>
        </w:rPr>
        <w:t>预留连接杆的规格、数量、位置等；</w:t>
      </w:r>
    </w:p>
    <w:p w14:paraId="5D307DFC">
      <w:pPr>
        <w:pStyle w:val="43"/>
        <w:numPr>
          <w:ilvl w:val="3"/>
          <w:numId w:val="9"/>
        </w:numPr>
        <w:ind w:firstLine="480"/>
        <w:rPr>
          <w:color w:val="auto"/>
        </w:rPr>
      </w:pPr>
      <w:r>
        <w:rPr>
          <w:rFonts w:hint="eastAsia"/>
          <w:color w:val="auto"/>
        </w:rPr>
        <w:t>钢筋的连接方式、接头位置、接头质量、接头面积百分率、搭接长度等；</w:t>
      </w:r>
    </w:p>
    <w:p w14:paraId="6CCDB7F4">
      <w:pPr>
        <w:pStyle w:val="43"/>
        <w:numPr>
          <w:ilvl w:val="3"/>
          <w:numId w:val="9"/>
        </w:numPr>
        <w:ind w:firstLine="480"/>
        <w:rPr>
          <w:color w:val="auto"/>
        </w:rPr>
      </w:pPr>
      <w:r>
        <w:rPr>
          <w:rFonts w:hint="eastAsia"/>
          <w:color w:val="auto"/>
        </w:rPr>
        <w:t>钢筋与</w:t>
      </w:r>
      <w:r>
        <w:rPr>
          <w:rFonts w:hint="eastAsia"/>
          <w:color w:val="auto"/>
          <w:lang w:eastAsia="zh-CN"/>
        </w:rPr>
        <w:t>钢组件</w:t>
      </w:r>
      <w:r>
        <w:rPr>
          <w:rFonts w:hint="eastAsia"/>
          <w:color w:val="auto"/>
        </w:rPr>
        <w:t>的连接方式、连接质量等；</w:t>
      </w:r>
    </w:p>
    <w:p w14:paraId="6390CECC">
      <w:pPr>
        <w:pStyle w:val="43"/>
        <w:numPr>
          <w:ilvl w:val="3"/>
          <w:numId w:val="9"/>
        </w:numPr>
        <w:ind w:firstLine="480"/>
        <w:rPr>
          <w:color w:val="auto"/>
        </w:rPr>
      </w:pPr>
      <w:r>
        <w:rPr>
          <w:rFonts w:hint="eastAsia"/>
          <w:color w:val="auto"/>
        </w:rPr>
        <w:t>钢筋的混凝土保护层厚度；</w:t>
      </w:r>
    </w:p>
    <w:p w14:paraId="0E392724">
      <w:pPr>
        <w:pStyle w:val="43"/>
        <w:numPr>
          <w:ilvl w:val="3"/>
          <w:numId w:val="9"/>
        </w:numPr>
        <w:ind w:firstLine="480"/>
        <w:rPr>
          <w:rFonts w:hint="eastAsia"/>
        </w:rPr>
      </w:pPr>
      <w:r>
        <w:rPr>
          <w:rFonts w:hint="eastAsia"/>
          <w:color w:val="auto"/>
        </w:rPr>
        <w:t>预埋件、吊环、插筋的规格、数量、位置等。</w:t>
      </w:r>
    </w:p>
    <w:p w14:paraId="6A16B87F">
      <w:pPr>
        <w:pStyle w:val="42"/>
        <w:numPr>
          <w:ilvl w:val="2"/>
          <w:numId w:val="9"/>
        </w:numPr>
        <w:bidi w:val="0"/>
      </w:pPr>
      <w:r>
        <w:t>预制</w:t>
      </w:r>
      <w:r>
        <w:rPr>
          <w:rFonts w:hint="eastAsia"/>
        </w:rPr>
        <w:t>梁、预制柱</w:t>
      </w:r>
      <w:r>
        <w:t>的外观质量不宜有一般缺陷</w:t>
      </w:r>
      <w:r>
        <w:rPr>
          <w:rFonts w:hint="eastAsia"/>
        </w:rPr>
        <w:t>，</w:t>
      </w:r>
      <w:r>
        <w:t>对已出现的一般缺陷，应按技术方案进行处理，并应重新检验。</w:t>
      </w:r>
    </w:p>
    <w:p w14:paraId="00DF21CE">
      <w:pPr>
        <w:pStyle w:val="42"/>
        <w:numPr>
          <w:ilvl w:val="2"/>
          <w:numId w:val="9"/>
        </w:numPr>
        <w:bidi w:val="0"/>
      </w:pPr>
      <w:r>
        <w:rPr>
          <w:rFonts w:hint="eastAsia"/>
        </w:rPr>
        <w:t>预制梁、预制柱的尺寸允许偏差及检验方法应符合表</w:t>
      </w:r>
      <w:r>
        <w:rPr>
          <w:rFonts w:hint="eastAsia"/>
          <w:lang w:val="en-US" w:eastAsia="zh-CN"/>
        </w:rPr>
        <w:t>7.2.10</w:t>
      </w:r>
      <w:r>
        <w:rPr>
          <w:rFonts w:hint="eastAsia"/>
        </w:rPr>
        <w:t>的规定。</w:t>
      </w:r>
    </w:p>
    <w:p w14:paraId="0C8AAF94">
      <w:pPr>
        <w:pStyle w:val="45"/>
        <w:bidi w:val="0"/>
      </w:pPr>
      <w:r>
        <w:rPr>
          <w:rFonts w:hint="eastAsia"/>
        </w:rPr>
        <w:t>表</w:t>
      </w:r>
      <w:r>
        <w:rPr>
          <w:rFonts w:hint="eastAsia"/>
          <w:lang w:val="en-US" w:eastAsia="zh-CN"/>
        </w:rPr>
        <w:t>7.2.10</w:t>
      </w:r>
      <w:r>
        <w:rPr>
          <w:rFonts w:hint="eastAsia"/>
        </w:rPr>
        <w:t xml:space="preserve">  预制梁、预制柱的尺寸允许偏差及检验方法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934"/>
        <w:gridCol w:w="278"/>
        <w:gridCol w:w="1683"/>
        <w:gridCol w:w="2419"/>
        <w:gridCol w:w="2754"/>
      </w:tblGrid>
      <w:tr w14:paraId="3512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Align w:val="center"/>
          </w:tcPr>
          <w:p w14:paraId="39842743">
            <w:pPr>
              <w:pStyle w:val="47"/>
              <w:rPr>
                <w:color w:val="auto"/>
              </w:rPr>
            </w:pPr>
            <w:r>
              <w:rPr>
                <w:color w:val="auto"/>
              </w:rPr>
              <w:t>项次</w:t>
            </w:r>
          </w:p>
        </w:tc>
        <w:tc>
          <w:tcPr>
            <w:tcW w:w="1699" w:type="pct"/>
            <w:gridSpan w:val="3"/>
            <w:vAlign w:val="center"/>
          </w:tcPr>
          <w:p w14:paraId="5CE12579">
            <w:pPr>
              <w:pStyle w:val="47"/>
              <w:rPr>
                <w:color w:val="auto"/>
              </w:rPr>
            </w:pPr>
            <w:r>
              <w:rPr>
                <w:rFonts w:hint="eastAsia"/>
                <w:color w:val="auto"/>
              </w:rPr>
              <w:t>项目</w:t>
            </w:r>
          </w:p>
        </w:tc>
        <w:tc>
          <w:tcPr>
            <w:tcW w:w="1420" w:type="pct"/>
            <w:vAlign w:val="center"/>
          </w:tcPr>
          <w:p w14:paraId="11CEFFD8">
            <w:pPr>
              <w:pStyle w:val="47"/>
              <w:rPr>
                <w:color w:val="auto"/>
              </w:rPr>
            </w:pPr>
            <w:r>
              <w:rPr>
                <w:rFonts w:hint="eastAsia"/>
                <w:color w:val="auto"/>
              </w:rPr>
              <w:t>允许偏差（mm）</w:t>
            </w:r>
          </w:p>
        </w:tc>
        <w:tc>
          <w:tcPr>
            <w:tcW w:w="1616" w:type="pct"/>
            <w:vAlign w:val="center"/>
          </w:tcPr>
          <w:p w14:paraId="4312EF4A">
            <w:pPr>
              <w:pStyle w:val="47"/>
              <w:rPr>
                <w:color w:val="auto"/>
              </w:rPr>
            </w:pPr>
            <w:r>
              <w:rPr>
                <w:rFonts w:hint="eastAsia"/>
                <w:color w:val="auto"/>
              </w:rPr>
              <w:t>检验方法</w:t>
            </w:r>
          </w:p>
        </w:tc>
      </w:tr>
      <w:tr w14:paraId="4042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restart"/>
            <w:vAlign w:val="center"/>
          </w:tcPr>
          <w:p w14:paraId="61307511">
            <w:pPr>
              <w:pStyle w:val="47"/>
              <w:rPr>
                <w:color w:val="auto"/>
              </w:rPr>
            </w:pPr>
            <w:r>
              <w:rPr>
                <w:rFonts w:hint="eastAsia"/>
                <w:color w:val="auto"/>
              </w:rPr>
              <w:t>1</w:t>
            </w:r>
          </w:p>
        </w:tc>
        <w:tc>
          <w:tcPr>
            <w:tcW w:w="548" w:type="pct"/>
            <w:vMerge w:val="restart"/>
            <w:vAlign w:val="center"/>
          </w:tcPr>
          <w:p w14:paraId="1904DCBA">
            <w:pPr>
              <w:pStyle w:val="47"/>
              <w:rPr>
                <w:color w:val="auto"/>
              </w:rPr>
            </w:pPr>
            <w:r>
              <w:rPr>
                <w:rFonts w:hint="eastAsia"/>
                <w:color w:val="auto"/>
                <w:lang w:val="en-US" w:eastAsia="zh-CN"/>
              </w:rPr>
              <w:t>不含钢组件预制梁、柱</w:t>
            </w:r>
            <w:r>
              <w:rPr>
                <w:rFonts w:hint="eastAsia"/>
                <w:color w:val="auto"/>
              </w:rPr>
              <w:t>长度</w:t>
            </w:r>
          </w:p>
        </w:tc>
        <w:tc>
          <w:tcPr>
            <w:tcW w:w="1151" w:type="pct"/>
            <w:gridSpan w:val="2"/>
            <w:vAlign w:val="center"/>
          </w:tcPr>
          <w:p w14:paraId="6A1F9620">
            <w:pPr>
              <w:pStyle w:val="47"/>
              <w:rPr>
                <w:color w:val="auto"/>
              </w:rPr>
            </w:pPr>
            <w:r>
              <w:rPr>
                <w:rFonts w:hint="eastAsia"/>
                <w:color w:val="auto"/>
              </w:rPr>
              <w:t>&lt;12m</w:t>
            </w:r>
          </w:p>
        </w:tc>
        <w:tc>
          <w:tcPr>
            <w:tcW w:w="1420" w:type="pct"/>
            <w:vAlign w:val="center"/>
          </w:tcPr>
          <w:p w14:paraId="14915CD3">
            <w:pPr>
              <w:pStyle w:val="47"/>
              <w:rPr>
                <w:color w:val="auto"/>
              </w:rPr>
            </w:pPr>
            <w:r>
              <w:rPr>
                <w:color w:val="auto"/>
              </w:rPr>
              <w:t>±</w:t>
            </w:r>
            <w:r>
              <w:rPr>
                <w:rFonts w:hint="eastAsia"/>
                <w:color w:val="auto"/>
              </w:rPr>
              <w:t>5</w:t>
            </w:r>
          </w:p>
        </w:tc>
        <w:tc>
          <w:tcPr>
            <w:tcW w:w="1616" w:type="pct"/>
            <w:vMerge w:val="restart"/>
            <w:vAlign w:val="center"/>
          </w:tcPr>
          <w:p w14:paraId="708674F5">
            <w:pPr>
              <w:pStyle w:val="47"/>
              <w:rPr>
                <w:color w:val="auto"/>
              </w:rPr>
            </w:pPr>
            <w:r>
              <w:rPr>
                <w:rFonts w:hint="eastAsia"/>
                <w:color w:val="auto"/>
              </w:rPr>
              <w:t>尺量</w:t>
            </w:r>
          </w:p>
        </w:tc>
      </w:tr>
      <w:tr w14:paraId="6BE8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vAlign w:val="center"/>
          </w:tcPr>
          <w:p w14:paraId="27D79DC8">
            <w:pPr>
              <w:pStyle w:val="47"/>
              <w:rPr>
                <w:color w:val="auto"/>
              </w:rPr>
            </w:pPr>
          </w:p>
        </w:tc>
        <w:tc>
          <w:tcPr>
            <w:tcW w:w="548" w:type="pct"/>
            <w:vMerge w:val="continue"/>
            <w:vAlign w:val="center"/>
          </w:tcPr>
          <w:p w14:paraId="0A751DA6">
            <w:pPr>
              <w:pStyle w:val="47"/>
              <w:rPr>
                <w:color w:val="auto"/>
              </w:rPr>
            </w:pPr>
          </w:p>
        </w:tc>
        <w:tc>
          <w:tcPr>
            <w:tcW w:w="1151" w:type="pct"/>
            <w:gridSpan w:val="2"/>
            <w:vAlign w:val="center"/>
          </w:tcPr>
          <w:p w14:paraId="5AD0F13A">
            <w:pPr>
              <w:pStyle w:val="47"/>
              <w:rPr>
                <w:color w:val="auto"/>
              </w:rPr>
            </w:pPr>
            <w:r>
              <w:rPr>
                <w:rFonts w:hint="eastAsia" w:ascii="宋体" w:hAnsi="宋体" w:cs="宋体"/>
                <w:color w:val="auto"/>
              </w:rPr>
              <w:t>≥</w:t>
            </w:r>
            <w:r>
              <w:rPr>
                <w:rFonts w:hint="eastAsia"/>
                <w:color w:val="auto"/>
              </w:rPr>
              <w:t>12m</w:t>
            </w:r>
          </w:p>
        </w:tc>
        <w:tc>
          <w:tcPr>
            <w:tcW w:w="1420" w:type="pct"/>
            <w:vAlign w:val="center"/>
          </w:tcPr>
          <w:p w14:paraId="2B108B26">
            <w:pPr>
              <w:pStyle w:val="47"/>
              <w:rPr>
                <w:color w:val="auto"/>
              </w:rPr>
            </w:pPr>
            <w:r>
              <w:rPr>
                <w:color w:val="auto"/>
              </w:rPr>
              <w:t>±</w:t>
            </w:r>
            <w:r>
              <w:rPr>
                <w:rFonts w:hint="eastAsia"/>
                <w:color w:val="auto"/>
              </w:rPr>
              <w:t>10</w:t>
            </w:r>
          </w:p>
        </w:tc>
        <w:tc>
          <w:tcPr>
            <w:tcW w:w="1616" w:type="pct"/>
            <w:vMerge w:val="continue"/>
            <w:vAlign w:val="center"/>
          </w:tcPr>
          <w:p w14:paraId="6A1042C5">
            <w:pPr>
              <w:pStyle w:val="47"/>
              <w:rPr>
                <w:color w:val="auto"/>
              </w:rPr>
            </w:pPr>
          </w:p>
        </w:tc>
      </w:tr>
      <w:tr w14:paraId="217C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Align w:val="center"/>
          </w:tcPr>
          <w:p w14:paraId="44BCA1A3">
            <w:pPr>
              <w:pStyle w:val="47"/>
              <w:rPr>
                <w:rFonts w:hint="eastAsia" w:eastAsia="宋体"/>
                <w:color w:val="auto"/>
                <w:lang w:eastAsia="zh-CN"/>
              </w:rPr>
            </w:pPr>
            <w:r>
              <w:rPr>
                <w:rFonts w:hint="eastAsia"/>
                <w:color w:val="auto"/>
                <w:lang w:val="en-US" w:eastAsia="zh-CN"/>
              </w:rPr>
              <w:t>2</w:t>
            </w:r>
          </w:p>
        </w:tc>
        <w:tc>
          <w:tcPr>
            <w:tcW w:w="1699" w:type="pct"/>
            <w:gridSpan w:val="3"/>
            <w:vAlign w:val="center"/>
          </w:tcPr>
          <w:p w14:paraId="5B684924">
            <w:pPr>
              <w:pStyle w:val="47"/>
              <w:rPr>
                <w:color w:val="auto"/>
              </w:rPr>
            </w:pPr>
            <w:r>
              <w:rPr>
                <w:rFonts w:hint="eastAsia"/>
                <w:color w:val="auto"/>
                <w:lang w:val="en-US" w:eastAsia="zh-CN"/>
              </w:rPr>
              <w:t>含钢组件</w:t>
            </w:r>
            <w:r>
              <w:rPr>
                <w:rFonts w:hint="eastAsia"/>
                <w:color w:val="auto"/>
              </w:rPr>
              <w:t>预制</w:t>
            </w:r>
            <w:r>
              <w:rPr>
                <w:rFonts w:hint="eastAsia"/>
                <w:color w:val="auto"/>
                <w:lang w:val="en-US" w:eastAsia="zh-CN"/>
              </w:rPr>
              <w:t>梁、</w:t>
            </w:r>
            <w:r>
              <w:rPr>
                <w:rFonts w:hint="eastAsia"/>
                <w:color w:val="auto"/>
              </w:rPr>
              <w:t>柱长度</w:t>
            </w:r>
          </w:p>
        </w:tc>
        <w:tc>
          <w:tcPr>
            <w:tcW w:w="1420" w:type="pct"/>
            <w:vAlign w:val="center"/>
          </w:tcPr>
          <w:p w14:paraId="2BDD361C">
            <w:pPr>
              <w:pStyle w:val="47"/>
              <w:rPr>
                <w:color w:val="auto"/>
              </w:rPr>
            </w:pPr>
            <w:r>
              <w:rPr>
                <w:color w:val="auto"/>
              </w:rPr>
              <w:t>±</w:t>
            </w:r>
            <w:r>
              <w:rPr>
                <w:rFonts w:hint="eastAsia"/>
                <w:color w:val="auto"/>
              </w:rPr>
              <w:t>5</w:t>
            </w:r>
          </w:p>
        </w:tc>
        <w:tc>
          <w:tcPr>
            <w:tcW w:w="1616" w:type="pct"/>
            <w:vAlign w:val="center"/>
          </w:tcPr>
          <w:p w14:paraId="00928246">
            <w:pPr>
              <w:pStyle w:val="47"/>
              <w:rPr>
                <w:color w:val="auto"/>
              </w:rPr>
            </w:pPr>
            <w:r>
              <w:rPr>
                <w:rFonts w:hint="eastAsia"/>
                <w:color w:val="auto"/>
              </w:rPr>
              <w:t>尺量</w:t>
            </w:r>
          </w:p>
        </w:tc>
      </w:tr>
      <w:tr w14:paraId="3C7E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restart"/>
            <w:vAlign w:val="center"/>
          </w:tcPr>
          <w:p w14:paraId="6811AF0A">
            <w:pPr>
              <w:pStyle w:val="47"/>
              <w:rPr>
                <w:rFonts w:hint="default" w:eastAsia="宋体"/>
                <w:color w:val="auto"/>
                <w:lang w:val="en-US" w:eastAsia="zh-CN"/>
              </w:rPr>
            </w:pPr>
            <w:r>
              <w:rPr>
                <w:rFonts w:hint="eastAsia"/>
                <w:color w:val="auto"/>
                <w:lang w:val="en-US" w:eastAsia="zh-CN"/>
              </w:rPr>
              <w:t>3</w:t>
            </w:r>
          </w:p>
        </w:tc>
        <w:tc>
          <w:tcPr>
            <w:tcW w:w="711" w:type="pct"/>
            <w:gridSpan w:val="2"/>
            <w:vMerge w:val="restart"/>
            <w:vAlign w:val="center"/>
          </w:tcPr>
          <w:p w14:paraId="1BA9EF09">
            <w:pPr>
              <w:pStyle w:val="47"/>
              <w:rPr>
                <w:color w:val="auto"/>
              </w:rPr>
            </w:pPr>
            <w:r>
              <w:rPr>
                <w:color w:val="auto"/>
              </w:rPr>
              <w:t>混凝土</w:t>
            </w:r>
            <w:r>
              <w:rPr>
                <w:rFonts w:hint="eastAsia"/>
                <w:color w:val="auto"/>
              </w:rPr>
              <w:t>梁身或柱身</w:t>
            </w:r>
          </w:p>
        </w:tc>
        <w:tc>
          <w:tcPr>
            <w:tcW w:w="988" w:type="pct"/>
            <w:vAlign w:val="center"/>
          </w:tcPr>
          <w:p w14:paraId="0DEA3229">
            <w:pPr>
              <w:pStyle w:val="47"/>
              <w:rPr>
                <w:color w:val="auto"/>
              </w:rPr>
            </w:pPr>
            <w:r>
              <w:rPr>
                <w:color w:val="auto"/>
              </w:rPr>
              <w:t>截面宽度、高度</w:t>
            </w:r>
          </w:p>
        </w:tc>
        <w:tc>
          <w:tcPr>
            <w:tcW w:w="1420" w:type="pct"/>
            <w:vAlign w:val="center"/>
          </w:tcPr>
          <w:p w14:paraId="2594A8EC">
            <w:pPr>
              <w:pStyle w:val="47"/>
              <w:rPr>
                <w:color w:val="auto"/>
              </w:rPr>
            </w:pPr>
            <w:r>
              <w:rPr>
                <w:color w:val="auto"/>
              </w:rPr>
              <w:t>±</w:t>
            </w:r>
            <w:r>
              <w:rPr>
                <w:rFonts w:hint="eastAsia"/>
                <w:color w:val="auto"/>
              </w:rPr>
              <w:t>5</w:t>
            </w:r>
          </w:p>
        </w:tc>
        <w:tc>
          <w:tcPr>
            <w:tcW w:w="1616" w:type="pct"/>
            <w:vAlign w:val="center"/>
          </w:tcPr>
          <w:p w14:paraId="3A0B0AC6">
            <w:pPr>
              <w:pStyle w:val="47"/>
              <w:rPr>
                <w:color w:val="auto"/>
              </w:rPr>
            </w:pPr>
            <w:r>
              <w:rPr>
                <w:color w:val="auto"/>
              </w:rPr>
              <w:t>尺量</w:t>
            </w:r>
          </w:p>
        </w:tc>
      </w:tr>
      <w:tr w14:paraId="6E49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vAlign w:val="center"/>
          </w:tcPr>
          <w:p w14:paraId="01AC11B9">
            <w:pPr>
              <w:pStyle w:val="47"/>
              <w:rPr>
                <w:rFonts w:hint="default" w:eastAsia="宋体"/>
                <w:color w:val="auto"/>
                <w:lang w:val="en-US" w:eastAsia="zh-CN"/>
              </w:rPr>
            </w:pPr>
          </w:p>
        </w:tc>
        <w:tc>
          <w:tcPr>
            <w:tcW w:w="711" w:type="pct"/>
            <w:gridSpan w:val="2"/>
            <w:vMerge w:val="continue"/>
            <w:vAlign w:val="center"/>
          </w:tcPr>
          <w:p w14:paraId="7742F95B">
            <w:pPr>
              <w:pStyle w:val="47"/>
              <w:rPr>
                <w:color w:val="auto"/>
              </w:rPr>
            </w:pPr>
          </w:p>
        </w:tc>
        <w:tc>
          <w:tcPr>
            <w:tcW w:w="988" w:type="pct"/>
            <w:vAlign w:val="center"/>
          </w:tcPr>
          <w:p w14:paraId="1D1ED4F4">
            <w:pPr>
              <w:pStyle w:val="47"/>
              <w:rPr>
                <w:color w:val="auto"/>
              </w:rPr>
            </w:pPr>
            <w:r>
              <w:rPr>
                <w:rFonts w:hint="eastAsia"/>
                <w:color w:val="auto"/>
              </w:rPr>
              <w:t>表面平整度</w:t>
            </w:r>
          </w:p>
        </w:tc>
        <w:tc>
          <w:tcPr>
            <w:tcW w:w="1420" w:type="pct"/>
            <w:vAlign w:val="center"/>
          </w:tcPr>
          <w:p w14:paraId="56AD6B32">
            <w:pPr>
              <w:pStyle w:val="47"/>
              <w:rPr>
                <w:color w:val="auto"/>
              </w:rPr>
            </w:pPr>
            <w:r>
              <w:rPr>
                <w:rFonts w:hint="eastAsia"/>
                <w:color w:val="auto"/>
              </w:rPr>
              <w:t>3</w:t>
            </w:r>
          </w:p>
        </w:tc>
        <w:tc>
          <w:tcPr>
            <w:tcW w:w="1616" w:type="pct"/>
            <w:vAlign w:val="center"/>
          </w:tcPr>
          <w:p w14:paraId="7DF00530">
            <w:pPr>
              <w:pStyle w:val="47"/>
              <w:rPr>
                <w:color w:val="auto"/>
              </w:rPr>
            </w:pPr>
            <w:r>
              <w:rPr>
                <w:color w:val="auto"/>
              </w:rPr>
              <w:t>靠尺、</w:t>
            </w:r>
            <w:r>
              <w:rPr>
                <w:rFonts w:hint="eastAsia"/>
                <w:color w:val="auto"/>
              </w:rPr>
              <w:t>2m</w:t>
            </w:r>
            <w:r>
              <w:rPr>
                <w:color w:val="auto"/>
              </w:rPr>
              <w:t>塞尺量测</w:t>
            </w:r>
          </w:p>
        </w:tc>
      </w:tr>
      <w:tr w14:paraId="7057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vAlign w:val="center"/>
          </w:tcPr>
          <w:p w14:paraId="1EF43D0D">
            <w:pPr>
              <w:pStyle w:val="47"/>
              <w:rPr>
                <w:rFonts w:hint="default" w:eastAsia="宋体"/>
                <w:color w:val="auto"/>
                <w:lang w:val="en-US" w:eastAsia="zh-CN"/>
              </w:rPr>
            </w:pPr>
          </w:p>
        </w:tc>
        <w:tc>
          <w:tcPr>
            <w:tcW w:w="711" w:type="pct"/>
            <w:gridSpan w:val="2"/>
            <w:vMerge w:val="continue"/>
            <w:vAlign w:val="center"/>
          </w:tcPr>
          <w:p w14:paraId="7CC3681E">
            <w:pPr>
              <w:pStyle w:val="47"/>
              <w:rPr>
                <w:color w:val="auto"/>
              </w:rPr>
            </w:pPr>
          </w:p>
        </w:tc>
        <w:tc>
          <w:tcPr>
            <w:tcW w:w="988" w:type="pct"/>
            <w:vAlign w:val="center"/>
          </w:tcPr>
          <w:p w14:paraId="5C30660A">
            <w:pPr>
              <w:pStyle w:val="47"/>
              <w:rPr>
                <w:color w:val="auto"/>
              </w:rPr>
            </w:pPr>
            <w:r>
              <w:rPr>
                <w:rFonts w:hint="eastAsia"/>
                <w:color w:val="auto"/>
              </w:rPr>
              <w:t>侧向弯曲</w:t>
            </w:r>
          </w:p>
        </w:tc>
        <w:tc>
          <w:tcPr>
            <w:tcW w:w="1420" w:type="pct"/>
            <w:vAlign w:val="center"/>
          </w:tcPr>
          <w:p w14:paraId="5956CB98">
            <w:pPr>
              <w:pStyle w:val="47"/>
              <w:rPr>
                <w:color w:val="auto"/>
              </w:rPr>
            </w:pPr>
            <w:r>
              <w:rPr>
                <w:rFonts w:hint="eastAsia"/>
                <w:color w:val="auto"/>
              </w:rPr>
              <w:t>长度的1/750且</w:t>
            </w:r>
            <w:r>
              <w:rPr>
                <w:rFonts w:hint="eastAsia" w:ascii="宋体" w:hAnsi="宋体" w:cs="宋体"/>
                <w:color w:val="auto"/>
              </w:rPr>
              <w:t>不大于</w:t>
            </w:r>
            <w:r>
              <w:rPr>
                <w:rFonts w:hint="eastAsia"/>
                <w:color w:val="auto"/>
              </w:rPr>
              <w:t>20</w:t>
            </w:r>
          </w:p>
        </w:tc>
        <w:tc>
          <w:tcPr>
            <w:tcW w:w="1616" w:type="pct"/>
            <w:vAlign w:val="center"/>
          </w:tcPr>
          <w:p w14:paraId="4A0A2732">
            <w:pPr>
              <w:pStyle w:val="47"/>
              <w:rPr>
                <w:color w:val="auto"/>
              </w:rPr>
            </w:pPr>
            <w:r>
              <w:rPr>
                <w:color w:val="auto"/>
              </w:rPr>
              <w:t>拉线，尺量最大弯曲处</w:t>
            </w:r>
          </w:p>
        </w:tc>
      </w:tr>
      <w:tr w14:paraId="40EF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Align w:val="center"/>
          </w:tcPr>
          <w:p w14:paraId="5AE85058">
            <w:pPr>
              <w:pStyle w:val="47"/>
              <w:rPr>
                <w:rFonts w:hint="default"/>
                <w:color w:val="auto"/>
                <w:lang w:val="en-US" w:eastAsia="zh-CN"/>
              </w:rPr>
            </w:pPr>
            <w:r>
              <w:rPr>
                <w:rFonts w:hint="eastAsia"/>
                <w:color w:val="auto"/>
                <w:lang w:val="en-US" w:eastAsia="zh-CN"/>
              </w:rPr>
              <w:t>4</w:t>
            </w:r>
          </w:p>
        </w:tc>
        <w:tc>
          <w:tcPr>
            <w:tcW w:w="1699" w:type="pct"/>
            <w:gridSpan w:val="3"/>
            <w:vAlign w:val="center"/>
          </w:tcPr>
          <w:p w14:paraId="242CAC82">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梁端钢组件轴线偏移</w:t>
            </w:r>
          </w:p>
        </w:tc>
        <w:tc>
          <w:tcPr>
            <w:tcW w:w="1420" w:type="pct"/>
            <w:vAlign w:val="center"/>
          </w:tcPr>
          <w:p w14:paraId="2AEE0F10">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3</w:t>
            </w:r>
          </w:p>
        </w:tc>
        <w:tc>
          <w:tcPr>
            <w:tcW w:w="1616" w:type="pct"/>
            <w:vAlign w:val="center"/>
          </w:tcPr>
          <w:p w14:paraId="16C5ED50">
            <w:pPr>
              <w:pStyle w:val="47"/>
              <w:rPr>
                <w:rFonts w:hint="eastAsia" w:eastAsia="宋体"/>
                <w:color w:val="auto"/>
                <w:lang w:val="en-US" w:eastAsia="zh-CN"/>
              </w:rPr>
            </w:pPr>
            <w:r>
              <w:rPr>
                <w:rFonts w:hint="eastAsia"/>
                <w:color w:val="auto"/>
                <w:lang w:val="en-US" w:eastAsia="zh-CN"/>
              </w:rPr>
              <w:t>尺量</w:t>
            </w:r>
          </w:p>
        </w:tc>
      </w:tr>
      <w:tr w14:paraId="64F2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Align w:val="center"/>
          </w:tcPr>
          <w:p w14:paraId="4E9B86AB">
            <w:pPr>
              <w:pStyle w:val="47"/>
              <w:rPr>
                <w:rFonts w:hint="default"/>
                <w:color w:val="auto"/>
                <w:lang w:val="en-US" w:eastAsia="zh-CN"/>
              </w:rPr>
            </w:pPr>
            <w:r>
              <w:rPr>
                <w:rFonts w:hint="eastAsia"/>
                <w:color w:val="auto"/>
                <w:lang w:val="en-US" w:eastAsia="zh-CN"/>
              </w:rPr>
              <w:t>5</w:t>
            </w:r>
          </w:p>
        </w:tc>
        <w:tc>
          <w:tcPr>
            <w:tcW w:w="1699" w:type="pct"/>
            <w:gridSpan w:val="3"/>
            <w:vAlign w:val="center"/>
          </w:tcPr>
          <w:p w14:paraId="69E19E14">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柱端钢组件螺栓孔中心线位置偏移</w:t>
            </w:r>
          </w:p>
        </w:tc>
        <w:tc>
          <w:tcPr>
            <w:tcW w:w="1420" w:type="pct"/>
            <w:vAlign w:val="center"/>
          </w:tcPr>
          <w:p w14:paraId="532C31B4">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3</w:t>
            </w:r>
          </w:p>
        </w:tc>
        <w:tc>
          <w:tcPr>
            <w:tcW w:w="1616" w:type="pct"/>
            <w:vAlign w:val="center"/>
          </w:tcPr>
          <w:p w14:paraId="5B77611B">
            <w:pPr>
              <w:pStyle w:val="47"/>
              <w:rPr>
                <w:color w:val="auto"/>
              </w:rPr>
            </w:pPr>
            <w:r>
              <w:rPr>
                <w:rFonts w:hint="eastAsia"/>
                <w:color w:val="auto"/>
              </w:rPr>
              <w:t>尺量</w:t>
            </w:r>
            <w:r>
              <w:rPr>
                <w:rFonts w:hint="eastAsia"/>
                <w:color w:val="auto"/>
                <w:lang w:val="en-US" w:eastAsia="zh-CN"/>
              </w:rPr>
              <w:t>纵横两个方向，取较大值</w:t>
            </w:r>
          </w:p>
        </w:tc>
      </w:tr>
      <w:tr w14:paraId="2914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Align w:val="center"/>
          </w:tcPr>
          <w:p w14:paraId="7936E793">
            <w:pPr>
              <w:pStyle w:val="47"/>
              <w:rPr>
                <w:rFonts w:hint="default"/>
                <w:color w:val="auto"/>
                <w:lang w:val="en-US" w:eastAsia="zh-CN"/>
              </w:rPr>
            </w:pPr>
            <w:r>
              <w:rPr>
                <w:rFonts w:hint="eastAsia"/>
                <w:color w:val="auto"/>
                <w:lang w:val="en-US" w:eastAsia="zh-CN"/>
              </w:rPr>
              <w:t>6</w:t>
            </w:r>
          </w:p>
        </w:tc>
        <w:tc>
          <w:tcPr>
            <w:tcW w:w="1699" w:type="pct"/>
            <w:gridSpan w:val="3"/>
            <w:vAlign w:val="center"/>
          </w:tcPr>
          <w:p w14:paraId="650C489F">
            <w:pPr>
              <w:pStyle w:val="47"/>
              <w:rPr>
                <w:rFonts w:hint="default"/>
                <w:color w:val="auto"/>
                <w:lang w:val="en-US"/>
              </w:rPr>
            </w:pPr>
            <w:r>
              <w:rPr>
                <w:rFonts w:hint="eastAsia"/>
                <w:color w:val="auto"/>
                <w:lang w:val="en-US" w:eastAsia="zh-CN"/>
              </w:rPr>
              <w:t>柱侧钢组件外伸长度</w:t>
            </w:r>
          </w:p>
        </w:tc>
        <w:tc>
          <w:tcPr>
            <w:tcW w:w="1420" w:type="pct"/>
            <w:vAlign w:val="center"/>
          </w:tcPr>
          <w:p w14:paraId="14210CA2">
            <w:pPr>
              <w:pStyle w:val="47"/>
              <w:rPr>
                <w:rFonts w:hint="eastAsia" w:eastAsia="宋体"/>
                <w:color w:val="auto"/>
                <w:lang w:val="en-US" w:eastAsia="zh-CN"/>
              </w:rPr>
            </w:pPr>
            <w:r>
              <w:rPr>
                <w:rFonts w:hint="eastAsia"/>
                <w:color w:val="auto"/>
                <w:lang w:val="en-US" w:eastAsia="zh-CN"/>
              </w:rPr>
              <w:t>2</w:t>
            </w:r>
          </w:p>
        </w:tc>
        <w:tc>
          <w:tcPr>
            <w:tcW w:w="1616" w:type="pct"/>
            <w:vAlign w:val="center"/>
          </w:tcPr>
          <w:p w14:paraId="71D9C7FB">
            <w:pPr>
              <w:pStyle w:val="47"/>
              <w:rPr>
                <w:rFonts w:hint="eastAsia" w:eastAsia="宋体"/>
                <w:color w:val="auto"/>
                <w:lang w:val="en-US" w:eastAsia="zh-CN"/>
              </w:rPr>
            </w:pPr>
            <w:r>
              <w:rPr>
                <w:rFonts w:hint="eastAsia"/>
                <w:color w:val="auto"/>
                <w:lang w:val="en-US" w:eastAsia="zh-CN"/>
              </w:rPr>
              <w:t>尺量</w:t>
            </w:r>
          </w:p>
        </w:tc>
      </w:tr>
      <w:tr w14:paraId="36F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restart"/>
            <w:vAlign w:val="center"/>
          </w:tcPr>
          <w:p w14:paraId="4B84DFEB">
            <w:pPr>
              <w:pStyle w:val="47"/>
              <w:rPr>
                <w:rFonts w:hint="default"/>
                <w:color w:val="auto"/>
                <w:lang w:val="en-US" w:eastAsia="zh-CN"/>
              </w:rPr>
            </w:pPr>
            <w:r>
              <w:rPr>
                <w:rFonts w:hint="eastAsia"/>
                <w:color w:val="auto"/>
                <w:lang w:val="en-US" w:eastAsia="zh-CN"/>
              </w:rPr>
              <w:t>7</w:t>
            </w:r>
          </w:p>
        </w:tc>
        <w:tc>
          <w:tcPr>
            <w:tcW w:w="711" w:type="pct"/>
            <w:gridSpan w:val="2"/>
            <w:vMerge w:val="restart"/>
            <w:vAlign w:val="center"/>
          </w:tcPr>
          <w:p w14:paraId="16FCE5A1">
            <w:pPr>
              <w:pStyle w:val="47"/>
              <w:rPr>
                <w:rFonts w:hint="default" w:eastAsia="宋体"/>
                <w:color w:val="auto"/>
                <w:lang w:val="en-US" w:eastAsia="zh-CN"/>
              </w:rPr>
            </w:pPr>
            <w:r>
              <w:rPr>
                <w:rFonts w:hint="eastAsia"/>
                <w:color w:val="auto"/>
                <w:lang w:val="en-US" w:eastAsia="zh-CN"/>
              </w:rPr>
              <w:t>预留连接杆</w:t>
            </w:r>
          </w:p>
        </w:tc>
        <w:tc>
          <w:tcPr>
            <w:tcW w:w="988" w:type="pct"/>
            <w:vAlign w:val="center"/>
          </w:tcPr>
          <w:p w14:paraId="416D52E6">
            <w:pPr>
              <w:pStyle w:val="47"/>
              <w:rPr>
                <w:rFonts w:hint="default" w:eastAsia="宋体"/>
                <w:color w:val="auto"/>
                <w:lang w:val="en-US" w:eastAsia="zh-CN"/>
              </w:rPr>
            </w:pPr>
            <w:r>
              <w:rPr>
                <w:rFonts w:hint="eastAsia"/>
                <w:color w:val="auto"/>
                <w:lang w:val="en-US" w:eastAsia="zh-CN"/>
              </w:rPr>
              <w:t>中心线位置</w:t>
            </w:r>
          </w:p>
        </w:tc>
        <w:tc>
          <w:tcPr>
            <w:tcW w:w="1420" w:type="pct"/>
            <w:vAlign w:val="center"/>
          </w:tcPr>
          <w:p w14:paraId="6181A8E2">
            <w:pPr>
              <w:pStyle w:val="47"/>
              <w:rPr>
                <w:rFonts w:hint="eastAsia" w:eastAsia="宋体"/>
                <w:color w:val="auto"/>
                <w:lang w:val="en-US" w:eastAsia="zh-CN"/>
              </w:rPr>
            </w:pPr>
            <w:r>
              <w:rPr>
                <w:rFonts w:hint="eastAsia"/>
                <w:color w:val="auto"/>
                <w:lang w:val="en-US" w:eastAsia="zh-CN"/>
              </w:rPr>
              <w:t>3</w:t>
            </w:r>
          </w:p>
        </w:tc>
        <w:tc>
          <w:tcPr>
            <w:tcW w:w="1616" w:type="pct"/>
            <w:vAlign w:val="center"/>
          </w:tcPr>
          <w:p w14:paraId="241FF4E5">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sz w:val="21"/>
              </w:rPr>
              <w:t>尺量</w:t>
            </w:r>
            <w:r>
              <w:rPr>
                <w:rFonts w:hint="eastAsia"/>
                <w:color w:val="auto"/>
                <w:sz w:val="21"/>
                <w:lang w:val="en-US" w:eastAsia="zh-CN"/>
              </w:rPr>
              <w:t>纵横两个方向的中心线位置，取较大值</w:t>
            </w:r>
          </w:p>
        </w:tc>
      </w:tr>
      <w:tr w14:paraId="3EDF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vAlign w:val="center"/>
          </w:tcPr>
          <w:p w14:paraId="4635BD30">
            <w:pPr>
              <w:pStyle w:val="47"/>
              <w:rPr>
                <w:rFonts w:hint="eastAsia"/>
                <w:color w:val="auto"/>
                <w:lang w:val="en-US" w:eastAsia="zh-CN"/>
              </w:rPr>
            </w:pPr>
          </w:p>
        </w:tc>
        <w:tc>
          <w:tcPr>
            <w:tcW w:w="711" w:type="pct"/>
            <w:gridSpan w:val="2"/>
            <w:vMerge w:val="continue"/>
            <w:vAlign w:val="center"/>
          </w:tcPr>
          <w:p w14:paraId="7DEA6D43">
            <w:pPr>
              <w:pStyle w:val="47"/>
              <w:rPr>
                <w:color w:val="auto"/>
              </w:rPr>
            </w:pPr>
          </w:p>
        </w:tc>
        <w:tc>
          <w:tcPr>
            <w:tcW w:w="988" w:type="pct"/>
            <w:vAlign w:val="center"/>
          </w:tcPr>
          <w:p w14:paraId="7C785BF7">
            <w:pPr>
              <w:pStyle w:val="47"/>
              <w:rPr>
                <w:rFonts w:hint="default" w:eastAsia="宋体"/>
                <w:color w:val="auto"/>
                <w:lang w:val="en-US" w:eastAsia="zh-CN"/>
              </w:rPr>
            </w:pPr>
            <w:r>
              <w:rPr>
                <w:rFonts w:hint="eastAsia"/>
                <w:color w:val="auto"/>
                <w:lang w:val="en-US" w:eastAsia="zh-CN"/>
              </w:rPr>
              <w:t>外露长度</w:t>
            </w:r>
          </w:p>
        </w:tc>
        <w:tc>
          <w:tcPr>
            <w:tcW w:w="1420" w:type="pct"/>
            <w:vAlign w:val="center"/>
          </w:tcPr>
          <w:p w14:paraId="71E128D6">
            <w:pPr>
              <w:pStyle w:val="47"/>
              <w:rPr>
                <w:rFonts w:hint="default" w:eastAsia="宋体"/>
                <w:color w:val="auto"/>
                <w:lang w:val="en-US" w:eastAsia="zh-CN"/>
              </w:rPr>
            </w:pPr>
            <w:r>
              <w:rPr>
                <w:rFonts w:hint="eastAsia"/>
                <w:color w:val="auto"/>
                <w:lang w:val="en-US" w:eastAsia="zh-CN"/>
              </w:rPr>
              <w:t>+8, -3</w:t>
            </w:r>
          </w:p>
        </w:tc>
        <w:tc>
          <w:tcPr>
            <w:tcW w:w="1616" w:type="pct"/>
            <w:vAlign w:val="center"/>
          </w:tcPr>
          <w:p w14:paraId="233536AC">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尺量</w:t>
            </w:r>
          </w:p>
        </w:tc>
      </w:tr>
      <w:tr w14:paraId="25E6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restart"/>
            <w:vAlign w:val="center"/>
          </w:tcPr>
          <w:p w14:paraId="1D1AC713">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8</w:t>
            </w:r>
          </w:p>
        </w:tc>
        <w:tc>
          <w:tcPr>
            <w:tcW w:w="711" w:type="pct"/>
            <w:gridSpan w:val="2"/>
            <w:vMerge w:val="restart"/>
            <w:vAlign w:val="center"/>
          </w:tcPr>
          <w:p w14:paraId="6E88E0B1">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预埋钢板</w:t>
            </w:r>
          </w:p>
        </w:tc>
        <w:tc>
          <w:tcPr>
            <w:tcW w:w="988" w:type="pct"/>
            <w:vAlign w:val="center"/>
          </w:tcPr>
          <w:p w14:paraId="1EE721EF">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中心线位置</w:t>
            </w:r>
          </w:p>
        </w:tc>
        <w:tc>
          <w:tcPr>
            <w:tcW w:w="1420" w:type="pct"/>
            <w:vAlign w:val="center"/>
          </w:tcPr>
          <w:p w14:paraId="4DE586E3">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5</w:t>
            </w:r>
          </w:p>
        </w:tc>
        <w:tc>
          <w:tcPr>
            <w:tcW w:w="1616" w:type="pct"/>
            <w:vAlign w:val="center"/>
          </w:tcPr>
          <w:p w14:paraId="24AA679D">
            <w:pPr>
              <w:spacing w:line="240" w:lineRule="auto"/>
              <w:ind w:firstLine="0" w:firstLineChars="0"/>
              <w:jc w:val="center"/>
              <w:rPr>
                <w:rFonts w:hint="eastAsia" w:ascii="Times New Roman" w:hAnsi="Times New Roman" w:eastAsia="宋体" w:cs="Times New Roman"/>
                <w:color w:val="auto"/>
                <w:kern w:val="2"/>
                <w:sz w:val="21"/>
                <w:lang w:val="en-US" w:eastAsia="zh-CN" w:bidi="ar-SA"/>
              </w:rPr>
            </w:pPr>
            <w:r>
              <w:rPr>
                <w:rFonts w:hint="eastAsia"/>
                <w:color w:val="auto"/>
                <w:sz w:val="21"/>
              </w:rPr>
              <w:t>尺量</w:t>
            </w:r>
            <w:r>
              <w:rPr>
                <w:rFonts w:hint="eastAsia"/>
                <w:color w:val="auto"/>
                <w:sz w:val="21"/>
                <w:lang w:val="en-US" w:eastAsia="zh-CN"/>
              </w:rPr>
              <w:t>纵横两个方向的中心线位置，取较大值</w:t>
            </w:r>
          </w:p>
        </w:tc>
      </w:tr>
      <w:tr w14:paraId="5D26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vAlign w:val="center"/>
          </w:tcPr>
          <w:p w14:paraId="4E9520C7">
            <w:pPr>
              <w:pStyle w:val="47"/>
              <w:ind w:firstLine="0" w:firstLineChars="0"/>
              <w:rPr>
                <w:rFonts w:hint="eastAsia" w:ascii="Times New Roman" w:hAnsi="Times New Roman" w:eastAsia="宋体" w:cs="Times New Roman"/>
                <w:color w:val="auto"/>
                <w:kern w:val="2"/>
                <w:sz w:val="21"/>
                <w:lang w:val="en-US" w:eastAsia="zh-CN" w:bidi="ar-SA"/>
              </w:rPr>
            </w:pPr>
          </w:p>
        </w:tc>
        <w:tc>
          <w:tcPr>
            <w:tcW w:w="711" w:type="pct"/>
            <w:gridSpan w:val="2"/>
            <w:vMerge w:val="continue"/>
            <w:vAlign w:val="center"/>
          </w:tcPr>
          <w:p w14:paraId="2F4523FF">
            <w:pPr>
              <w:pStyle w:val="47"/>
              <w:rPr>
                <w:color w:val="auto"/>
              </w:rPr>
            </w:pPr>
          </w:p>
        </w:tc>
        <w:tc>
          <w:tcPr>
            <w:tcW w:w="988" w:type="pct"/>
            <w:vAlign w:val="center"/>
          </w:tcPr>
          <w:p w14:paraId="0347A14B">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平面高差</w:t>
            </w:r>
          </w:p>
        </w:tc>
        <w:tc>
          <w:tcPr>
            <w:tcW w:w="1420" w:type="pct"/>
            <w:vAlign w:val="center"/>
          </w:tcPr>
          <w:p w14:paraId="0A93A9CF">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0, -4</w:t>
            </w:r>
          </w:p>
        </w:tc>
        <w:tc>
          <w:tcPr>
            <w:tcW w:w="1616" w:type="pct"/>
            <w:vAlign w:val="center"/>
          </w:tcPr>
          <w:p w14:paraId="379E0EA6">
            <w:pPr>
              <w:spacing w:line="240" w:lineRule="auto"/>
              <w:ind w:firstLine="0" w:firstLineChars="0"/>
              <w:jc w:val="center"/>
              <w:rPr>
                <w:rFonts w:hint="eastAsia" w:ascii="Times New Roman" w:hAnsi="Times New Roman" w:eastAsia="宋体" w:cs="Times New Roman"/>
                <w:color w:val="auto"/>
                <w:kern w:val="2"/>
                <w:sz w:val="21"/>
                <w:lang w:val="en-US" w:eastAsia="zh-CN" w:bidi="ar-SA"/>
              </w:rPr>
            </w:pPr>
            <w:r>
              <w:rPr>
                <w:rFonts w:hint="eastAsia"/>
                <w:color w:val="auto"/>
                <w:sz w:val="21"/>
                <w:lang w:val="en-US" w:eastAsia="zh-CN"/>
              </w:rPr>
              <w:t>钢直尺和塞尺检查</w:t>
            </w:r>
          </w:p>
        </w:tc>
      </w:tr>
      <w:tr w14:paraId="247A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restart"/>
            <w:vAlign w:val="center"/>
          </w:tcPr>
          <w:p w14:paraId="0C82EB2F">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9</w:t>
            </w:r>
          </w:p>
        </w:tc>
        <w:tc>
          <w:tcPr>
            <w:tcW w:w="711" w:type="pct"/>
            <w:gridSpan w:val="2"/>
            <w:vMerge w:val="restart"/>
            <w:vAlign w:val="center"/>
          </w:tcPr>
          <w:p w14:paraId="5DF8E535">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预留孔</w:t>
            </w:r>
          </w:p>
        </w:tc>
        <w:tc>
          <w:tcPr>
            <w:tcW w:w="988" w:type="pct"/>
            <w:vAlign w:val="center"/>
          </w:tcPr>
          <w:p w14:paraId="6E918BF5">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中心线位置</w:t>
            </w:r>
          </w:p>
        </w:tc>
        <w:tc>
          <w:tcPr>
            <w:tcW w:w="1420" w:type="pct"/>
            <w:vAlign w:val="center"/>
          </w:tcPr>
          <w:p w14:paraId="73185FC4">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5</w:t>
            </w:r>
          </w:p>
        </w:tc>
        <w:tc>
          <w:tcPr>
            <w:tcW w:w="1616" w:type="pct"/>
            <w:vAlign w:val="center"/>
          </w:tcPr>
          <w:p w14:paraId="7D4D513C">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sz w:val="21"/>
                <w:lang w:val="en-US" w:eastAsia="zh-CN"/>
              </w:rPr>
              <w:t>尺量纵横两个方向的中心线位置，取较大值</w:t>
            </w:r>
          </w:p>
        </w:tc>
      </w:tr>
      <w:tr w14:paraId="14C4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vAlign w:val="center"/>
          </w:tcPr>
          <w:p w14:paraId="7048E4FB">
            <w:pPr>
              <w:pStyle w:val="47"/>
              <w:ind w:firstLine="0" w:firstLineChars="0"/>
              <w:rPr>
                <w:rFonts w:hint="eastAsia" w:ascii="Times New Roman" w:hAnsi="Times New Roman" w:eastAsia="宋体" w:cs="Times New Roman"/>
                <w:color w:val="auto"/>
                <w:kern w:val="2"/>
                <w:sz w:val="21"/>
                <w:lang w:val="en-US" w:eastAsia="zh-CN" w:bidi="ar-SA"/>
              </w:rPr>
            </w:pPr>
          </w:p>
        </w:tc>
        <w:tc>
          <w:tcPr>
            <w:tcW w:w="711" w:type="pct"/>
            <w:gridSpan w:val="2"/>
            <w:vMerge w:val="continue"/>
            <w:vAlign w:val="center"/>
          </w:tcPr>
          <w:p w14:paraId="49168468">
            <w:pPr>
              <w:pStyle w:val="47"/>
              <w:rPr>
                <w:color w:val="auto"/>
              </w:rPr>
            </w:pPr>
          </w:p>
        </w:tc>
        <w:tc>
          <w:tcPr>
            <w:tcW w:w="988" w:type="pct"/>
            <w:vAlign w:val="center"/>
          </w:tcPr>
          <w:p w14:paraId="02DD96A1">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尺寸</w:t>
            </w:r>
          </w:p>
        </w:tc>
        <w:tc>
          <w:tcPr>
            <w:tcW w:w="1420" w:type="pct"/>
            <w:vAlign w:val="center"/>
          </w:tcPr>
          <w:p w14:paraId="19453B7B">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±5</w:t>
            </w:r>
          </w:p>
        </w:tc>
        <w:tc>
          <w:tcPr>
            <w:tcW w:w="1616" w:type="pct"/>
            <w:vAlign w:val="center"/>
          </w:tcPr>
          <w:p w14:paraId="72370280">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sz w:val="21"/>
                <w:lang w:val="en-US" w:eastAsia="zh-CN"/>
              </w:rPr>
              <w:t>尺量纵横两个方向尺寸，取较大值</w:t>
            </w:r>
          </w:p>
        </w:tc>
      </w:tr>
      <w:tr w14:paraId="64FD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restart"/>
            <w:vAlign w:val="center"/>
          </w:tcPr>
          <w:p w14:paraId="355155B7">
            <w:pPr>
              <w:pStyle w:val="47"/>
              <w:ind w:firstLine="0" w:firstLineChars="0"/>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10</w:t>
            </w:r>
          </w:p>
        </w:tc>
        <w:tc>
          <w:tcPr>
            <w:tcW w:w="711" w:type="pct"/>
            <w:gridSpan w:val="2"/>
            <w:vMerge w:val="restart"/>
            <w:vAlign w:val="center"/>
          </w:tcPr>
          <w:p w14:paraId="20D36E6A">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吊件</w:t>
            </w:r>
          </w:p>
        </w:tc>
        <w:tc>
          <w:tcPr>
            <w:tcW w:w="988" w:type="pct"/>
            <w:vAlign w:val="center"/>
          </w:tcPr>
          <w:p w14:paraId="50B3CF0E">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中心线位置</w:t>
            </w:r>
          </w:p>
        </w:tc>
        <w:tc>
          <w:tcPr>
            <w:tcW w:w="1420" w:type="pct"/>
            <w:vAlign w:val="center"/>
          </w:tcPr>
          <w:p w14:paraId="606CA1D9">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10</w:t>
            </w:r>
          </w:p>
        </w:tc>
        <w:tc>
          <w:tcPr>
            <w:tcW w:w="1616" w:type="pct"/>
            <w:vAlign w:val="center"/>
          </w:tcPr>
          <w:p w14:paraId="76BE7CBB">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sz w:val="21"/>
                <w:lang w:val="en-US" w:eastAsia="zh-CN"/>
              </w:rPr>
              <w:t>尺量纵横两个方向的中心线位置，取较大值</w:t>
            </w:r>
          </w:p>
        </w:tc>
      </w:tr>
      <w:tr w14:paraId="495E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vAlign w:val="center"/>
          </w:tcPr>
          <w:p w14:paraId="089FBC22">
            <w:pPr>
              <w:pStyle w:val="47"/>
              <w:ind w:firstLine="0" w:firstLineChars="0"/>
              <w:rPr>
                <w:rFonts w:hint="eastAsia" w:ascii="Times New Roman" w:hAnsi="Times New Roman" w:eastAsia="宋体" w:cs="Times New Roman"/>
                <w:color w:val="auto"/>
                <w:kern w:val="2"/>
                <w:sz w:val="21"/>
                <w:lang w:val="en-US" w:eastAsia="zh-CN" w:bidi="ar-SA"/>
              </w:rPr>
            </w:pPr>
          </w:p>
        </w:tc>
        <w:tc>
          <w:tcPr>
            <w:tcW w:w="711" w:type="pct"/>
            <w:gridSpan w:val="2"/>
            <w:vMerge w:val="continue"/>
            <w:vAlign w:val="center"/>
          </w:tcPr>
          <w:p w14:paraId="24D56E8B">
            <w:pPr>
              <w:pStyle w:val="47"/>
              <w:rPr>
                <w:color w:val="auto"/>
              </w:rPr>
            </w:pPr>
          </w:p>
        </w:tc>
        <w:tc>
          <w:tcPr>
            <w:tcW w:w="988" w:type="pct"/>
            <w:vAlign w:val="center"/>
          </w:tcPr>
          <w:p w14:paraId="62DEE5E9">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外露长度</w:t>
            </w:r>
          </w:p>
        </w:tc>
        <w:tc>
          <w:tcPr>
            <w:tcW w:w="1420" w:type="pct"/>
            <w:vAlign w:val="center"/>
          </w:tcPr>
          <w:p w14:paraId="00BDFFE0">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lang w:val="en-US" w:eastAsia="zh-CN"/>
              </w:rPr>
              <w:t>0, -10</w:t>
            </w:r>
          </w:p>
        </w:tc>
        <w:tc>
          <w:tcPr>
            <w:tcW w:w="1616" w:type="pct"/>
            <w:vAlign w:val="center"/>
          </w:tcPr>
          <w:p w14:paraId="441B93F5">
            <w:pPr>
              <w:pStyle w:val="47"/>
              <w:ind w:firstLine="0" w:firstLineChars="0"/>
              <w:rPr>
                <w:rFonts w:hint="eastAsia" w:ascii="Times New Roman" w:hAnsi="Times New Roman" w:eastAsia="宋体" w:cs="Times New Roman"/>
                <w:color w:val="auto"/>
                <w:kern w:val="2"/>
                <w:sz w:val="21"/>
                <w:lang w:val="en-US" w:eastAsia="zh-CN" w:bidi="ar-SA"/>
              </w:rPr>
            </w:pPr>
            <w:r>
              <w:rPr>
                <w:rFonts w:hint="eastAsia"/>
                <w:color w:val="auto"/>
                <w:sz w:val="21"/>
                <w:lang w:val="en-US" w:eastAsia="zh-CN"/>
              </w:rPr>
              <w:t>尺量</w:t>
            </w:r>
          </w:p>
        </w:tc>
      </w:tr>
    </w:tbl>
    <w:p w14:paraId="0D1C2DFB">
      <w:pPr>
        <w:pStyle w:val="49"/>
        <w:bidi w:val="0"/>
      </w:pPr>
    </w:p>
    <w:p w14:paraId="53ED1A05">
      <w:pPr>
        <w:pStyle w:val="42"/>
        <w:numPr>
          <w:ilvl w:val="2"/>
          <w:numId w:val="9"/>
        </w:numPr>
        <w:bidi w:val="0"/>
      </w:pPr>
      <w:r>
        <w:rPr>
          <w:rFonts w:hint="eastAsia"/>
        </w:rPr>
        <w:t>预制梁、预制柱交付的产品质量证明文件应包括下列内容：</w:t>
      </w:r>
    </w:p>
    <w:p w14:paraId="767603BD">
      <w:pPr>
        <w:pStyle w:val="43"/>
        <w:numPr>
          <w:ilvl w:val="3"/>
          <w:numId w:val="9"/>
        </w:numPr>
        <w:ind w:firstLine="480"/>
        <w:rPr>
          <w:color w:val="auto"/>
        </w:rPr>
      </w:pPr>
      <w:r>
        <w:rPr>
          <w:rFonts w:hint="eastAsia"/>
          <w:color w:val="auto"/>
        </w:rPr>
        <w:t>出厂合格证；</w:t>
      </w:r>
    </w:p>
    <w:p w14:paraId="6580A940">
      <w:pPr>
        <w:pStyle w:val="43"/>
        <w:numPr>
          <w:ilvl w:val="3"/>
          <w:numId w:val="9"/>
        </w:numPr>
        <w:ind w:firstLine="480"/>
        <w:rPr>
          <w:color w:val="auto"/>
        </w:rPr>
      </w:pPr>
      <w:r>
        <w:rPr>
          <w:rFonts w:hint="eastAsia"/>
          <w:color w:val="auto"/>
        </w:rPr>
        <w:t>混凝土强度检验报告；</w:t>
      </w:r>
    </w:p>
    <w:p w14:paraId="4C93FC08">
      <w:pPr>
        <w:pStyle w:val="43"/>
        <w:numPr>
          <w:ilvl w:val="3"/>
          <w:numId w:val="9"/>
        </w:numPr>
        <w:ind w:firstLine="480"/>
        <w:rPr>
          <w:color w:val="auto"/>
        </w:rPr>
      </w:pPr>
      <w:r>
        <w:rPr>
          <w:rFonts w:hint="eastAsia"/>
          <w:color w:val="auto"/>
          <w:lang w:eastAsia="zh-CN"/>
        </w:rPr>
        <w:t>钢组件</w:t>
      </w:r>
      <w:r>
        <w:rPr>
          <w:rFonts w:hint="eastAsia"/>
          <w:color w:val="auto"/>
        </w:rPr>
        <w:t>质量证明文件</w:t>
      </w:r>
      <w:r>
        <w:rPr>
          <w:rFonts w:hint="eastAsia"/>
          <w:color w:val="auto"/>
          <w:lang w:val="en-US" w:eastAsia="zh-CN"/>
        </w:rPr>
        <w:t>和检验报告</w:t>
      </w:r>
      <w:r>
        <w:rPr>
          <w:rFonts w:hint="eastAsia"/>
          <w:color w:val="auto"/>
        </w:rPr>
        <w:t>；</w:t>
      </w:r>
    </w:p>
    <w:p w14:paraId="21173FE2">
      <w:pPr>
        <w:pStyle w:val="43"/>
        <w:numPr>
          <w:ilvl w:val="3"/>
          <w:numId w:val="9"/>
        </w:numPr>
        <w:ind w:firstLine="480"/>
        <w:rPr>
          <w:color w:val="auto"/>
        </w:rPr>
      </w:pPr>
      <w:r>
        <w:rPr>
          <w:rFonts w:hint="eastAsia"/>
          <w:color w:val="auto"/>
          <w:lang w:val="en-US" w:eastAsia="zh-CN"/>
        </w:rPr>
        <w:t>预留连接杆连接接头检验报告；</w:t>
      </w:r>
    </w:p>
    <w:p w14:paraId="3463E79E">
      <w:pPr>
        <w:pStyle w:val="43"/>
        <w:numPr>
          <w:ilvl w:val="3"/>
          <w:numId w:val="9"/>
        </w:numPr>
        <w:ind w:firstLine="480"/>
        <w:rPr>
          <w:rFonts w:hint="eastAsia"/>
        </w:rPr>
      </w:pPr>
      <w:r>
        <w:rPr>
          <w:rFonts w:hint="eastAsia"/>
          <w:color w:val="auto"/>
        </w:rPr>
        <w:t>合同要求的其他质量证明文件。</w:t>
      </w:r>
    </w:p>
    <w:p w14:paraId="1208E280">
      <w:pPr>
        <w:pStyle w:val="41"/>
        <w:numPr>
          <w:ilvl w:val="1"/>
          <w:numId w:val="9"/>
        </w:numPr>
        <w:bidi w:val="0"/>
      </w:pPr>
      <w:bookmarkStart w:id="60" w:name="_Toc29621"/>
      <w:r>
        <w:rPr>
          <w:rFonts w:hint="eastAsia"/>
        </w:rPr>
        <w:t>安装与连接</w:t>
      </w:r>
      <w:bookmarkEnd w:id="60"/>
    </w:p>
    <w:p w14:paraId="682A5D39">
      <w:pPr>
        <w:pStyle w:val="42"/>
        <w:numPr>
          <w:ilvl w:val="2"/>
          <w:numId w:val="13"/>
        </w:numPr>
        <w:tabs>
          <w:tab w:val="left" w:pos="0"/>
          <w:tab w:val="left" w:pos="420"/>
        </w:tabs>
        <w:rPr>
          <w:color w:val="auto"/>
        </w:rPr>
      </w:pPr>
      <w:r>
        <w:rPr>
          <w:rFonts w:hint="eastAsia"/>
          <w:color w:val="auto"/>
        </w:rPr>
        <w:t>预制梁、预制柱的安装与连接，除应符合本规程外，尚应符合现行国家标准《装配式混凝土建筑技术标准》GB/T 51231、《混凝土结构工程施工规范》GB 50666</w:t>
      </w:r>
      <w:r>
        <w:rPr>
          <w:rFonts w:hint="eastAsia"/>
          <w:color w:val="auto"/>
          <w:lang w:eastAsia="zh-CN"/>
        </w:rPr>
        <w:t>、《</w:t>
      </w:r>
      <w:r>
        <w:rPr>
          <w:rFonts w:hint="eastAsia"/>
          <w:color w:val="auto"/>
          <w:lang w:val="en-US" w:eastAsia="zh-CN"/>
        </w:rPr>
        <w:t>钢结构工程施工规范</w:t>
      </w:r>
      <w:r>
        <w:rPr>
          <w:rFonts w:hint="eastAsia"/>
          <w:color w:val="auto"/>
          <w:lang w:eastAsia="zh-CN"/>
        </w:rPr>
        <w:t>》</w:t>
      </w:r>
      <w:r>
        <w:rPr>
          <w:rFonts w:hint="eastAsia"/>
          <w:color w:val="auto"/>
          <w:lang w:val="en-US" w:eastAsia="zh-CN"/>
        </w:rPr>
        <w:t>GB 50755</w:t>
      </w:r>
      <w:r>
        <w:rPr>
          <w:rFonts w:hint="eastAsia"/>
          <w:color w:val="auto"/>
        </w:rPr>
        <w:t>的有关规定。楼板与预制梁、预制柱的连接构造应符合本规程第</w:t>
      </w:r>
      <w:r>
        <w:rPr>
          <w:rFonts w:hint="eastAsia"/>
          <w:color w:val="auto"/>
          <w:lang w:val="en-US" w:eastAsia="zh-CN"/>
        </w:rPr>
        <w:t>6</w:t>
      </w:r>
      <w:r>
        <w:rPr>
          <w:rFonts w:hint="eastAsia"/>
          <w:color w:val="auto"/>
        </w:rPr>
        <w:t>章和国家现行有关标准的规定。</w:t>
      </w:r>
    </w:p>
    <w:p w14:paraId="10386C3E">
      <w:pPr>
        <w:pStyle w:val="42"/>
        <w:numPr>
          <w:ilvl w:val="2"/>
          <w:numId w:val="9"/>
        </w:numPr>
        <w:rPr>
          <w:color w:val="0D0D0D" w:themeColor="text1" w:themeTint="F2"/>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预制柱与基础采用钢组件螺栓连接时，连接处基础预留连接杆的设置应采取专门定位措施。当采用杯口基础时，首节预制柱的安装与连接应符合国家现行标准《建筑地基基础设计规范》GB 50007和《建筑施工起重吊装工程安全技术规范》JGJ 276的有关规定。</w:t>
      </w:r>
    </w:p>
    <w:p w14:paraId="014F7568">
      <w:pPr>
        <w:pStyle w:val="42"/>
        <w:numPr>
          <w:ilvl w:val="2"/>
          <w:numId w:val="9"/>
        </w:numPr>
        <w:rPr>
          <w:color w:val="0D0D0D" w:themeColor="text1" w:themeTint="F2"/>
          <w14:textFill>
            <w14:solidFill>
              <w14:schemeClr w14:val="tx1">
                <w14:lumMod w14:val="95000"/>
                <w14:lumOff w14:val="5000"/>
              </w14:schemeClr>
            </w14:solidFill>
          </w14:textFill>
        </w:rPr>
      </w:pPr>
      <w:r>
        <w:rPr>
          <w:rFonts w:hint="eastAsia"/>
          <w:color w:val="auto"/>
        </w:rPr>
        <w:t>预制梁、预制柱在全面吊装前宜先进行试吊；应按现行行业标准《建筑机械使用安全技术规程》JGJ 33的有关规定，检查复核吊装设备及吊具处于安全操作状态，并核实现场环境、天气、道路状态等满足吊装施工要求。</w:t>
      </w:r>
    </w:p>
    <w:p w14:paraId="4BB4DFEB">
      <w:pPr>
        <w:pStyle w:val="42"/>
        <w:numPr>
          <w:ilvl w:val="2"/>
          <w:numId w:val="9"/>
        </w:numPr>
        <w:rPr>
          <w:color w:val="auto"/>
        </w:rPr>
      </w:pPr>
      <w:r>
        <w:rPr>
          <w:rFonts w:hint="eastAsia"/>
          <w:color w:val="0D0D0D" w:themeColor="text1" w:themeTint="F2"/>
          <w:lang w:val="en-US" w:eastAsia="zh-CN"/>
          <w14:textFill>
            <w14:solidFill>
              <w14:schemeClr w14:val="tx1">
                <w14:lumMod w14:val="95000"/>
                <w14:lumOff w14:val="5000"/>
              </w14:schemeClr>
            </w14:solidFill>
          </w14:textFill>
        </w:rPr>
        <w:t>预制梁、预制柱吊装前，应进行测量放线，设置构件安装定位标识。</w:t>
      </w:r>
    </w:p>
    <w:p w14:paraId="5AF0421C">
      <w:pPr>
        <w:pStyle w:val="42"/>
        <w:numPr>
          <w:ilvl w:val="2"/>
          <w:numId w:val="9"/>
        </w:numPr>
        <w:rPr>
          <w:color w:val="auto"/>
        </w:rPr>
      </w:pPr>
      <w:r>
        <w:rPr>
          <w:color w:val="auto"/>
        </w:rPr>
        <w:t>预制柱的安装与连接应符合下列规定：</w:t>
      </w:r>
    </w:p>
    <w:p w14:paraId="2081E42F">
      <w:pPr>
        <w:pStyle w:val="43"/>
        <w:ind w:firstLine="480"/>
        <w:rPr>
          <w:color w:val="auto"/>
        </w:rPr>
      </w:pPr>
      <w:r>
        <w:rPr>
          <w:rFonts w:hint="eastAsia"/>
          <w:color w:val="auto"/>
          <w:lang w:val="en-US" w:eastAsia="zh-CN"/>
        </w:rPr>
        <w:t>宜按照角柱、边柱、中柱顺序进行安装；</w:t>
      </w:r>
    </w:p>
    <w:p w14:paraId="6D813D3B">
      <w:pPr>
        <w:pStyle w:val="43"/>
        <w:ind w:firstLine="480"/>
        <w:rPr>
          <w:color w:val="auto"/>
        </w:rPr>
      </w:pPr>
      <w:r>
        <w:rPr>
          <w:rFonts w:hint="eastAsia"/>
          <w:color w:val="auto"/>
        </w:rPr>
        <w:t>首层柱安装后应进行垂直度、标高和轴线位置校正；校正合格后应固定；</w:t>
      </w:r>
    </w:p>
    <w:p w14:paraId="2427C415">
      <w:pPr>
        <w:pStyle w:val="43"/>
        <w:ind w:firstLine="480"/>
        <w:rPr>
          <w:color w:val="auto"/>
        </w:rPr>
      </w:pPr>
      <w:r>
        <w:rPr>
          <w:rFonts w:hint="eastAsia"/>
          <w:color w:val="auto"/>
        </w:rPr>
        <w:t>首节以上的柱定位轴线应从地面控制线直接引上，不得从下</w:t>
      </w:r>
      <w:r>
        <w:rPr>
          <w:rFonts w:hint="eastAsia"/>
          <w:color w:val="auto"/>
          <w:lang w:val="en-US" w:eastAsia="zh-CN"/>
        </w:rPr>
        <w:t>节</w:t>
      </w:r>
      <w:r>
        <w:rPr>
          <w:rFonts w:hint="eastAsia"/>
          <w:color w:val="auto"/>
        </w:rPr>
        <w:t>柱的轴线引上；校正柱垂直度时，应</w:t>
      </w:r>
      <w:r>
        <w:rPr>
          <w:rFonts w:hint="eastAsia"/>
          <w:color w:val="auto"/>
          <w:lang w:val="en-US" w:eastAsia="zh-CN"/>
        </w:rPr>
        <w:t>确定柱与梁端钢组件的焊接收缩量，并应预留焊缝收缩变形值</w:t>
      </w:r>
      <w:r>
        <w:rPr>
          <w:rFonts w:hint="eastAsia"/>
          <w:color w:val="auto"/>
        </w:rPr>
        <w:t>；</w:t>
      </w:r>
    </w:p>
    <w:p w14:paraId="19CFBAA9">
      <w:pPr>
        <w:pStyle w:val="43"/>
        <w:ind w:firstLine="480"/>
      </w:pPr>
      <w:r>
        <w:rPr>
          <w:rFonts w:hint="eastAsia"/>
          <w:color w:val="auto"/>
        </w:rPr>
        <w:t>上、下</w:t>
      </w:r>
      <w:r>
        <w:rPr>
          <w:rFonts w:hint="eastAsia"/>
          <w:color w:val="auto"/>
          <w:lang w:val="en-US" w:eastAsia="zh-CN"/>
        </w:rPr>
        <w:t>节</w:t>
      </w:r>
      <w:r>
        <w:rPr>
          <w:rFonts w:hint="eastAsia"/>
          <w:color w:val="auto"/>
        </w:rPr>
        <w:t>柱</w:t>
      </w:r>
      <w:r>
        <w:rPr>
          <w:rFonts w:hint="eastAsia"/>
          <w:color w:val="auto"/>
          <w:lang w:val="en-US" w:eastAsia="zh-CN"/>
        </w:rPr>
        <w:t>连接处应采取</w:t>
      </w:r>
      <w:r>
        <w:rPr>
          <w:rFonts w:hint="eastAsia"/>
          <w:color w:val="auto"/>
        </w:rPr>
        <w:t>调平</w:t>
      </w:r>
      <w:r>
        <w:rPr>
          <w:rFonts w:hint="eastAsia"/>
          <w:color w:val="auto"/>
          <w:lang w:val="en-US" w:eastAsia="zh-CN"/>
        </w:rPr>
        <w:t>措施</w:t>
      </w:r>
      <w:r>
        <w:rPr>
          <w:rFonts w:hint="eastAsia"/>
          <w:color w:val="auto"/>
        </w:rPr>
        <w:t>，以控制柱安装标高，调整柱垂直度</w:t>
      </w:r>
      <w:r>
        <w:rPr>
          <w:rFonts w:hint="eastAsia"/>
          <w:color w:val="auto"/>
          <w:lang w:eastAsia="zh-CN"/>
        </w:rPr>
        <w:t>；</w:t>
      </w:r>
    </w:p>
    <w:p w14:paraId="2C9C9824">
      <w:pPr>
        <w:pStyle w:val="43"/>
        <w:ind w:firstLine="480"/>
      </w:pPr>
      <w:r>
        <w:rPr>
          <w:rFonts w:hint="eastAsia"/>
          <w:color w:val="auto"/>
          <w:lang w:val="en-US" w:eastAsia="zh-CN"/>
        </w:rPr>
        <w:t>柱安装后的校正可采用在柱底中心设置垫片或通过调平螺母调整等方式。</w:t>
      </w:r>
    </w:p>
    <w:p w14:paraId="5A942618">
      <w:pPr>
        <w:pStyle w:val="42"/>
        <w:numPr>
          <w:ilvl w:val="2"/>
          <w:numId w:val="13"/>
        </w:numPr>
        <w:tabs>
          <w:tab w:val="left" w:pos="0"/>
          <w:tab w:val="left" w:pos="420"/>
        </w:tabs>
        <w:rPr>
          <w:color w:val="auto"/>
        </w:rPr>
      </w:pPr>
      <w:r>
        <w:rPr>
          <w:rFonts w:hint="eastAsia"/>
          <w:color w:val="auto"/>
          <w:lang w:val="en-US" w:eastAsia="zh-CN"/>
        </w:rPr>
        <w:t>对于预制柱连接处灌浆作业，</w:t>
      </w:r>
      <w:r>
        <w:rPr>
          <w:rFonts w:hint="eastAsia"/>
          <w:color w:val="auto"/>
        </w:rPr>
        <w:t>应采取</w:t>
      </w:r>
      <w:r>
        <w:rPr>
          <w:rFonts w:hint="eastAsia"/>
          <w:color w:val="auto"/>
          <w:lang w:val="en-US" w:eastAsia="zh-CN"/>
        </w:rPr>
        <w:t>设置排气孔等</w:t>
      </w:r>
      <w:r>
        <w:rPr>
          <w:rFonts w:hint="eastAsia"/>
          <w:color w:val="auto"/>
        </w:rPr>
        <w:t>措施保证</w:t>
      </w:r>
      <w:r>
        <w:rPr>
          <w:rFonts w:hint="eastAsia"/>
          <w:color w:val="auto"/>
          <w:lang w:val="en-US" w:eastAsia="zh-CN"/>
        </w:rPr>
        <w:t>连接处</w:t>
      </w:r>
      <w:r>
        <w:rPr>
          <w:rFonts w:hint="eastAsia"/>
          <w:color w:val="auto"/>
        </w:rPr>
        <w:t>灌浆密实</w:t>
      </w:r>
      <w:r>
        <w:rPr>
          <w:rFonts w:hint="eastAsia"/>
          <w:lang w:val="en-US" w:eastAsia="zh-CN"/>
        </w:rPr>
        <w:t>；灌浆完毕后裸露部分应及时覆盖塑料薄膜或喷洒养护剂，灌浆料应保持湿润，养护时间不得少于7d。</w:t>
      </w:r>
    </w:p>
    <w:p w14:paraId="0571E9B8">
      <w:pPr>
        <w:pStyle w:val="42"/>
        <w:numPr>
          <w:ilvl w:val="2"/>
          <w:numId w:val="13"/>
        </w:numPr>
        <w:tabs>
          <w:tab w:val="left" w:pos="0"/>
          <w:tab w:val="left" w:pos="420"/>
        </w:tabs>
        <w:rPr>
          <w:color w:val="auto"/>
        </w:rPr>
      </w:pPr>
      <w:r>
        <w:rPr>
          <w:rFonts w:hint="eastAsia"/>
          <w:color w:val="auto"/>
        </w:rPr>
        <w:t>预制梁</w:t>
      </w:r>
      <w:r>
        <w:rPr>
          <w:color w:val="auto"/>
        </w:rPr>
        <w:t>的安装与连接应符合下列规定：</w:t>
      </w:r>
    </w:p>
    <w:p w14:paraId="72D71561">
      <w:pPr>
        <w:pStyle w:val="43"/>
        <w:numPr>
          <w:ilvl w:val="3"/>
          <w:numId w:val="9"/>
        </w:numPr>
        <w:ind w:firstLine="480"/>
        <w:rPr>
          <w:color w:val="auto"/>
        </w:rPr>
      </w:pPr>
      <w:r>
        <w:rPr>
          <w:rFonts w:hint="eastAsia"/>
          <w:color w:val="auto"/>
          <w:lang w:val="en-US" w:eastAsia="zh-CN"/>
        </w:rPr>
        <w:t>安装顺序宜遵循先主梁后次梁、先低后高的原则；</w:t>
      </w:r>
    </w:p>
    <w:p w14:paraId="2A11E149">
      <w:pPr>
        <w:pStyle w:val="43"/>
        <w:numPr>
          <w:ilvl w:val="3"/>
          <w:numId w:val="9"/>
        </w:numPr>
        <w:ind w:firstLine="480"/>
        <w:rPr>
          <w:color w:val="auto"/>
        </w:rPr>
      </w:pPr>
      <w:r>
        <w:rPr>
          <w:color w:val="auto"/>
        </w:rPr>
        <w:t>宜采用两点起吊；当单根</w:t>
      </w:r>
      <w:r>
        <w:rPr>
          <w:rFonts w:hint="eastAsia"/>
          <w:color w:val="auto"/>
        </w:rPr>
        <w:t>构件较长且采用两点起吊不能满足构件强度和变形要求时，宜设置3~4个吊点或采用平衡梁吊装，吊点位置应通过计算确定；</w:t>
      </w:r>
    </w:p>
    <w:p w14:paraId="2F199205">
      <w:pPr>
        <w:pStyle w:val="43"/>
        <w:numPr>
          <w:ilvl w:val="3"/>
          <w:numId w:val="9"/>
        </w:numPr>
        <w:ind w:firstLine="480"/>
        <w:rPr>
          <w:color w:val="auto"/>
        </w:rPr>
      </w:pPr>
      <w:r>
        <w:rPr>
          <w:rFonts w:hint="eastAsia"/>
          <w:color w:val="auto"/>
        </w:rPr>
        <w:t>就位后应对构件顶标高、安装位置、两端高差等进行测量检查，校正完成后</w:t>
      </w:r>
      <w:r>
        <w:rPr>
          <w:rFonts w:hint="eastAsia"/>
          <w:color w:val="auto"/>
          <w:lang w:val="en-US" w:eastAsia="zh-CN"/>
        </w:rPr>
        <w:t>应及时进行螺栓连接或钢筋连接</w:t>
      </w:r>
      <w:r>
        <w:rPr>
          <w:rFonts w:hint="eastAsia"/>
          <w:color w:val="auto"/>
        </w:rPr>
        <w:t>；</w:t>
      </w:r>
    </w:p>
    <w:p w14:paraId="694A8704">
      <w:pPr>
        <w:pStyle w:val="43"/>
        <w:numPr>
          <w:ilvl w:val="3"/>
          <w:numId w:val="9"/>
        </w:numPr>
        <w:ind w:firstLine="480"/>
      </w:pPr>
      <w:r>
        <w:rPr>
          <w:rFonts w:hint="eastAsia"/>
          <w:color w:val="auto"/>
          <w:lang w:val="en-US" w:eastAsia="zh-CN"/>
        </w:rPr>
        <w:t>钢组件栓焊连接及钢筋连接完成后，可根据需要在楼板施工前浇筑连接段混凝土或随楼板施工一起浇筑连接段混凝土，应保证浇筑密实</w:t>
      </w:r>
      <w:r>
        <w:rPr>
          <w:rFonts w:hint="eastAsia"/>
          <w:color w:val="auto"/>
        </w:rPr>
        <w:t>。</w:t>
      </w:r>
    </w:p>
    <w:p w14:paraId="16A3D75E">
      <w:pPr>
        <w:pStyle w:val="42"/>
        <w:numPr>
          <w:ilvl w:val="2"/>
          <w:numId w:val="13"/>
        </w:numPr>
        <w:tabs>
          <w:tab w:val="left" w:pos="0"/>
          <w:tab w:val="left" w:pos="420"/>
        </w:tabs>
        <w:rPr>
          <w:color w:val="auto"/>
        </w:rPr>
      </w:pPr>
      <w:r>
        <w:rPr>
          <w:rFonts w:hint="eastAsia"/>
          <w:color w:val="auto"/>
          <w:lang w:val="en-US" w:eastAsia="zh-CN"/>
        </w:rPr>
        <w:t>预制柱宜采用穿心杆方式进行吊装，预制梁宜采用吊环或专用吊件吊装，不应将钢组件、预留连接杆作为吊件</w:t>
      </w:r>
      <w:r>
        <w:rPr>
          <w:rFonts w:hint="eastAsia"/>
          <w:color w:val="auto"/>
        </w:rPr>
        <w:t>。</w:t>
      </w:r>
    </w:p>
    <w:p w14:paraId="32140B5B">
      <w:pPr>
        <w:pStyle w:val="42"/>
        <w:numPr>
          <w:ilvl w:val="2"/>
          <w:numId w:val="13"/>
        </w:numPr>
        <w:tabs>
          <w:tab w:val="left" w:pos="0"/>
          <w:tab w:val="left" w:pos="420"/>
        </w:tabs>
        <w:rPr>
          <w:color w:val="auto"/>
        </w:rPr>
      </w:pPr>
      <w:r>
        <w:rPr>
          <w:rFonts w:hint="eastAsia"/>
          <w:lang w:val="en-US" w:eastAsia="zh-CN"/>
        </w:rPr>
        <w:t>采用穿心杆方式吊装时，预留穿心杆孔道应采用预埋壁厚不小于2mm的钢管成孔，钢管内径宜比穿心杆大10mm且不宜大于1.5倍穿心杆直径；应验算预留穿心杆孔道的局部受压承载力、穿心杆的受弯承载力和受剪承载力，且其施工安全系数不宜小于4.0。预制柱的预留穿孔杆孔道应位于柱横截面轴线上，且宜位于柱2/3高度处。</w:t>
      </w:r>
    </w:p>
    <w:p w14:paraId="54C23C1E">
      <w:pPr>
        <w:pStyle w:val="43"/>
        <w:numPr>
          <w:ilvl w:val="3"/>
          <w:numId w:val="0"/>
        </w:numPr>
      </w:pPr>
    </w:p>
    <w:p w14:paraId="2DDB234C">
      <w:pPr>
        <w:pStyle w:val="39"/>
        <w:numPr>
          <w:ilvl w:val="0"/>
          <w:numId w:val="9"/>
        </w:numPr>
        <w:spacing w:before="312" w:after="312"/>
      </w:pPr>
      <w:bookmarkStart w:id="61" w:name="_Toc5540"/>
      <w:bookmarkStart w:id="62" w:name="_Toc4773"/>
      <w:r>
        <w:rPr>
          <w:rFonts w:hint="eastAsia"/>
        </w:rPr>
        <w:t>质量</w:t>
      </w:r>
      <w:r>
        <w:t>验收</w:t>
      </w:r>
      <w:bookmarkEnd w:id="61"/>
      <w:bookmarkEnd w:id="62"/>
    </w:p>
    <w:p w14:paraId="648E0787">
      <w:pPr>
        <w:pStyle w:val="41"/>
        <w:numPr>
          <w:ilvl w:val="1"/>
          <w:numId w:val="9"/>
        </w:numPr>
        <w:spacing w:before="312" w:after="312"/>
      </w:pPr>
      <w:bookmarkStart w:id="63" w:name="_Toc22319"/>
      <w:bookmarkStart w:id="64" w:name="_Toc19676"/>
      <w:r>
        <w:t>一般规定</w:t>
      </w:r>
      <w:bookmarkEnd w:id="63"/>
      <w:bookmarkEnd w:id="64"/>
    </w:p>
    <w:p w14:paraId="2C20D095">
      <w:pPr>
        <w:pStyle w:val="42"/>
        <w:numPr>
          <w:ilvl w:val="2"/>
          <w:numId w:val="9"/>
        </w:numPr>
        <w:rPr>
          <w:color w:val="auto"/>
        </w:rPr>
      </w:pPr>
      <w:r>
        <w:rPr>
          <w:rFonts w:hint="eastAsia"/>
          <w:color w:val="auto"/>
          <w:lang w:val="en-US" w:eastAsia="zh-CN"/>
        </w:rPr>
        <w:t>钢组件框架结构</w:t>
      </w:r>
      <w:r>
        <w:rPr>
          <w:rFonts w:hint="eastAsia"/>
          <w:color w:val="auto"/>
        </w:rPr>
        <w:t>工程应按现行国家标准《建筑工程施工质量验收统一标准》GB 50300的规定进行子分部工程验收。</w:t>
      </w:r>
    </w:p>
    <w:p w14:paraId="700E8C4B">
      <w:pPr>
        <w:pStyle w:val="42"/>
        <w:numPr>
          <w:ilvl w:val="2"/>
          <w:numId w:val="9"/>
        </w:numPr>
        <w:rPr>
          <w:color w:val="auto"/>
        </w:rPr>
      </w:pPr>
      <w:r>
        <w:rPr>
          <w:rFonts w:hint="eastAsia"/>
          <w:color w:val="auto"/>
          <w:lang w:val="en-US" w:eastAsia="zh-CN"/>
        </w:rPr>
        <w:t>钢组件框架结构</w:t>
      </w:r>
      <w:r>
        <w:rPr>
          <w:rFonts w:hint="eastAsia"/>
          <w:color w:val="auto"/>
        </w:rPr>
        <w:t>子分部工程可划分为</w:t>
      </w:r>
      <w:r>
        <w:rPr>
          <w:rFonts w:hint="eastAsia"/>
          <w:color w:val="auto"/>
          <w:lang w:val="en-US" w:eastAsia="zh-CN"/>
        </w:rPr>
        <w:t>基础与柱脚、</w:t>
      </w:r>
      <w:r>
        <w:rPr>
          <w:rFonts w:hint="eastAsia"/>
          <w:color w:val="auto"/>
        </w:rPr>
        <w:t>预制</w:t>
      </w:r>
      <w:r>
        <w:rPr>
          <w:rFonts w:hint="eastAsia"/>
          <w:color w:val="auto"/>
          <w:lang w:val="en-US" w:eastAsia="zh-CN"/>
        </w:rPr>
        <w:t>柱安装与连接、预制梁安装与连接、楼板安装与连接</w:t>
      </w:r>
      <w:r>
        <w:rPr>
          <w:rFonts w:hint="eastAsia"/>
          <w:color w:val="auto"/>
        </w:rPr>
        <w:t>等4个分项工程。</w:t>
      </w:r>
    </w:p>
    <w:p w14:paraId="105013F8">
      <w:pPr>
        <w:pStyle w:val="42"/>
        <w:numPr>
          <w:ilvl w:val="2"/>
          <w:numId w:val="9"/>
        </w:numPr>
        <w:rPr>
          <w:color w:val="auto"/>
        </w:rPr>
      </w:pPr>
      <w:r>
        <w:rPr>
          <w:rFonts w:hint="eastAsia"/>
          <w:color w:val="auto"/>
          <w:lang w:val="en-US" w:eastAsia="zh-CN"/>
        </w:rPr>
        <w:t>钢组件框架结构</w:t>
      </w:r>
      <w:r>
        <w:rPr>
          <w:rFonts w:hint="eastAsia"/>
          <w:color w:val="auto"/>
        </w:rPr>
        <w:t>子分部工程质量验收合格应符合下列规定：</w:t>
      </w:r>
    </w:p>
    <w:p w14:paraId="5E3FE88C">
      <w:pPr>
        <w:pStyle w:val="43"/>
        <w:numPr>
          <w:ilvl w:val="3"/>
          <w:numId w:val="9"/>
        </w:numPr>
        <w:tabs>
          <w:tab w:val="left" w:pos="420"/>
        </w:tabs>
        <w:ind w:firstLine="480" w:firstLineChars="0"/>
        <w:rPr>
          <w:color w:val="auto"/>
        </w:rPr>
      </w:pPr>
      <w:r>
        <w:rPr>
          <w:rFonts w:hint="eastAsia"/>
          <w:color w:val="auto"/>
        </w:rPr>
        <w:t>各分项工程施工质量验收合格；</w:t>
      </w:r>
    </w:p>
    <w:p w14:paraId="0B1F4C4B">
      <w:pPr>
        <w:pStyle w:val="43"/>
        <w:numPr>
          <w:ilvl w:val="3"/>
          <w:numId w:val="9"/>
        </w:numPr>
        <w:tabs>
          <w:tab w:val="left" w:pos="420"/>
        </w:tabs>
        <w:ind w:firstLine="480" w:firstLineChars="0"/>
        <w:rPr>
          <w:color w:val="auto"/>
        </w:rPr>
      </w:pPr>
      <w:r>
        <w:rPr>
          <w:rFonts w:hint="eastAsia"/>
          <w:color w:val="auto"/>
        </w:rPr>
        <w:t>质量控制资料应完整；</w:t>
      </w:r>
    </w:p>
    <w:p w14:paraId="61549099">
      <w:pPr>
        <w:pStyle w:val="43"/>
        <w:numPr>
          <w:ilvl w:val="3"/>
          <w:numId w:val="9"/>
        </w:numPr>
        <w:tabs>
          <w:tab w:val="left" w:pos="420"/>
        </w:tabs>
        <w:ind w:firstLine="480" w:firstLineChars="0"/>
      </w:pPr>
      <w:r>
        <w:rPr>
          <w:rFonts w:hint="eastAsia"/>
          <w:color w:val="auto"/>
        </w:rPr>
        <w:t>有关安全及功能的结构检验和抽样检测结果应符合本规程及国家现行有关标准的规定；</w:t>
      </w:r>
    </w:p>
    <w:p w14:paraId="764E275C">
      <w:pPr>
        <w:pStyle w:val="43"/>
        <w:numPr>
          <w:ilvl w:val="3"/>
          <w:numId w:val="9"/>
        </w:numPr>
        <w:tabs>
          <w:tab w:val="left" w:pos="420"/>
        </w:tabs>
        <w:ind w:firstLine="480" w:firstLineChars="0"/>
      </w:pPr>
      <w:r>
        <w:rPr>
          <w:rFonts w:hint="eastAsia"/>
          <w:color w:val="auto"/>
        </w:rPr>
        <w:t>观感质量验收合格。</w:t>
      </w:r>
    </w:p>
    <w:p w14:paraId="35E60B4A">
      <w:pPr>
        <w:pStyle w:val="42"/>
        <w:numPr>
          <w:ilvl w:val="2"/>
          <w:numId w:val="9"/>
        </w:numPr>
        <w:rPr>
          <w:color w:val="auto"/>
        </w:rPr>
      </w:pPr>
      <w:r>
        <w:rPr>
          <w:rFonts w:hint="eastAsia"/>
          <w:color w:val="auto"/>
          <w:lang w:val="en-US" w:eastAsia="zh-CN"/>
        </w:rPr>
        <w:t>钢组件框架结构</w:t>
      </w:r>
      <w:r>
        <w:rPr>
          <w:rFonts w:hint="eastAsia"/>
          <w:color w:val="auto"/>
        </w:rPr>
        <w:t>子部分工程</w:t>
      </w:r>
      <w:r>
        <w:rPr>
          <w:color w:val="auto"/>
        </w:rPr>
        <w:t>质量验收时，应提供下列文件和记录</w:t>
      </w:r>
      <w:r>
        <w:rPr>
          <w:rFonts w:hint="eastAsia"/>
          <w:color w:val="auto"/>
        </w:rPr>
        <w:t>：</w:t>
      </w:r>
    </w:p>
    <w:p w14:paraId="28346B03">
      <w:pPr>
        <w:pStyle w:val="43"/>
        <w:numPr>
          <w:ilvl w:val="3"/>
          <w:numId w:val="9"/>
        </w:numPr>
        <w:ind w:firstLine="480" w:firstLineChars="0"/>
        <w:rPr>
          <w:color w:val="auto"/>
        </w:rPr>
      </w:pPr>
      <w:r>
        <w:rPr>
          <w:color w:val="auto"/>
        </w:rPr>
        <w:t>工程设计文件、深化设计文件</w:t>
      </w:r>
      <w:r>
        <w:rPr>
          <w:rFonts w:hint="eastAsia"/>
          <w:color w:val="auto"/>
        </w:rPr>
        <w:t>；</w:t>
      </w:r>
    </w:p>
    <w:p w14:paraId="7B563229">
      <w:pPr>
        <w:pStyle w:val="43"/>
        <w:numPr>
          <w:ilvl w:val="3"/>
          <w:numId w:val="9"/>
        </w:numPr>
        <w:tabs>
          <w:tab w:val="left" w:pos="420"/>
        </w:tabs>
        <w:ind w:firstLine="480" w:firstLineChars="0"/>
        <w:rPr>
          <w:color w:val="auto"/>
        </w:rPr>
      </w:pPr>
      <w:r>
        <w:rPr>
          <w:rFonts w:hint="eastAsia"/>
          <w:color w:val="auto"/>
        </w:rPr>
        <w:t>预制构件的质量证明文件、结构性能检验报告及进场验收记录；</w:t>
      </w:r>
    </w:p>
    <w:p w14:paraId="05D58414">
      <w:pPr>
        <w:pStyle w:val="43"/>
        <w:numPr>
          <w:ilvl w:val="3"/>
          <w:numId w:val="9"/>
        </w:numPr>
        <w:tabs>
          <w:tab w:val="left" w:pos="420"/>
        </w:tabs>
        <w:ind w:firstLine="480" w:firstLineChars="0"/>
        <w:rPr>
          <w:color w:val="auto"/>
        </w:rPr>
      </w:pPr>
      <w:r>
        <w:rPr>
          <w:rFonts w:hint="eastAsia"/>
          <w:color w:val="auto"/>
        </w:rPr>
        <w:t>主要材料的质量证明文件和抽样检验报告；</w:t>
      </w:r>
    </w:p>
    <w:p w14:paraId="21986624">
      <w:pPr>
        <w:pStyle w:val="43"/>
        <w:numPr>
          <w:ilvl w:val="3"/>
          <w:numId w:val="9"/>
        </w:numPr>
        <w:tabs>
          <w:tab w:val="left" w:pos="420"/>
        </w:tabs>
        <w:ind w:firstLine="480" w:firstLineChars="0"/>
        <w:rPr>
          <w:color w:val="auto"/>
        </w:rPr>
      </w:pPr>
      <w:r>
        <w:rPr>
          <w:rFonts w:hint="eastAsia"/>
          <w:color w:val="auto"/>
        </w:rPr>
        <w:t>预制构件安装验收记录；</w:t>
      </w:r>
    </w:p>
    <w:p w14:paraId="0E23D608">
      <w:pPr>
        <w:pStyle w:val="43"/>
        <w:numPr>
          <w:ilvl w:val="3"/>
          <w:numId w:val="9"/>
        </w:numPr>
        <w:tabs>
          <w:tab w:val="left" w:pos="420"/>
        </w:tabs>
        <w:ind w:firstLine="480" w:firstLineChars="0"/>
        <w:rPr>
          <w:color w:val="auto"/>
        </w:rPr>
      </w:pPr>
      <w:r>
        <w:rPr>
          <w:rFonts w:hint="eastAsia"/>
          <w:color w:val="auto"/>
        </w:rPr>
        <w:t>隐蔽工程验收记录；</w:t>
      </w:r>
    </w:p>
    <w:p w14:paraId="7570A951">
      <w:pPr>
        <w:pStyle w:val="43"/>
        <w:numPr>
          <w:ilvl w:val="3"/>
          <w:numId w:val="9"/>
        </w:numPr>
        <w:tabs>
          <w:tab w:val="left" w:pos="420"/>
        </w:tabs>
        <w:ind w:firstLine="480" w:firstLineChars="0"/>
        <w:rPr>
          <w:color w:val="auto"/>
        </w:rPr>
      </w:pPr>
      <w:r>
        <w:rPr>
          <w:rFonts w:hint="eastAsia"/>
          <w:color w:val="auto"/>
        </w:rPr>
        <w:t>混凝土、灌浆料试件的性能检测报告；</w:t>
      </w:r>
    </w:p>
    <w:p w14:paraId="0B5F2A82">
      <w:pPr>
        <w:pStyle w:val="43"/>
        <w:numPr>
          <w:ilvl w:val="3"/>
          <w:numId w:val="9"/>
        </w:numPr>
        <w:tabs>
          <w:tab w:val="left" w:pos="420"/>
        </w:tabs>
        <w:ind w:firstLine="480" w:firstLineChars="0"/>
        <w:rPr>
          <w:color w:val="auto"/>
        </w:rPr>
      </w:pPr>
      <w:r>
        <w:rPr>
          <w:rFonts w:hint="eastAsia"/>
          <w:color w:val="auto"/>
          <w:lang w:val="en-US" w:eastAsia="zh-CN"/>
        </w:rPr>
        <w:t>钢组件的质量证明文件和检验报告；</w:t>
      </w:r>
    </w:p>
    <w:p w14:paraId="16EEFCF9">
      <w:pPr>
        <w:pStyle w:val="43"/>
        <w:numPr>
          <w:ilvl w:val="3"/>
          <w:numId w:val="9"/>
        </w:numPr>
        <w:tabs>
          <w:tab w:val="left" w:pos="420"/>
        </w:tabs>
        <w:ind w:firstLine="480" w:firstLineChars="0"/>
        <w:rPr>
          <w:color w:val="auto"/>
        </w:rPr>
      </w:pPr>
      <w:r>
        <w:rPr>
          <w:rFonts w:hint="eastAsia"/>
          <w:color w:val="auto"/>
          <w:lang w:val="en-US" w:eastAsia="zh-CN"/>
        </w:rPr>
        <w:t>预留连接杆连接接头的检验报告；</w:t>
      </w:r>
    </w:p>
    <w:p w14:paraId="35C9DE88">
      <w:pPr>
        <w:pStyle w:val="43"/>
        <w:numPr>
          <w:ilvl w:val="3"/>
          <w:numId w:val="9"/>
        </w:numPr>
        <w:tabs>
          <w:tab w:val="left" w:pos="420"/>
        </w:tabs>
        <w:ind w:firstLine="480" w:firstLineChars="0"/>
        <w:rPr>
          <w:color w:val="auto"/>
        </w:rPr>
      </w:pPr>
      <w:r>
        <w:rPr>
          <w:rFonts w:hint="eastAsia"/>
          <w:color w:val="auto"/>
        </w:rPr>
        <w:t>所含各分项工程质量验收记录；</w:t>
      </w:r>
    </w:p>
    <w:p w14:paraId="6E0DF8DB">
      <w:pPr>
        <w:pStyle w:val="43"/>
        <w:numPr>
          <w:ilvl w:val="3"/>
          <w:numId w:val="9"/>
        </w:numPr>
        <w:tabs>
          <w:tab w:val="left" w:pos="420"/>
        </w:tabs>
        <w:ind w:firstLine="480" w:firstLineChars="0"/>
        <w:rPr>
          <w:color w:val="auto"/>
        </w:rPr>
      </w:pPr>
      <w:r>
        <w:rPr>
          <w:rFonts w:hint="eastAsia"/>
          <w:color w:val="auto"/>
        </w:rPr>
        <w:t>有关观感质量检验项目检查记录；</w:t>
      </w:r>
    </w:p>
    <w:p w14:paraId="07B665C8">
      <w:pPr>
        <w:pStyle w:val="43"/>
        <w:numPr>
          <w:ilvl w:val="3"/>
          <w:numId w:val="9"/>
        </w:numPr>
        <w:tabs>
          <w:tab w:val="left" w:pos="420"/>
        </w:tabs>
        <w:ind w:firstLine="480" w:firstLineChars="0"/>
      </w:pPr>
      <w:r>
        <w:rPr>
          <w:rFonts w:hint="eastAsia"/>
          <w:color w:val="auto"/>
        </w:rPr>
        <w:t>重大质量问题的处理方案和验收记录；</w:t>
      </w:r>
    </w:p>
    <w:p w14:paraId="122EB631">
      <w:pPr>
        <w:pStyle w:val="43"/>
        <w:numPr>
          <w:ilvl w:val="3"/>
          <w:numId w:val="9"/>
        </w:numPr>
        <w:tabs>
          <w:tab w:val="left" w:pos="420"/>
        </w:tabs>
        <w:ind w:firstLine="480" w:firstLineChars="0"/>
      </w:pPr>
      <w:r>
        <w:rPr>
          <w:rFonts w:hint="eastAsia"/>
          <w:color w:val="auto"/>
        </w:rPr>
        <w:t>其他必要的文件和记录。</w:t>
      </w:r>
    </w:p>
    <w:p w14:paraId="283EEFF1">
      <w:pPr>
        <w:pStyle w:val="42"/>
        <w:numPr>
          <w:ilvl w:val="2"/>
          <w:numId w:val="9"/>
        </w:numPr>
        <w:rPr>
          <w:color w:val="auto"/>
        </w:rPr>
      </w:pPr>
      <w:r>
        <w:rPr>
          <w:rFonts w:hint="eastAsia"/>
          <w:color w:val="auto"/>
          <w:lang w:val="en-US" w:eastAsia="zh-CN"/>
        </w:rPr>
        <w:t>钢组件框架结构</w:t>
      </w:r>
      <w:r>
        <w:rPr>
          <w:rFonts w:hint="eastAsia"/>
          <w:color w:val="auto"/>
        </w:rPr>
        <w:t>子分部工程施工质量验收合格后，应将所有验收文件存档备案。</w:t>
      </w:r>
    </w:p>
    <w:p w14:paraId="06B11A70">
      <w:pPr>
        <w:pStyle w:val="41"/>
        <w:numPr>
          <w:ilvl w:val="1"/>
          <w:numId w:val="9"/>
        </w:numPr>
        <w:spacing w:before="312" w:after="312"/>
      </w:pPr>
      <w:bookmarkStart w:id="65" w:name="_Toc17349"/>
      <w:bookmarkStart w:id="66" w:name="_Toc10804"/>
      <w:bookmarkStart w:id="67" w:name="_Toc30671"/>
      <w:r>
        <w:rPr>
          <w:rFonts w:hint="eastAsia"/>
        </w:rPr>
        <w:t>预制构件进场验收</w:t>
      </w:r>
      <w:bookmarkEnd w:id="65"/>
      <w:bookmarkEnd w:id="66"/>
      <w:bookmarkEnd w:id="67"/>
    </w:p>
    <w:p w14:paraId="6C98343F">
      <w:pPr>
        <w:numPr>
          <w:ilvl w:val="2"/>
          <w:numId w:val="0"/>
        </w:numPr>
        <w:tabs>
          <w:tab w:val="left" w:pos="420"/>
        </w:tabs>
        <w:spacing w:before="164" w:beforeLines="50" w:after="164" w:afterLines="50"/>
        <w:jc w:val="center"/>
        <w:outlineLvl w:val="2"/>
        <w:rPr>
          <w:b/>
          <w:bCs/>
          <w:color w:val="auto"/>
        </w:rPr>
      </w:pPr>
      <w:r>
        <w:rPr>
          <w:b/>
          <w:bCs/>
          <w:color w:val="auto"/>
        </w:rPr>
        <w:t>Ⅰ</w:t>
      </w:r>
      <w:r>
        <w:rPr>
          <w:rFonts w:hint="eastAsia"/>
          <w:b/>
          <w:bCs/>
          <w:color w:val="auto"/>
        </w:rPr>
        <w:t xml:space="preserve">  主控项目</w:t>
      </w:r>
    </w:p>
    <w:p w14:paraId="5A6B988D">
      <w:pPr>
        <w:pStyle w:val="42"/>
        <w:numPr>
          <w:ilvl w:val="2"/>
          <w:numId w:val="9"/>
        </w:numPr>
        <w:rPr>
          <w:color w:val="auto"/>
        </w:rPr>
      </w:pPr>
      <w:r>
        <w:rPr>
          <w:rFonts w:hint="eastAsia"/>
          <w:color w:val="auto"/>
        </w:rPr>
        <w:t>预制梁和预制柱</w:t>
      </w:r>
      <w:r>
        <w:rPr>
          <w:color w:val="auto"/>
        </w:rPr>
        <w:t>进场时，应检查质量证明文件</w:t>
      </w:r>
      <w:r>
        <w:rPr>
          <w:rFonts w:hint="eastAsia"/>
          <w:color w:val="auto"/>
        </w:rPr>
        <w:t>。</w:t>
      </w:r>
    </w:p>
    <w:p w14:paraId="0CBB4075">
      <w:pPr>
        <w:ind w:firstLine="480"/>
        <w:jc w:val="left"/>
        <w:rPr>
          <w:color w:val="auto"/>
        </w:rPr>
      </w:pPr>
      <w:r>
        <w:rPr>
          <w:color w:val="auto"/>
        </w:rPr>
        <w:t>检查数量</w:t>
      </w:r>
      <w:r>
        <w:rPr>
          <w:rFonts w:hint="eastAsia"/>
          <w:color w:val="auto"/>
        </w:rPr>
        <w:t>：</w:t>
      </w:r>
      <w:r>
        <w:rPr>
          <w:color w:val="auto"/>
        </w:rPr>
        <w:t>全数检查</w:t>
      </w:r>
      <w:r>
        <w:rPr>
          <w:rFonts w:hint="eastAsia"/>
          <w:color w:val="auto"/>
        </w:rPr>
        <w:t>。</w:t>
      </w:r>
    </w:p>
    <w:p w14:paraId="279C18F8">
      <w:pPr>
        <w:ind w:firstLine="480"/>
        <w:jc w:val="left"/>
        <w:rPr>
          <w:color w:val="auto"/>
        </w:rPr>
      </w:pPr>
      <w:r>
        <w:rPr>
          <w:color w:val="auto"/>
        </w:rPr>
        <w:t>检验方法</w:t>
      </w:r>
      <w:r>
        <w:rPr>
          <w:rFonts w:hint="eastAsia"/>
          <w:color w:val="auto"/>
        </w:rPr>
        <w:t>：</w:t>
      </w:r>
      <w:r>
        <w:rPr>
          <w:color w:val="auto"/>
        </w:rPr>
        <w:t>检查质量证明文件</w:t>
      </w:r>
      <w:r>
        <w:rPr>
          <w:rFonts w:hint="eastAsia"/>
          <w:color w:val="auto"/>
        </w:rPr>
        <w:t>或质量验收记录</w:t>
      </w:r>
      <w:r>
        <w:rPr>
          <w:color w:val="auto"/>
        </w:rPr>
        <w:t>。</w:t>
      </w:r>
    </w:p>
    <w:p w14:paraId="5FE25CF6">
      <w:pPr>
        <w:pStyle w:val="42"/>
        <w:numPr>
          <w:ilvl w:val="2"/>
          <w:numId w:val="9"/>
        </w:numPr>
        <w:rPr>
          <w:color w:val="auto"/>
        </w:rPr>
      </w:pPr>
      <w:r>
        <w:rPr>
          <w:rFonts w:hint="eastAsia"/>
          <w:color w:val="auto"/>
          <w:lang w:eastAsia="zh-CN"/>
        </w:rPr>
        <w:t>钢组件</w:t>
      </w:r>
      <w:r>
        <w:rPr>
          <w:rFonts w:hint="eastAsia"/>
          <w:color w:val="auto"/>
        </w:rPr>
        <w:t>的焊缝质量应符合设计要求和现行国家标准《钢结构工程施工质量验收标准》GB 50205的有关规定。</w:t>
      </w:r>
    </w:p>
    <w:p w14:paraId="362DB18F">
      <w:pPr>
        <w:ind w:firstLine="480"/>
        <w:jc w:val="left"/>
        <w:rPr>
          <w:color w:val="auto"/>
        </w:rPr>
      </w:pPr>
      <w:r>
        <w:rPr>
          <w:rFonts w:hint="eastAsia"/>
          <w:color w:val="auto"/>
        </w:rPr>
        <w:t>检查数量：全数检查。</w:t>
      </w:r>
    </w:p>
    <w:p w14:paraId="24961B7E">
      <w:pPr>
        <w:ind w:firstLine="480"/>
        <w:jc w:val="left"/>
        <w:rPr>
          <w:rFonts w:hint="eastAsia"/>
          <w:color w:val="auto"/>
        </w:rPr>
      </w:pPr>
      <w:r>
        <w:rPr>
          <w:rFonts w:hint="eastAsia"/>
          <w:color w:val="auto"/>
        </w:rPr>
        <w:t>检验方法：检查焊接记录及焊缝检测报告。</w:t>
      </w:r>
    </w:p>
    <w:p w14:paraId="652BF2CC">
      <w:pPr>
        <w:pStyle w:val="42"/>
        <w:numPr>
          <w:ilvl w:val="2"/>
          <w:numId w:val="9"/>
        </w:numPr>
        <w:rPr>
          <w:color w:val="auto"/>
        </w:rPr>
      </w:pPr>
      <w:r>
        <w:rPr>
          <w:rFonts w:hint="eastAsia"/>
          <w:color w:val="auto"/>
          <w:lang w:val="en-US" w:eastAsia="zh-CN"/>
        </w:rPr>
        <w:t>柱端分体式钢组件的拉伸性能应符合本规程附录A连接设计要求。</w:t>
      </w:r>
    </w:p>
    <w:p w14:paraId="18BE164F">
      <w:pPr>
        <w:pStyle w:val="42"/>
        <w:numPr>
          <w:ilvl w:val="2"/>
          <w:numId w:val="0"/>
        </w:numPr>
        <w:ind w:leftChars="0"/>
        <w:rPr>
          <w:rFonts w:hint="eastAsia"/>
          <w:color w:val="auto"/>
          <w:lang w:val="en-US" w:eastAsia="zh-CN"/>
        </w:rPr>
      </w:pPr>
      <w:r>
        <w:rPr>
          <w:rFonts w:hint="eastAsia"/>
          <w:color w:val="auto"/>
          <w:lang w:val="en-US" w:eastAsia="zh-CN"/>
        </w:rPr>
        <w:t xml:space="preserve">    检查数量：全数检查。</w:t>
      </w:r>
    </w:p>
    <w:p w14:paraId="03C4D044">
      <w:pPr>
        <w:pStyle w:val="42"/>
        <w:numPr>
          <w:ilvl w:val="2"/>
          <w:numId w:val="0"/>
        </w:numPr>
        <w:ind w:leftChars="0" w:firstLine="480" w:firstLineChars="200"/>
        <w:rPr>
          <w:rFonts w:hint="eastAsia"/>
          <w:color w:val="auto"/>
          <w:lang w:val="en-US" w:eastAsia="zh-CN"/>
        </w:rPr>
      </w:pPr>
      <w:r>
        <w:rPr>
          <w:rFonts w:hint="eastAsia"/>
          <w:color w:val="auto"/>
          <w:lang w:val="en-US" w:eastAsia="zh-CN"/>
        </w:rPr>
        <w:t>检验方法：检查钢组件检验报告。</w:t>
      </w:r>
    </w:p>
    <w:p w14:paraId="3283D596">
      <w:pPr>
        <w:pStyle w:val="42"/>
        <w:numPr>
          <w:ilvl w:val="2"/>
          <w:numId w:val="9"/>
        </w:numPr>
        <w:rPr>
          <w:color w:val="auto"/>
        </w:rPr>
      </w:pPr>
      <w:r>
        <w:rPr>
          <w:rFonts w:hint="eastAsia"/>
          <w:color w:val="auto"/>
          <w:lang w:val="en-US" w:eastAsia="zh-CN"/>
        </w:rPr>
        <w:t>预留连接杆与钢筋的连接接头的性能应符合本规程和国家现行有关标准的规定。</w:t>
      </w:r>
    </w:p>
    <w:p w14:paraId="5718D38F">
      <w:pPr>
        <w:pStyle w:val="42"/>
        <w:numPr>
          <w:ilvl w:val="2"/>
          <w:numId w:val="0"/>
        </w:numPr>
        <w:ind w:leftChars="0"/>
        <w:rPr>
          <w:rFonts w:hint="eastAsia"/>
          <w:color w:val="auto"/>
          <w:lang w:val="en-US" w:eastAsia="zh-CN"/>
        </w:rPr>
      </w:pPr>
      <w:r>
        <w:rPr>
          <w:rFonts w:hint="eastAsia"/>
          <w:color w:val="auto"/>
          <w:lang w:val="en-US" w:eastAsia="zh-CN"/>
        </w:rPr>
        <w:t xml:space="preserve">    检查数量：全数检查。</w:t>
      </w:r>
    </w:p>
    <w:p w14:paraId="142BCCB0">
      <w:pPr>
        <w:pStyle w:val="42"/>
        <w:numPr>
          <w:ilvl w:val="2"/>
          <w:numId w:val="0"/>
        </w:numPr>
        <w:ind w:leftChars="0" w:firstLine="480" w:firstLineChars="200"/>
        <w:rPr>
          <w:rFonts w:hint="eastAsia"/>
          <w:color w:val="auto"/>
          <w:lang w:val="en-US" w:eastAsia="zh-CN"/>
        </w:rPr>
      </w:pPr>
      <w:r>
        <w:rPr>
          <w:rFonts w:hint="eastAsia"/>
          <w:color w:val="auto"/>
          <w:lang w:val="en-US" w:eastAsia="zh-CN"/>
        </w:rPr>
        <w:t>检验方法：检查预留连接杆连接接头检验报告。</w:t>
      </w:r>
    </w:p>
    <w:p w14:paraId="428B32A4">
      <w:pPr>
        <w:pStyle w:val="42"/>
        <w:numPr>
          <w:ilvl w:val="2"/>
          <w:numId w:val="9"/>
        </w:numPr>
        <w:rPr>
          <w:color w:val="auto"/>
        </w:rPr>
      </w:pPr>
      <w:r>
        <w:rPr>
          <w:rFonts w:hint="eastAsia"/>
          <w:color w:val="auto"/>
        </w:rPr>
        <w:t>预制梁和预制柱的混凝土外观质量不应有严重缺陷，且不应有影响结构性能和安装、使用功能的尺寸偏差。</w:t>
      </w:r>
    </w:p>
    <w:p w14:paraId="27C23B99">
      <w:pPr>
        <w:ind w:firstLine="480"/>
        <w:jc w:val="left"/>
        <w:rPr>
          <w:color w:val="auto"/>
        </w:rPr>
      </w:pPr>
      <w:r>
        <w:rPr>
          <w:rFonts w:hint="eastAsia"/>
          <w:color w:val="auto"/>
        </w:rPr>
        <w:t>检查数量：全数检查。</w:t>
      </w:r>
    </w:p>
    <w:p w14:paraId="5B1590A2">
      <w:pPr>
        <w:ind w:firstLine="480"/>
        <w:jc w:val="left"/>
        <w:rPr>
          <w:color w:val="auto"/>
        </w:rPr>
      </w:pPr>
      <w:r>
        <w:rPr>
          <w:rFonts w:hint="eastAsia"/>
          <w:color w:val="auto"/>
        </w:rPr>
        <w:t>检验方法：观察、尺量；检查处理记录。</w:t>
      </w:r>
    </w:p>
    <w:p w14:paraId="2FC660F5">
      <w:pPr>
        <w:numPr>
          <w:ilvl w:val="2"/>
          <w:numId w:val="0"/>
        </w:numPr>
        <w:tabs>
          <w:tab w:val="left" w:pos="420"/>
        </w:tabs>
        <w:spacing w:before="164" w:beforeLines="50" w:after="164" w:afterLines="50"/>
        <w:jc w:val="center"/>
        <w:outlineLvl w:val="2"/>
        <w:rPr>
          <w:b/>
          <w:bCs/>
          <w:color w:val="auto"/>
        </w:rPr>
      </w:pPr>
      <w:r>
        <w:rPr>
          <w:rFonts w:hint="eastAsia"/>
          <w:b/>
          <w:bCs/>
          <w:color w:val="auto"/>
        </w:rPr>
        <w:t>Ⅱ  一般项目</w:t>
      </w:r>
    </w:p>
    <w:p w14:paraId="6F3BFBE6">
      <w:pPr>
        <w:pStyle w:val="42"/>
        <w:numPr>
          <w:ilvl w:val="2"/>
          <w:numId w:val="9"/>
        </w:numPr>
        <w:rPr>
          <w:color w:val="auto"/>
        </w:rPr>
      </w:pPr>
      <w:r>
        <w:rPr>
          <w:color w:val="auto"/>
        </w:rPr>
        <w:t>预制</w:t>
      </w:r>
      <w:r>
        <w:rPr>
          <w:rFonts w:hint="eastAsia"/>
          <w:color w:val="auto"/>
        </w:rPr>
        <w:t>梁和预制柱的</w:t>
      </w:r>
      <w:r>
        <w:rPr>
          <w:color w:val="auto"/>
        </w:rPr>
        <w:t>表面应设置标识，标识应包括项目名称、编号、生产日期、生产厂商、出厂检验等基本信息。</w:t>
      </w:r>
    </w:p>
    <w:p w14:paraId="03A429C9">
      <w:pPr>
        <w:ind w:firstLine="480"/>
        <w:jc w:val="left"/>
        <w:rPr>
          <w:color w:val="auto"/>
        </w:rPr>
      </w:pPr>
      <w:r>
        <w:rPr>
          <w:color w:val="auto"/>
        </w:rPr>
        <w:t>检查数量</w:t>
      </w:r>
      <w:r>
        <w:rPr>
          <w:rFonts w:hint="eastAsia"/>
          <w:color w:val="auto"/>
        </w:rPr>
        <w:t>：</w:t>
      </w:r>
      <w:r>
        <w:rPr>
          <w:color w:val="auto"/>
        </w:rPr>
        <w:t>全数检查。</w:t>
      </w:r>
    </w:p>
    <w:p w14:paraId="726211DE">
      <w:pPr>
        <w:ind w:firstLine="480"/>
        <w:jc w:val="left"/>
        <w:rPr>
          <w:color w:val="auto"/>
        </w:rPr>
      </w:pPr>
      <w:r>
        <w:rPr>
          <w:color w:val="auto"/>
        </w:rPr>
        <w:t>检验方法</w:t>
      </w:r>
      <w:r>
        <w:rPr>
          <w:rFonts w:hint="eastAsia"/>
          <w:color w:val="auto"/>
        </w:rPr>
        <w:t>：</w:t>
      </w:r>
      <w:r>
        <w:rPr>
          <w:color w:val="auto"/>
        </w:rPr>
        <w:t>观察。</w:t>
      </w:r>
    </w:p>
    <w:p w14:paraId="36E3E06A">
      <w:pPr>
        <w:pStyle w:val="42"/>
        <w:numPr>
          <w:ilvl w:val="2"/>
          <w:numId w:val="9"/>
        </w:numPr>
        <w:rPr>
          <w:color w:val="auto"/>
        </w:rPr>
      </w:pPr>
      <w:r>
        <w:rPr>
          <w:color w:val="auto"/>
        </w:rPr>
        <w:t>预制梁和预制柱的混凝土外观质量不</w:t>
      </w:r>
      <w:r>
        <w:rPr>
          <w:rFonts w:hint="eastAsia"/>
          <w:color w:val="auto"/>
          <w:lang w:val="en-US" w:eastAsia="zh-CN"/>
        </w:rPr>
        <w:t>宜</w:t>
      </w:r>
      <w:r>
        <w:rPr>
          <w:color w:val="auto"/>
        </w:rPr>
        <w:t>有一般缺陷，对出现的一般缺陷应要求构件制作单位按技术处理方案进行处理，并重新检查验收。</w:t>
      </w:r>
    </w:p>
    <w:p w14:paraId="524D3849">
      <w:pPr>
        <w:ind w:firstLine="480"/>
        <w:jc w:val="left"/>
        <w:rPr>
          <w:color w:val="auto"/>
        </w:rPr>
      </w:pPr>
      <w:r>
        <w:rPr>
          <w:color w:val="auto"/>
        </w:rPr>
        <w:t>检查数量</w:t>
      </w:r>
      <w:r>
        <w:rPr>
          <w:rFonts w:hint="eastAsia"/>
          <w:color w:val="auto"/>
        </w:rPr>
        <w:t>：全数</w:t>
      </w:r>
      <w:r>
        <w:rPr>
          <w:color w:val="auto"/>
        </w:rPr>
        <w:t>检查</w:t>
      </w:r>
      <w:r>
        <w:rPr>
          <w:rFonts w:hint="eastAsia"/>
          <w:color w:val="auto"/>
        </w:rPr>
        <w:t>。</w:t>
      </w:r>
    </w:p>
    <w:p w14:paraId="576DB6D9">
      <w:pPr>
        <w:ind w:firstLine="480"/>
        <w:jc w:val="left"/>
        <w:rPr>
          <w:color w:val="auto"/>
        </w:rPr>
      </w:pPr>
      <w:r>
        <w:rPr>
          <w:color w:val="auto"/>
        </w:rPr>
        <w:t>检验方法</w:t>
      </w:r>
      <w:r>
        <w:rPr>
          <w:rFonts w:hint="eastAsia"/>
          <w:color w:val="auto"/>
        </w:rPr>
        <w:t>：观察，检查技术处理方案和处理记录</w:t>
      </w:r>
      <w:r>
        <w:rPr>
          <w:color w:val="auto"/>
        </w:rPr>
        <w:t>。</w:t>
      </w:r>
    </w:p>
    <w:p w14:paraId="747EDC8F">
      <w:pPr>
        <w:pStyle w:val="42"/>
        <w:rPr>
          <w:color w:val="auto"/>
        </w:rPr>
      </w:pPr>
      <w:r>
        <w:rPr>
          <w:color w:val="auto"/>
        </w:rPr>
        <w:t>预制梁和预制柱</w:t>
      </w:r>
      <w:r>
        <w:rPr>
          <w:rFonts w:hint="eastAsia"/>
          <w:color w:val="auto"/>
          <w:lang w:val="en-US" w:eastAsia="zh-CN"/>
        </w:rPr>
        <w:t>粗糙面</w:t>
      </w:r>
      <w:r>
        <w:rPr>
          <w:color w:val="auto"/>
        </w:rPr>
        <w:t>的</w:t>
      </w:r>
      <w:r>
        <w:rPr>
          <w:rFonts w:hint="eastAsia"/>
          <w:color w:val="auto"/>
          <w:lang w:val="en-US" w:eastAsia="zh-CN"/>
        </w:rPr>
        <w:t>外观质量、键槽的外观质量和数量应符合设计要求</w:t>
      </w:r>
      <w:r>
        <w:rPr>
          <w:color w:val="auto"/>
        </w:rPr>
        <w:t>。</w:t>
      </w:r>
    </w:p>
    <w:p w14:paraId="0B953359">
      <w:pPr>
        <w:ind w:firstLine="480"/>
        <w:jc w:val="left"/>
        <w:rPr>
          <w:color w:val="auto"/>
        </w:rPr>
      </w:pPr>
      <w:r>
        <w:rPr>
          <w:color w:val="auto"/>
        </w:rPr>
        <w:t>检查数量</w:t>
      </w:r>
      <w:r>
        <w:rPr>
          <w:rFonts w:hint="eastAsia"/>
          <w:color w:val="auto"/>
        </w:rPr>
        <w:t>：全数</w:t>
      </w:r>
      <w:r>
        <w:rPr>
          <w:color w:val="auto"/>
        </w:rPr>
        <w:t>检查</w:t>
      </w:r>
      <w:r>
        <w:rPr>
          <w:rFonts w:hint="eastAsia"/>
          <w:color w:val="auto"/>
        </w:rPr>
        <w:t>。</w:t>
      </w:r>
    </w:p>
    <w:p w14:paraId="3220C4A4">
      <w:pPr>
        <w:ind w:firstLine="480"/>
        <w:jc w:val="left"/>
        <w:rPr>
          <w:color w:val="auto"/>
        </w:rPr>
      </w:pPr>
      <w:r>
        <w:rPr>
          <w:color w:val="auto"/>
        </w:rPr>
        <w:t>检验方法</w:t>
      </w:r>
      <w:r>
        <w:rPr>
          <w:rFonts w:hint="eastAsia"/>
          <w:color w:val="auto"/>
        </w:rPr>
        <w:t>：观察，</w:t>
      </w:r>
      <w:r>
        <w:rPr>
          <w:rFonts w:hint="eastAsia"/>
          <w:color w:val="auto"/>
          <w:lang w:val="en-US" w:eastAsia="zh-CN"/>
        </w:rPr>
        <w:t>量测</w:t>
      </w:r>
      <w:r>
        <w:rPr>
          <w:color w:val="auto"/>
        </w:rPr>
        <w:t>。</w:t>
      </w:r>
    </w:p>
    <w:p w14:paraId="19535D85">
      <w:pPr>
        <w:pStyle w:val="42"/>
        <w:numPr>
          <w:ilvl w:val="2"/>
          <w:numId w:val="9"/>
        </w:numPr>
        <w:rPr>
          <w:color w:val="auto"/>
        </w:rPr>
      </w:pPr>
      <w:r>
        <w:rPr>
          <w:rFonts w:hint="eastAsia"/>
          <w:color w:val="auto"/>
        </w:rPr>
        <w:t>预制梁和预制柱的尺寸偏差及检验方法应符合表</w:t>
      </w:r>
      <w:r>
        <w:rPr>
          <w:rFonts w:hint="eastAsia"/>
          <w:color w:val="auto"/>
          <w:lang w:val="en-US" w:eastAsia="zh-CN"/>
        </w:rPr>
        <w:t>7.2.10</w:t>
      </w:r>
      <w:r>
        <w:rPr>
          <w:rFonts w:hint="eastAsia"/>
          <w:color w:val="auto"/>
        </w:rPr>
        <w:t>的规定。</w:t>
      </w:r>
    </w:p>
    <w:p w14:paraId="43F1A24A">
      <w:pPr>
        <w:ind w:firstLine="480"/>
        <w:jc w:val="left"/>
        <w:rPr>
          <w:color w:val="auto"/>
        </w:rPr>
      </w:pPr>
      <w:r>
        <w:rPr>
          <w:rFonts w:hint="eastAsia"/>
          <w:color w:val="auto"/>
        </w:rPr>
        <w:t>检查数量：同一类型的构件，不超过100个为一批，每批应抽查构件数量的5%，且不应少于3个。</w:t>
      </w:r>
    </w:p>
    <w:p w14:paraId="0DCEC6A3">
      <w:pPr>
        <w:pStyle w:val="41"/>
        <w:numPr>
          <w:ilvl w:val="1"/>
          <w:numId w:val="9"/>
        </w:numPr>
        <w:spacing w:before="312" w:after="312"/>
      </w:pPr>
      <w:bookmarkStart w:id="68" w:name="_Toc296"/>
      <w:bookmarkStart w:id="69" w:name="_Toc3219"/>
      <w:bookmarkStart w:id="70" w:name="_Toc31318"/>
      <w:r>
        <w:rPr>
          <w:rFonts w:hint="eastAsia"/>
          <w:b/>
          <w:color w:val="auto"/>
          <w:szCs w:val="24"/>
        </w:rPr>
        <w:t>安装与连接质量验收</w:t>
      </w:r>
      <w:bookmarkEnd w:id="68"/>
      <w:bookmarkEnd w:id="69"/>
      <w:bookmarkEnd w:id="70"/>
    </w:p>
    <w:p w14:paraId="68D98E10">
      <w:pPr>
        <w:numPr>
          <w:ilvl w:val="2"/>
          <w:numId w:val="0"/>
        </w:numPr>
        <w:tabs>
          <w:tab w:val="left" w:pos="420"/>
        </w:tabs>
        <w:spacing w:before="164" w:beforeLines="50" w:after="164" w:afterLines="50"/>
        <w:jc w:val="center"/>
        <w:outlineLvl w:val="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Ⅰ  主控项目</w:t>
      </w:r>
    </w:p>
    <w:p w14:paraId="6662B74D">
      <w:pPr>
        <w:pStyle w:val="42"/>
        <w:numPr>
          <w:ilvl w:val="2"/>
          <w:numId w:val="9"/>
        </w:numPr>
        <w:rPr>
          <w:color w:val="auto"/>
        </w:rPr>
      </w:pPr>
      <w:r>
        <w:rPr>
          <w:rFonts w:hint="eastAsia"/>
          <w:color w:val="auto"/>
        </w:rPr>
        <w:t>预制梁与预制柱连接方式、主次梁连接方式应符合设计要求。</w:t>
      </w:r>
    </w:p>
    <w:p w14:paraId="7518E148">
      <w:pPr>
        <w:pStyle w:val="43"/>
        <w:numPr>
          <w:ilvl w:val="3"/>
          <w:numId w:val="0"/>
        </w:numPr>
        <w:tabs>
          <w:tab w:val="left" w:pos="420"/>
        </w:tabs>
        <w:ind w:left="482"/>
        <w:rPr>
          <w:color w:val="auto"/>
        </w:rPr>
      </w:pPr>
      <w:r>
        <w:rPr>
          <w:rFonts w:hint="eastAsia"/>
          <w:color w:val="auto"/>
        </w:rPr>
        <w:t>检查数量：全数检查。</w:t>
      </w:r>
    </w:p>
    <w:p w14:paraId="14A5ECC1">
      <w:pPr>
        <w:pStyle w:val="43"/>
        <w:numPr>
          <w:ilvl w:val="3"/>
          <w:numId w:val="0"/>
        </w:numPr>
        <w:tabs>
          <w:tab w:val="left" w:pos="420"/>
        </w:tabs>
        <w:ind w:left="482"/>
        <w:rPr>
          <w:rFonts w:hint="eastAsia"/>
          <w:color w:val="auto"/>
        </w:rPr>
      </w:pPr>
      <w:r>
        <w:rPr>
          <w:rFonts w:hint="eastAsia"/>
          <w:color w:val="auto"/>
        </w:rPr>
        <w:t>检验方法：观察、检查施工记录和隐蔽工程验收记录。</w:t>
      </w:r>
    </w:p>
    <w:p w14:paraId="1756CDD6">
      <w:pPr>
        <w:pStyle w:val="42"/>
        <w:numPr>
          <w:ilvl w:val="2"/>
          <w:numId w:val="9"/>
        </w:numPr>
        <w:rPr>
          <w:color w:val="auto"/>
        </w:rPr>
      </w:pPr>
      <w:r>
        <w:rPr>
          <w:rFonts w:hint="eastAsia"/>
          <w:color w:val="auto"/>
        </w:rPr>
        <w:t>预制梁和预制柱的临时固定措施应符合施工方案的要求。</w:t>
      </w:r>
    </w:p>
    <w:p w14:paraId="748C1515">
      <w:pPr>
        <w:ind w:firstLine="480"/>
        <w:jc w:val="left"/>
        <w:rPr>
          <w:color w:val="auto"/>
        </w:rPr>
      </w:pPr>
      <w:r>
        <w:rPr>
          <w:rFonts w:hint="eastAsia"/>
          <w:color w:val="auto"/>
        </w:rPr>
        <w:t>检查数量：全数检查。</w:t>
      </w:r>
    </w:p>
    <w:p w14:paraId="2FA68758">
      <w:pPr>
        <w:ind w:firstLine="480"/>
        <w:jc w:val="left"/>
        <w:rPr>
          <w:color w:val="auto"/>
        </w:rPr>
      </w:pPr>
      <w:r>
        <w:rPr>
          <w:rFonts w:hint="eastAsia"/>
          <w:color w:val="auto"/>
        </w:rPr>
        <w:t>检验方法：观察。</w:t>
      </w:r>
    </w:p>
    <w:p w14:paraId="76BA4C81">
      <w:pPr>
        <w:pStyle w:val="42"/>
        <w:numPr>
          <w:ilvl w:val="2"/>
          <w:numId w:val="9"/>
        </w:numPr>
        <w:rPr>
          <w:color w:val="auto"/>
        </w:rPr>
      </w:pPr>
      <w:r>
        <w:rPr>
          <w:rFonts w:hint="eastAsia"/>
          <w:color w:val="auto"/>
          <w:lang w:val="en-US" w:eastAsia="zh-CN"/>
        </w:rPr>
        <w:t>连接</w:t>
      </w:r>
      <w:r>
        <w:rPr>
          <w:rFonts w:hint="eastAsia"/>
          <w:color w:val="auto"/>
        </w:rPr>
        <w:t>螺栓的材质、规格、</w:t>
      </w:r>
      <w:r>
        <w:rPr>
          <w:rFonts w:hint="eastAsia"/>
          <w:color w:val="auto"/>
          <w:lang w:val="en-US" w:eastAsia="zh-CN"/>
        </w:rPr>
        <w:t>紧固</w:t>
      </w:r>
      <w:r>
        <w:rPr>
          <w:rFonts w:hint="eastAsia"/>
          <w:color w:val="auto"/>
        </w:rPr>
        <w:t>质量等应符合设计要求及现行国家标准《钢结构设计标准》GB 50017和《钢结构工程施工质量验收标准》GB 50205的有关规定。</w:t>
      </w:r>
    </w:p>
    <w:p w14:paraId="159EC1E8">
      <w:pPr>
        <w:pStyle w:val="43"/>
        <w:numPr>
          <w:ilvl w:val="3"/>
          <w:numId w:val="0"/>
        </w:numPr>
        <w:tabs>
          <w:tab w:val="left" w:pos="420"/>
        </w:tabs>
        <w:ind w:firstLine="480" w:firstLineChars="200"/>
        <w:rPr>
          <w:color w:val="auto"/>
        </w:rPr>
      </w:pPr>
      <w:r>
        <w:rPr>
          <w:rFonts w:hint="eastAsia"/>
          <w:color w:val="auto"/>
        </w:rPr>
        <w:t>检查数量和方法：按现行国家标准《钢结构工程施工质量验收标准》GB 50205的要求进行。</w:t>
      </w:r>
    </w:p>
    <w:p w14:paraId="70564DC3">
      <w:pPr>
        <w:pStyle w:val="42"/>
        <w:numPr>
          <w:ilvl w:val="2"/>
          <w:numId w:val="9"/>
        </w:numPr>
        <w:rPr>
          <w:color w:val="auto"/>
        </w:rPr>
      </w:pPr>
      <w:r>
        <w:rPr>
          <w:rFonts w:hint="eastAsia"/>
          <w:color w:val="auto"/>
        </w:rPr>
        <w:t>灌浆料进场时，应对灌浆料拌合物的流动度、泌水率、竖向膨胀率、1d抗压强度、3d抗压强度、28d抗压强度进行检验，检验结果应符合本规程第</w:t>
      </w:r>
      <w:r>
        <w:rPr>
          <w:rFonts w:hint="eastAsia"/>
          <w:color w:val="auto"/>
          <w:lang w:val="en-US" w:eastAsia="zh-CN"/>
        </w:rPr>
        <w:t>3.0.10</w:t>
      </w:r>
      <w:r>
        <w:rPr>
          <w:rFonts w:hint="eastAsia"/>
          <w:color w:val="auto"/>
        </w:rPr>
        <w:t>条的规定。</w:t>
      </w:r>
    </w:p>
    <w:p w14:paraId="4FE6EAC5">
      <w:pPr>
        <w:pStyle w:val="2"/>
        <w:ind w:firstLine="480"/>
        <w:rPr>
          <w:color w:val="auto"/>
        </w:rPr>
      </w:pPr>
      <w:r>
        <w:rPr>
          <w:rFonts w:hint="eastAsia"/>
          <w:color w:val="auto"/>
        </w:rPr>
        <w:t>检查数量：同一成分、同一批号的灌浆料，不超过50t为一批，每批应按现行国家标准《水泥基灌浆材料应用技术规范》GB/T 50448的有关规定随机抽取灌浆料制作试件。</w:t>
      </w:r>
    </w:p>
    <w:p w14:paraId="287B0660">
      <w:pPr>
        <w:pStyle w:val="2"/>
        <w:ind w:firstLine="480"/>
        <w:rPr>
          <w:color w:val="auto"/>
        </w:rPr>
      </w:pPr>
      <w:r>
        <w:rPr>
          <w:rFonts w:hint="eastAsia"/>
          <w:color w:val="auto"/>
        </w:rPr>
        <w:t>检验方法：检查质量证明文件和抽样检验报告。</w:t>
      </w:r>
    </w:p>
    <w:p w14:paraId="52266E58">
      <w:pPr>
        <w:pStyle w:val="42"/>
        <w:numPr>
          <w:ilvl w:val="2"/>
          <w:numId w:val="9"/>
        </w:numPr>
        <w:rPr>
          <w:color w:val="auto"/>
        </w:rPr>
      </w:pPr>
      <w:r>
        <w:rPr>
          <w:rFonts w:hint="eastAsia"/>
          <w:color w:val="auto"/>
          <w:lang w:val="en-US" w:eastAsia="zh-CN"/>
        </w:rPr>
        <w:t>预制柱连接处</w:t>
      </w:r>
      <w:r>
        <w:rPr>
          <w:rFonts w:hint="eastAsia"/>
          <w:color w:val="auto"/>
        </w:rPr>
        <w:t>灌浆料的28d强度应符合设计要求。</w:t>
      </w:r>
    </w:p>
    <w:p w14:paraId="2907DB91">
      <w:pPr>
        <w:ind w:firstLine="480"/>
        <w:jc w:val="left"/>
        <w:rPr>
          <w:color w:val="auto"/>
        </w:rPr>
      </w:pPr>
      <w:r>
        <w:rPr>
          <w:rFonts w:hint="eastAsia"/>
          <w:color w:val="auto"/>
        </w:rPr>
        <w:t>检查数量：按批检验，以每层为一检验批；每工作班应制作1组且每层不应少于3组</w:t>
      </w:r>
      <w:r>
        <w:rPr>
          <w:rFonts w:hint="eastAsia"/>
          <w:color w:val="auto"/>
          <w:lang w:val="en-US" w:eastAsia="zh-CN"/>
        </w:rPr>
        <w:t>10</w:t>
      </w:r>
      <w:r>
        <w:rPr>
          <w:rFonts w:hint="eastAsia"/>
          <w:color w:val="auto"/>
        </w:rPr>
        <w:t>0mm</w:t>
      </w:r>
      <w:r>
        <w:rPr>
          <w:color w:val="auto"/>
        </w:rPr>
        <w:t>×</w:t>
      </w:r>
      <w:r>
        <w:rPr>
          <w:rFonts w:hint="eastAsia"/>
          <w:color w:val="auto"/>
          <w:lang w:val="en-US" w:eastAsia="zh-CN"/>
        </w:rPr>
        <w:t>10</w:t>
      </w:r>
      <w:r>
        <w:rPr>
          <w:rFonts w:hint="eastAsia"/>
          <w:color w:val="auto"/>
        </w:rPr>
        <w:t>0mm</w:t>
      </w:r>
      <w:r>
        <w:rPr>
          <w:color w:val="auto"/>
        </w:rPr>
        <w:t>×</w:t>
      </w:r>
      <w:r>
        <w:rPr>
          <w:rFonts w:hint="eastAsia"/>
          <w:color w:val="auto"/>
        </w:rPr>
        <w:t>1</w:t>
      </w:r>
      <w:r>
        <w:rPr>
          <w:rFonts w:hint="eastAsia"/>
          <w:color w:val="auto"/>
          <w:lang w:val="en-US" w:eastAsia="zh-CN"/>
        </w:rPr>
        <w:t>0</w:t>
      </w:r>
      <w:r>
        <w:rPr>
          <w:rFonts w:hint="eastAsia"/>
          <w:color w:val="auto"/>
        </w:rPr>
        <w:t>0mm的</w:t>
      </w:r>
      <w:r>
        <w:rPr>
          <w:rFonts w:hint="eastAsia"/>
          <w:color w:val="auto"/>
          <w:lang w:val="en-US" w:eastAsia="zh-CN"/>
        </w:rPr>
        <w:t>立</w:t>
      </w:r>
      <w:r>
        <w:rPr>
          <w:rFonts w:hint="eastAsia"/>
          <w:color w:val="auto"/>
        </w:rPr>
        <w:t>方体试件，标准养护28d后进行抗压强度试验。</w:t>
      </w:r>
    </w:p>
    <w:p w14:paraId="47C45426">
      <w:pPr>
        <w:ind w:firstLine="480"/>
        <w:jc w:val="left"/>
        <w:rPr>
          <w:rFonts w:hint="eastAsia"/>
        </w:rPr>
      </w:pPr>
      <w:r>
        <w:rPr>
          <w:rFonts w:hint="eastAsia"/>
          <w:color w:val="auto"/>
        </w:rPr>
        <w:t>检验方法：检查灌浆料强度试验报告及评定记录。</w:t>
      </w:r>
    </w:p>
    <w:p w14:paraId="6EFE2CFA">
      <w:pPr>
        <w:pStyle w:val="42"/>
        <w:numPr>
          <w:ilvl w:val="2"/>
          <w:numId w:val="9"/>
        </w:numPr>
        <w:rPr>
          <w:rFonts w:hint="eastAsia"/>
          <w:color w:val="auto"/>
        </w:rPr>
      </w:pPr>
      <w:r>
        <w:rPr>
          <w:rFonts w:hint="eastAsia"/>
          <w:color w:val="auto"/>
          <w:lang w:val="en-US" w:eastAsia="zh-CN"/>
        </w:rPr>
        <w:t>预制柱</w:t>
      </w:r>
      <w:r>
        <w:rPr>
          <w:rFonts w:hint="eastAsia"/>
          <w:color w:val="auto"/>
        </w:rPr>
        <w:t>连接处，灌浆应饱满、密实。</w:t>
      </w:r>
    </w:p>
    <w:p w14:paraId="667AFF65">
      <w:pPr>
        <w:ind w:firstLine="480"/>
        <w:jc w:val="left"/>
        <w:rPr>
          <w:color w:val="auto"/>
        </w:rPr>
      </w:pPr>
      <w:r>
        <w:rPr>
          <w:rFonts w:hint="eastAsia"/>
          <w:color w:val="auto"/>
        </w:rPr>
        <w:t>检查数量：全数检查。</w:t>
      </w:r>
    </w:p>
    <w:p w14:paraId="7963F0D8">
      <w:pPr>
        <w:ind w:firstLine="480"/>
        <w:jc w:val="left"/>
        <w:rPr>
          <w:rFonts w:hint="eastAsia"/>
          <w:color w:val="auto"/>
        </w:rPr>
      </w:pPr>
      <w:r>
        <w:rPr>
          <w:rFonts w:hint="eastAsia"/>
          <w:color w:val="auto"/>
        </w:rPr>
        <w:t>检验方法：观察，检查灌浆施工记录。</w:t>
      </w:r>
    </w:p>
    <w:p w14:paraId="21418F3C">
      <w:pPr>
        <w:pStyle w:val="42"/>
        <w:numPr>
          <w:ilvl w:val="2"/>
          <w:numId w:val="9"/>
        </w:numPr>
        <w:rPr>
          <w:rFonts w:hint="eastAsia"/>
          <w:color w:val="auto"/>
        </w:rPr>
      </w:pPr>
      <w:r>
        <w:rPr>
          <w:rFonts w:hint="eastAsia"/>
          <w:color w:val="auto"/>
          <w:lang w:val="en-US" w:eastAsia="zh-CN"/>
        </w:rPr>
        <w:t>预制梁与预制柱连接段混凝土的强度应符合设计要求</w:t>
      </w:r>
      <w:r>
        <w:rPr>
          <w:rFonts w:hint="eastAsia"/>
          <w:color w:val="auto"/>
        </w:rPr>
        <w:t>。</w:t>
      </w:r>
    </w:p>
    <w:p w14:paraId="41757D50">
      <w:pPr>
        <w:ind w:firstLine="480"/>
        <w:jc w:val="left"/>
        <w:rPr>
          <w:color w:val="auto"/>
        </w:rPr>
      </w:pPr>
      <w:r>
        <w:rPr>
          <w:rFonts w:hint="eastAsia"/>
          <w:color w:val="auto"/>
        </w:rPr>
        <w:t>检查数量：</w:t>
      </w:r>
      <w:r>
        <w:rPr>
          <w:rFonts w:hint="eastAsia"/>
          <w:color w:val="auto"/>
          <w:lang w:val="en-US" w:eastAsia="zh-CN"/>
        </w:rPr>
        <w:t>按批检验</w:t>
      </w:r>
      <w:r>
        <w:rPr>
          <w:rFonts w:hint="eastAsia"/>
          <w:color w:val="auto"/>
        </w:rPr>
        <w:t>。</w:t>
      </w:r>
    </w:p>
    <w:p w14:paraId="0D46475D">
      <w:pPr>
        <w:ind w:firstLine="480"/>
        <w:jc w:val="left"/>
        <w:rPr>
          <w:rFonts w:hint="eastAsia"/>
          <w:color w:val="auto"/>
        </w:rPr>
      </w:pPr>
      <w:r>
        <w:rPr>
          <w:rFonts w:hint="eastAsia"/>
          <w:color w:val="auto"/>
        </w:rPr>
        <w:t>检验方法：</w:t>
      </w:r>
      <w:r>
        <w:rPr>
          <w:rFonts w:hint="eastAsia"/>
          <w:color w:val="auto"/>
          <w:lang w:val="en-US" w:eastAsia="zh-CN"/>
        </w:rPr>
        <w:t>应符合现行国家标准《混凝土强度检验评定标准》GB/T 50107的有关规定</w:t>
      </w:r>
      <w:r>
        <w:rPr>
          <w:rFonts w:hint="eastAsia"/>
          <w:color w:val="auto"/>
        </w:rPr>
        <w:t>。</w:t>
      </w:r>
    </w:p>
    <w:p w14:paraId="595B36FD">
      <w:pPr>
        <w:pStyle w:val="42"/>
        <w:numPr>
          <w:ilvl w:val="2"/>
          <w:numId w:val="9"/>
        </w:numPr>
        <w:rPr>
          <w:rFonts w:hint="eastAsia"/>
          <w:color w:val="auto"/>
        </w:rPr>
      </w:pPr>
      <w:r>
        <w:rPr>
          <w:rFonts w:hint="eastAsia"/>
          <w:color w:val="auto"/>
          <w:lang w:val="en-US" w:eastAsia="zh-CN"/>
        </w:rPr>
        <w:t>预制梁与预制柱连接段混凝土应饱满、密实</w:t>
      </w:r>
      <w:r>
        <w:rPr>
          <w:rFonts w:hint="eastAsia"/>
          <w:color w:val="auto"/>
        </w:rPr>
        <w:t>。</w:t>
      </w:r>
    </w:p>
    <w:p w14:paraId="38E792C1">
      <w:pPr>
        <w:ind w:firstLine="480"/>
        <w:jc w:val="left"/>
        <w:rPr>
          <w:color w:val="auto"/>
        </w:rPr>
      </w:pPr>
      <w:r>
        <w:rPr>
          <w:rFonts w:hint="eastAsia"/>
          <w:color w:val="auto"/>
        </w:rPr>
        <w:t>检查数量：</w:t>
      </w:r>
      <w:r>
        <w:rPr>
          <w:rFonts w:hint="eastAsia"/>
          <w:color w:val="auto"/>
          <w:lang w:val="en-US" w:eastAsia="zh-CN"/>
        </w:rPr>
        <w:t>全数检查</w:t>
      </w:r>
      <w:r>
        <w:rPr>
          <w:rFonts w:hint="eastAsia"/>
          <w:color w:val="auto"/>
        </w:rPr>
        <w:t>。</w:t>
      </w:r>
    </w:p>
    <w:p w14:paraId="339EE338">
      <w:pPr>
        <w:ind w:firstLine="480"/>
        <w:jc w:val="left"/>
        <w:rPr>
          <w:rFonts w:hint="eastAsia"/>
          <w:color w:val="auto"/>
        </w:rPr>
      </w:pPr>
      <w:r>
        <w:rPr>
          <w:rFonts w:hint="eastAsia"/>
          <w:color w:val="auto"/>
        </w:rPr>
        <w:t>检验方法：</w:t>
      </w:r>
      <w:r>
        <w:rPr>
          <w:rFonts w:hint="eastAsia"/>
          <w:color w:val="auto"/>
          <w:lang w:val="en-US" w:eastAsia="zh-CN"/>
        </w:rPr>
        <w:t>观察，检查浇筑记录</w:t>
      </w:r>
      <w:r>
        <w:rPr>
          <w:rFonts w:hint="eastAsia"/>
          <w:color w:val="auto"/>
        </w:rPr>
        <w:t>。</w:t>
      </w:r>
    </w:p>
    <w:p w14:paraId="08373364">
      <w:pPr>
        <w:numPr>
          <w:ilvl w:val="2"/>
          <w:numId w:val="0"/>
        </w:numPr>
        <w:tabs>
          <w:tab w:val="left" w:pos="420"/>
        </w:tabs>
        <w:spacing w:before="164" w:beforeLines="50" w:after="164" w:afterLines="50"/>
        <w:jc w:val="center"/>
        <w:outlineLvl w:val="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Ⅱ  一般项目</w:t>
      </w:r>
    </w:p>
    <w:p w14:paraId="47C7B534">
      <w:pPr>
        <w:pStyle w:val="42"/>
        <w:bidi w:val="0"/>
      </w:pPr>
      <w:r>
        <w:t>预制柱安装的尺寸允许偏差及检验方法应符合表</w:t>
      </w:r>
      <w:r>
        <w:rPr>
          <w:rFonts w:hint="eastAsia"/>
          <w:lang w:val="en-US" w:eastAsia="zh-CN"/>
        </w:rPr>
        <w:t>8.3.9</w:t>
      </w:r>
      <w:r>
        <w:rPr>
          <w:rFonts w:hint="eastAsia"/>
        </w:rPr>
        <w:t>的规定。</w:t>
      </w:r>
    </w:p>
    <w:p w14:paraId="2A880776">
      <w:pPr>
        <w:ind w:firstLine="480"/>
        <w:jc w:val="left"/>
        <w:rPr>
          <w:color w:val="auto"/>
        </w:rPr>
      </w:pPr>
      <w:r>
        <w:rPr>
          <w:rFonts w:hint="eastAsia"/>
          <w:color w:val="auto"/>
        </w:rPr>
        <w:t>检查数量：按楼层或施工段划分检验批。同一检验批内，应抽查构件数量的10%，且不少于3件。</w:t>
      </w:r>
    </w:p>
    <w:p w14:paraId="5703F229">
      <w:pPr>
        <w:pStyle w:val="45"/>
        <w:rPr>
          <w:color w:val="auto"/>
        </w:rPr>
      </w:pPr>
      <w:r>
        <w:rPr>
          <w:rFonts w:hint="eastAsia"/>
          <w:color w:val="auto"/>
        </w:rPr>
        <w:t>表</w:t>
      </w:r>
      <w:r>
        <w:rPr>
          <w:rFonts w:hint="eastAsia"/>
          <w:color w:val="auto"/>
          <w:lang w:val="en-US" w:eastAsia="zh-CN"/>
        </w:rPr>
        <w:t>8.3.9</w:t>
      </w:r>
      <w:r>
        <w:rPr>
          <w:color w:val="auto"/>
        </w:rPr>
        <w:t xml:space="preserve"> </w:t>
      </w:r>
      <w:r>
        <w:rPr>
          <w:rFonts w:hint="eastAsia"/>
          <w:color w:val="auto"/>
        </w:rPr>
        <w:t xml:space="preserve"> 预制柱安装的尺寸允许偏差及检验方法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2109"/>
        <w:gridCol w:w="2827"/>
        <w:gridCol w:w="2110"/>
      </w:tblGrid>
      <w:tr w14:paraId="30DE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101" w:type="pct"/>
            <w:gridSpan w:val="2"/>
            <w:vAlign w:val="center"/>
          </w:tcPr>
          <w:p w14:paraId="24D7A8ED">
            <w:pPr>
              <w:pStyle w:val="47"/>
              <w:rPr>
                <w:color w:val="auto"/>
              </w:rPr>
            </w:pPr>
            <w:r>
              <w:rPr>
                <w:color w:val="auto"/>
              </w:rPr>
              <w:t>项目</w:t>
            </w:r>
          </w:p>
        </w:tc>
        <w:tc>
          <w:tcPr>
            <w:tcW w:w="1659" w:type="pct"/>
            <w:noWrap/>
            <w:vAlign w:val="center"/>
          </w:tcPr>
          <w:p w14:paraId="788EDC4B">
            <w:pPr>
              <w:pStyle w:val="47"/>
              <w:rPr>
                <w:color w:val="auto"/>
              </w:rPr>
            </w:pPr>
            <w:r>
              <w:rPr>
                <w:rFonts w:hint="eastAsia"/>
                <w:color w:val="auto"/>
              </w:rPr>
              <w:t>允许偏差（mm）</w:t>
            </w:r>
          </w:p>
        </w:tc>
        <w:tc>
          <w:tcPr>
            <w:tcW w:w="1238" w:type="pct"/>
            <w:noWrap/>
            <w:vAlign w:val="center"/>
          </w:tcPr>
          <w:p w14:paraId="02DC6601">
            <w:pPr>
              <w:pStyle w:val="47"/>
              <w:rPr>
                <w:color w:val="auto"/>
              </w:rPr>
            </w:pPr>
            <w:r>
              <w:rPr>
                <w:rFonts w:hint="eastAsia"/>
                <w:color w:val="auto"/>
              </w:rPr>
              <w:t>检验方法</w:t>
            </w:r>
          </w:p>
        </w:tc>
      </w:tr>
      <w:tr w14:paraId="4FB6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101" w:type="pct"/>
            <w:gridSpan w:val="2"/>
            <w:vAlign w:val="center"/>
          </w:tcPr>
          <w:p w14:paraId="46D3C50C">
            <w:pPr>
              <w:pStyle w:val="47"/>
              <w:rPr>
                <w:color w:val="auto"/>
              </w:rPr>
            </w:pPr>
            <w:r>
              <w:rPr>
                <w:rFonts w:hint="eastAsia"/>
                <w:color w:val="auto"/>
              </w:rPr>
              <w:t>柱脚底座中心线偏移</w:t>
            </w:r>
          </w:p>
        </w:tc>
        <w:tc>
          <w:tcPr>
            <w:tcW w:w="1659" w:type="pct"/>
            <w:noWrap/>
            <w:vAlign w:val="center"/>
          </w:tcPr>
          <w:p w14:paraId="64BD3606">
            <w:pPr>
              <w:pStyle w:val="47"/>
              <w:rPr>
                <w:color w:val="auto"/>
              </w:rPr>
            </w:pPr>
            <w:r>
              <w:rPr>
                <w:rFonts w:hint="eastAsia"/>
                <w:color w:val="auto"/>
              </w:rPr>
              <w:t>5</w:t>
            </w:r>
          </w:p>
        </w:tc>
        <w:tc>
          <w:tcPr>
            <w:tcW w:w="1238" w:type="pct"/>
            <w:vMerge w:val="restart"/>
            <w:noWrap/>
            <w:vAlign w:val="center"/>
          </w:tcPr>
          <w:p w14:paraId="65F33A34">
            <w:pPr>
              <w:pStyle w:val="47"/>
              <w:rPr>
                <w:color w:val="auto"/>
              </w:rPr>
            </w:pPr>
            <w:r>
              <w:rPr>
                <w:rFonts w:hint="eastAsia"/>
                <w:color w:val="auto"/>
              </w:rPr>
              <w:t>吊线和钢尺量测</w:t>
            </w:r>
          </w:p>
        </w:tc>
      </w:tr>
      <w:tr w14:paraId="61FC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101" w:type="pct"/>
            <w:gridSpan w:val="2"/>
            <w:vAlign w:val="center"/>
          </w:tcPr>
          <w:p w14:paraId="4A922DE6">
            <w:pPr>
              <w:pStyle w:val="47"/>
              <w:rPr>
                <w:color w:val="auto"/>
              </w:rPr>
            </w:pPr>
            <w:r>
              <w:rPr>
                <w:rFonts w:hint="eastAsia"/>
                <w:color w:val="auto"/>
              </w:rPr>
              <w:t>连接处上下边缘偏移</w:t>
            </w:r>
          </w:p>
        </w:tc>
        <w:tc>
          <w:tcPr>
            <w:tcW w:w="1659" w:type="pct"/>
            <w:noWrap/>
            <w:vAlign w:val="center"/>
          </w:tcPr>
          <w:p w14:paraId="6B5C8563">
            <w:pPr>
              <w:pStyle w:val="47"/>
              <w:rPr>
                <w:color w:val="auto"/>
              </w:rPr>
            </w:pPr>
            <w:r>
              <w:rPr>
                <w:rFonts w:hint="eastAsia"/>
                <w:color w:val="auto"/>
              </w:rPr>
              <w:t>2</w:t>
            </w:r>
          </w:p>
        </w:tc>
        <w:tc>
          <w:tcPr>
            <w:tcW w:w="1238" w:type="pct"/>
            <w:vMerge w:val="continue"/>
            <w:noWrap/>
            <w:vAlign w:val="center"/>
          </w:tcPr>
          <w:p w14:paraId="0B4CCEE1">
            <w:pPr>
              <w:pStyle w:val="47"/>
              <w:rPr>
                <w:color w:val="auto"/>
              </w:rPr>
            </w:pPr>
          </w:p>
        </w:tc>
      </w:tr>
      <w:tr w14:paraId="334E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01" w:type="pct"/>
            <w:gridSpan w:val="2"/>
            <w:noWrap/>
            <w:vAlign w:val="center"/>
          </w:tcPr>
          <w:p w14:paraId="1519D0E4">
            <w:pPr>
              <w:pStyle w:val="47"/>
              <w:rPr>
                <w:color w:val="auto"/>
              </w:rPr>
            </w:pPr>
            <w:r>
              <w:rPr>
                <w:rFonts w:hint="eastAsia"/>
                <w:color w:val="auto"/>
              </w:rPr>
              <w:t>基准点标高</w:t>
            </w:r>
          </w:p>
        </w:tc>
        <w:tc>
          <w:tcPr>
            <w:tcW w:w="1659" w:type="pct"/>
            <w:noWrap/>
            <w:vAlign w:val="center"/>
          </w:tcPr>
          <w:p w14:paraId="6C401E7F">
            <w:pPr>
              <w:pStyle w:val="47"/>
              <w:rPr>
                <w:color w:val="auto"/>
              </w:rPr>
            </w:pPr>
            <w:r>
              <w:rPr>
                <w:color w:val="auto"/>
              </w:rPr>
              <w:t>±5</w:t>
            </w:r>
          </w:p>
        </w:tc>
        <w:tc>
          <w:tcPr>
            <w:tcW w:w="1238" w:type="pct"/>
            <w:noWrap/>
            <w:vAlign w:val="center"/>
          </w:tcPr>
          <w:p w14:paraId="03F60804">
            <w:pPr>
              <w:pStyle w:val="47"/>
              <w:rPr>
                <w:color w:val="auto"/>
              </w:rPr>
            </w:pPr>
            <w:r>
              <w:rPr>
                <w:rFonts w:hint="eastAsia"/>
                <w:color w:val="auto"/>
              </w:rPr>
              <w:t>水准仪</w:t>
            </w:r>
          </w:p>
        </w:tc>
      </w:tr>
      <w:tr w14:paraId="04BA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3" w:type="pct"/>
            <w:vMerge w:val="restart"/>
            <w:noWrap/>
            <w:vAlign w:val="center"/>
          </w:tcPr>
          <w:p w14:paraId="47BCDA3E">
            <w:pPr>
              <w:pStyle w:val="47"/>
              <w:rPr>
                <w:color w:val="auto"/>
              </w:rPr>
            </w:pPr>
            <w:r>
              <w:rPr>
                <w:rFonts w:hint="eastAsia"/>
                <w:color w:val="auto"/>
              </w:rPr>
              <w:t>垂直度</w:t>
            </w:r>
          </w:p>
        </w:tc>
        <w:tc>
          <w:tcPr>
            <w:tcW w:w="1238" w:type="pct"/>
            <w:vAlign w:val="center"/>
          </w:tcPr>
          <w:p w14:paraId="0EDF347B">
            <w:pPr>
              <w:pStyle w:val="47"/>
              <w:rPr>
                <w:color w:val="auto"/>
              </w:rPr>
            </w:pPr>
            <w:r>
              <w:rPr>
                <w:rFonts w:hint="eastAsia"/>
                <w:color w:val="auto"/>
              </w:rPr>
              <w:t>单</w:t>
            </w:r>
            <w:r>
              <w:rPr>
                <w:rFonts w:hint="eastAsia"/>
                <w:color w:val="auto"/>
                <w:lang w:val="en-US" w:eastAsia="zh-CN"/>
              </w:rPr>
              <w:t>节</w:t>
            </w:r>
            <w:r>
              <w:rPr>
                <w:rFonts w:hint="eastAsia"/>
                <w:color w:val="auto"/>
              </w:rPr>
              <w:t>柱</w:t>
            </w:r>
          </w:p>
        </w:tc>
        <w:tc>
          <w:tcPr>
            <w:tcW w:w="1659" w:type="pct"/>
            <w:noWrap/>
            <w:vAlign w:val="center"/>
          </w:tcPr>
          <w:p w14:paraId="1BD79743">
            <w:pPr>
              <w:pStyle w:val="47"/>
              <w:rPr>
                <w:color w:val="auto"/>
              </w:rPr>
            </w:pPr>
            <w:r>
              <w:rPr>
                <w:rFonts w:hint="eastAsia"/>
                <w:color w:val="auto"/>
              </w:rPr>
              <w:t>高度的1/1000，且不大于10</w:t>
            </w:r>
          </w:p>
        </w:tc>
        <w:tc>
          <w:tcPr>
            <w:tcW w:w="1238" w:type="pct"/>
            <w:vMerge w:val="restart"/>
            <w:noWrap/>
            <w:vAlign w:val="center"/>
          </w:tcPr>
          <w:p w14:paraId="5860391F">
            <w:pPr>
              <w:pStyle w:val="47"/>
              <w:rPr>
                <w:color w:val="auto"/>
              </w:rPr>
            </w:pPr>
            <w:r>
              <w:rPr>
                <w:rFonts w:hint="eastAsia"/>
                <w:color w:val="auto"/>
              </w:rPr>
              <w:t>经纬仪或全站仪量测</w:t>
            </w:r>
          </w:p>
        </w:tc>
      </w:tr>
      <w:tr w14:paraId="11BC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3" w:type="pct"/>
            <w:vMerge w:val="continue"/>
            <w:noWrap/>
            <w:vAlign w:val="center"/>
          </w:tcPr>
          <w:p w14:paraId="024E4156">
            <w:pPr>
              <w:pStyle w:val="47"/>
              <w:rPr>
                <w:color w:val="auto"/>
              </w:rPr>
            </w:pPr>
          </w:p>
        </w:tc>
        <w:tc>
          <w:tcPr>
            <w:tcW w:w="1238" w:type="pct"/>
            <w:vAlign w:val="center"/>
          </w:tcPr>
          <w:p w14:paraId="6130E308">
            <w:pPr>
              <w:pStyle w:val="47"/>
              <w:rPr>
                <w:color w:val="auto"/>
              </w:rPr>
            </w:pPr>
            <w:r>
              <w:rPr>
                <w:rFonts w:hint="eastAsia"/>
                <w:color w:val="auto"/>
              </w:rPr>
              <w:t>柱全高</w:t>
            </w:r>
          </w:p>
        </w:tc>
        <w:tc>
          <w:tcPr>
            <w:tcW w:w="1659" w:type="pct"/>
            <w:noWrap/>
            <w:vAlign w:val="center"/>
          </w:tcPr>
          <w:p w14:paraId="225BD7DC">
            <w:pPr>
              <w:pStyle w:val="47"/>
              <w:rPr>
                <w:rFonts w:hint="default" w:eastAsia="宋体"/>
                <w:color w:val="auto"/>
                <w:lang w:val="en-US" w:eastAsia="zh-CN"/>
              </w:rPr>
            </w:pPr>
            <w:r>
              <w:rPr>
                <w:rFonts w:hint="eastAsia"/>
                <w:color w:val="auto"/>
                <w:lang w:val="en-US" w:eastAsia="zh-CN"/>
              </w:rPr>
              <w:t>20</w:t>
            </w:r>
          </w:p>
        </w:tc>
        <w:tc>
          <w:tcPr>
            <w:tcW w:w="1238" w:type="pct"/>
            <w:vMerge w:val="continue"/>
            <w:noWrap/>
            <w:vAlign w:val="center"/>
          </w:tcPr>
          <w:p w14:paraId="5270FFCB">
            <w:pPr>
              <w:pStyle w:val="47"/>
              <w:rPr>
                <w:color w:val="auto"/>
              </w:rPr>
            </w:pPr>
          </w:p>
        </w:tc>
      </w:tr>
      <w:tr w14:paraId="5847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01" w:type="pct"/>
            <w:gridSpan w:val="2"/>
            <w:noWrap/>
            <w:vAlign w:val="center"/>
          </w:tcPr>
          <w:p w14:paraId="23D890A4">
            <w:pPr>
              <w:pStyle w:val="47"/>
              <w:rPr>
                <w:color w:val="auto"/>
              </w:rPr>
            </w:pPr>
            <w:r>
              <w:rPr>
                <w:rFonts w:hint="eastAsia"/>
                <w:color w:val="auto"/>
              </w:rPr>
              <w:t>同层柱顶标高差</w:t>
            </w:r>
          </w:p>
        </w:tc>
        <w:tc>
          <w:tcPr>
            <w:tcW w:w="1659" w:type="pct"/>
            <w:noWrap/>
            <w:vAlign w:val="center"/>
          </w:tcPr>
          <w:p w14:paraId="3E8C6293">
            <w:pPr>
              <w:pStyle w:val="47"/>
              <w:rPr>
                <w:color w:val="auto"/>
              </w:rPr>
            </w:pPr>
            <w:r>
              <w:rPr>
                <w:rFonts w:hint="eastAsia"/>
                <w:color w:val="auto"/>
              </w:rPr>
              <w:t>5</w:t>
            </w:r>
          </w:p>
        </w:tc>
        <w:tc>
          <w:tcPr>
            <w:tcW w:w="1238" w:type="pct"/>
            <w:vMerge w:val="continue"/>
            <w:noWrap/>
            <w:vAlign w:val="center"/>
          </w:tcPr>
          <w:p w14:paraId="4D3390AF">
            <w:pPr>
              <w:pStyle w:val="47"/>
              <w:rPr>
                <w:color w:val="auto"/>
              </w:rPr>
            </w:pPr>
          </w:p>
        </w:tc>
      </w:tr>
    </w:tbl>
    <w:p w14:paraId="688C531F">
      <w:pPr>
        <w:bidi w:val="0"/>
      </w:pPr>
    </w:p>
    <w:p w14:paraId="48D89C10">
      <w:pPr>
        <w:pStyle w:val="42"/>
        <w:bidi w:val="0"/>
      </w:pPr>
      <w:r>
        <w:rPr>
          <w:rFonts w:hint="eastAsia"/>
        </w:rPr>
        <w:t>预制梁安装的尺寸</w:t>
      </w:r>
      <w:r>
        <w:t>允许偏差及检验方法应符合表</w:t>
      </w:r>
      <w:r>
        <w:rPr>
          <w:rFonts w:hint="eastAsia"/>
          <w:lang w:val="en-US" w:eastAsia="zh-CN"/>
        </w:rPr>
        <w:t>8.3.10</w:t>
      </w:r>
      <w:r>
        <w:rPr>
          <w:rFonts w:hint="eastAsia"/>
        </w:rPr>
        <w:t>的规定。</w:t>
      </w:r>
    </w:p>
    <w:p w14:paraId="343296F9">
      <w:pPr>
        <w:ind w:firstLine="480"/>
        <w:jc w:val="left"/>
        <w:rPr>
          <w:color w:val="auto"/>
        </w:rPr>
      </w:pPr>
      <w:r>
        <w:rPr>
          <w:rFonts w:hint="eastAsia"/>
          <w:color w:val="auto"/>
        </w:rPr>
        <w:t>检查数量：按楼层或施工段划分检验批。同一检验批内，应抽查构件数量的10%，且不少于3件。</w:t>
      </w:r>
    </w:p>
    <w:p w14:paraId="1D4FD2FA">
      <w:pPr>
        <w:pStyle w:val="45"/>
        <w:rPr>
          <w:b/>
          <w:bCs/>
          <w:color w:val="auto"/>
        </w:rPr>
      </w:pPr>
      <w:r>
        <w:rPr>
          <w:rFonts w:hint="eastAsia"/>
          <w:color w:val="auto"/>
        </w:rPr>
        <w:t>表</w:t>
      </w:r>
      <w:r>
        <w:rPr>
          <w:rFonts w:hint="eastAsia"/>
          <w:color w:val="auto"/>
          <w:lang w:val="en-US" w:eastAsia="zh-CN"/>
        </w:rPr>
        <w:t>8.3.10</w:t>
      </w:r>
      <w:r>
        <w:rPr>
          <w:color w:val="auto"/>
        </w:rPr>
        <w:t xml:space="preserve"> </w:t>
      </w:r>
      <w:r>
        <w:rPr>
          <w:rFonts w:hint="eastAsia"/>
          <w:color w:val="auto"/>
        </w:rPr>
        <w:t xml:space="preserve"> 预制梁安装的尺寸允许偏差及检验方法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3377"/>
        <w:gridCol w:w="2366"/>
      </w:tblGrid>
      <w:tr w14:paraId="3C72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628" w:type="pct"/>
            <w:vAlign w:val="center"/>
          </w:tcPr>
          <w:p w14:paraId="4B53A321">
            <w:pPr>
              <w:pStyle w:val="47"/>
              <w:rPr>
                <w:color w:val="auto"/>
              </w:rPr>
            </w:pPr>
            <w:r>
              <w:rPr>
                <w:color w:val="auto"/>
              </w:rPr>
              <w:t>项目</w:t>
            </w:r>
          </w:p>
        </w:tc>
        <w:tc>
          <w:tcPr>
            <w:tcW w:w="1982" w:type="pct"/>
            <w:noWrap/>
            <w:vAlign w:val="center"/>
          </w:tcPr>
          <w:p w14:paraId="065A498B">
            <w:pPr>
              <w:pStyle w:val="47"/>
              <w:rPr>
                <w:color w:val="auto"/>
              </w:rPr>
            </w:pPr>
            <w:r>
              <w:rPr>
                <w:rFonts w:hint="eastAsia"/>
                <w:color w:val="auto"/>
              </w:rPr>
              <w:t>允许偏差（mm）</w:t>
            </w:r>
          </w:p>
        </w:tc>
        <w:tc>
          <w:tcPr>
            <w:tcW w:w="1389" w:type="pct"/>
            <w:noWrap/>
            <w:vAlign w:val="center"/>
          </w:tcPr>
          <w:p w14:paraId="0BC637A1">
            <w:pPr>
              <w:pStyle w:val="47"/>
              <w:rPr>
                <w:color w:val="auto"/>
              </w:rPr>
            </w:pPr>
            <w:r>
              <w:rPr>
                <w:rFonts w:hint="eastAsia"/>
                <w:color w:val="auto"/>
              </w:rPr>
              <w:t>检验方法</w:t>
            </w:r>
          </w:p>
        </w:tc>
      </w:tr>
      <w:tr w14:paraId="1CAF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628" w:type="pct"/>
            <w:vAlign w:val="center"/>
          </w:tcPr>
          <w:p w14:paraId="376A90D6">
            <w:pPr>
              <w:pStyle w:val="47"/>
              <w:rPr>
                <w:color w:val="auto"/>
              </w:rPr>
            </w:pPr>
            <w:r>
              <w:rPr>
                <w:rFonts w:hint="eastAsia"/>
                <w:color w:val="auto"/>
              </w:rPr>
              <w:t>梁中心线偏移</w:t>
            </w:r>
          </w:p>
        </w:tc>
        <w:tc>
          <w:tcPr>
            <w:tcW w:w="1982" w:type="pct"/>
            <w:noWrap/>
            <w:vAlign w:val="center"/>
          </w:tcPr>
          <w:p w14:paraId="0A2E526C">
            <w:pPr>
              <w:pStyle w:val="47"/>
              <w:rPr>
                <w:color w:val="auto"/>
              </w:rPr>
            </w:pPr>
            <w:r>
              <w:rPr>
                <w:rFonts w:hint="eastAsia"/>
                <w:color w:val="auto"/>
              </w:rPr>
              <w:t>2</w:t>
            </w:r>
          </w:p>
        </w:tc>
        <w:tc>
          <w:tcPr>
            <w:tcW w:w="1389" w:type="pct"/>
            <w:noWrap/>
            <w:vAlign w:val="center"/>
          </w:tcPr>
          <w:p w14:paraId="0F463E34">
            <w:pPr>
              <w:pStyle w:val="47"/>
              <w:rPr>
                <w:color w:val="auto"/>
              </w:rPr>
            </w:pPr>
            <w:r>
              <w:rPr>
                <w:rFonts w:hint="eastAsia"/>
                <w:color w:val="auto"/>
              </w:rPr>
              <w:t>钢尺量测</w:t>
            </w:r>
          </w:p>
        </w:tc>
      </w:tr>
      <w:tr w14:paraId="3C50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628" w:type="pct"/>
            <w:vAlign w:val="center"/>
          </w:tcPr>
          <w:p w14:paraId="6BC87DE6">
            <w:pPr>
              <w:pStyle w:val="47"/>
              <w:rPr>
                <w:color w:val="auto"/>
              </w:rPr>
            </w:pPr>
            <w:r>
              <w:rPr>
                <w:color w:val="auto"/>
              </w:rPr>
              <w:t>顶面标高</w:t>
            </w:r>
          </w:p>
        </w:tc>
        <w:tc>
          <w:tcPr>
            <w:tcW w:w="1982" w:type="pct"/>
            <w:noWrap/>
            <w:vAlign w:val="center"/>
          </w:tcPr>
          <w:p w14:paraId="7ED03586">
            <w:pPr>
              <w:pStyle w:val="47"/>
              <w:rPr>
                <w:color w:val="auto"/>
              </w:rPr>
            </w:pPr>
            <w:r>
              <w:rPr>
                <w:color w:val="auto"/>
              </w:rPr>
              <w:t>±5</w:t>
            </w:r>
          </w:p>
        </w:tc>
        <w:tc>
          <w:tcPr>
            <w:tcW w:w="1389" w:type="pct"/>
            <w:noWrap/>
            <w:vAlign w:val="center"/>
          </w:tcPr>
          <w:p w14:paraId="5E7E4494">
            <w:pPr>
              <w:pStyle w:val="47"/>
              <w:rPr>
                <w:color w:val="auto"/>
              </w:rPr>
            </w:pPr>
            <w:r>
              <w:rPr>
                <w:rFonts w:hint="eastAsia"/>
                <w:color w:val="auto"/>
              </w:rPr>
              <w:t>水准仪</w:t>
            </w:r>
          </w:p>
        </w:tc>
      </w:tr>
      <w:tr w14:paraId="7C08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628" w:type="pct"/>
            <w:noWrap/>
            <w:vAlign w:val="center"/>
          </w:tcPr>
          <w:p w14:paraId="542ECAEB">
            <w:pPr>
              <w:pStyle w:val="47"/>
              <w:rPr>
                <w:color w:val="auto"/>
              </w:rPr>
            </w:pPr>
            <w:r>
              <w:rPr>
                <w:color w:val="auto"/>
              </w:rPr>
              <w:t>两端顶面高差</w:t>
            </w:r>
          </w:p>
        </w:tc>
        <w:tc>
          <w:tcPr>
            <w:tcW w:w="1982" w:type="pct"/>
            <w:noWrap/>
            <w:vAlign w:val="center"/>
          </w:tcPr>
          <w:p w14:paraId="64D2589E">
            <w:pPr>
              <w:pStyle w:val="47"/>
              <w:rPr>
                <w:color w:val="auto"/>
              </w:rPr>
            </w:pPr>
            <w:r>
              <w:rPr>
                <w:color w:val="auto"/>
              </w:rPr>
              <w:t>长度的</w:t>
            </w:r>
            <w:r>
              <w:rPr>
                <w:rFonts w:hint="eastAsia"/>
                <w:color w:val="auto"/>
              </w:rPr>
              <w:t>1/1000，且不大于10</w:t>
            </w:r>
          </w:p>
        </w:tc>
        <w:tc>
          <w:tcPr>
            <w:tcW w:w="1389" w:type="pct"/>
            <w:noWrap/>
            <w:vAlign w:val="center"/>
          </w:tcPr>
          <w:p w14:paraId="1DCA92F4">
            <w:pPr>
              <w:pStyle w:val="47"/>
              <w:rPr>
                <w:color w:val="auto"/>
              </w:rPr>
            </w:pPr>
            <w:r>
              <w:rPr>
                <w:color w:val="auto"/>
              </w:rPr>
              <w:t>水准仪</w:t>
            </w:r>
          </w:p>
        </w:tc>
      </w:tr>
      <w:tr w14:paraId="0504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628" w:type="pct"/>
            <w:noWrap/>
            <w:vAlign w:val="center"/>
          </w:tcPr>
          <w:p w14:paraId="26076B11">
            <w:pPr>
              <w:pStyle w:val="47"/>
              <w:rPr>
                <w:color w:val="auto"/>
              </w:rPr>
            </w:pPr>
            <w:r>
              <w:rPr>
                <w:color w:val="auto"/>
              </w:rPr>
              <w:t>主次梁顶面高差</w:t>
            </w:r>
          </w:p>
        </w:tc>
        <w:tc>
          <w:tcPr>
            <w:tcW w:w="1982" w:type="pct"/>
            <w:noWrap/>
            <w:vAlign w:val="center"/>
          </w:tcPr>
          <w:p w14:paraId="16D2BE2E">
            <w:pPr>
              <w:pStyle w:val="47"/>
              <w:rPr>
                <w:rFonts w:hint="eastAsia" w:eastAsia="宋体"/>
                <w:color w:val="auto"/>
                <w:lang w:eastAsia="zh-CN"/>
              </w:rPr>
            </w:pPr>
            <w:r>
              <w:rPr>
                <w:rFonts w:hint="eastAsia"/>
                <w:color w:val="auto"/>
                <w:lang w:val="en-US" w:eastAsia="zh-CN"/>
              </w:rPr>
              <w:t>3</w:t>
            </w:r>
          </w:p>
        </w:tc>
        <w:tc>
          <w:tcPr>
            <w:tcW w:w="1389" w:type="pct"/>
            <w:noWrap/>
            <w:vAlign w:val="center"/>
          </w:tcPr>
          <w:p w14:paraId="64BDBD4D">
            <w:pPr>
              <w:pStyle w:val="47"/>
              <w:rPr>
                <w:color w:val="auto"/>
              </w:rPr>
            </w:pPr>
            <w:r>
              <w:rPr>
                <w:color w:val="auto"/>
              </w:rPr>
              <w:t>尺量</w:t>
            </w:r>
          </w:p>
        </w:tc>
      </w:tr>
      <w:tr w14:paraId="7E38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628" w:type="pct"/>
            <w:noWrap/>
            <w:vAlign w:val="center"/>
          </w:tcPr>
          <w:p w14:paraId="4DB6CE3F">
            <w:pPr>
              <w:pStyle w:val="47"/>
              <w:rPr>
                <w:color w:val="auto"/>
              </w:rPr>
            </w:pPr>
            <w:r>
              <w:rPr>
                <w:rFonts w:hint="eastAsia"/>
                <w:color w:val="auto"/>
              </w:rPr>
              <w:t>倾斜度</w:t>
            </w:r>
          </w:p>
        </w:tc>
        <w:tc>
          <w:tcPr>
            <w:tcW w:w="1982" w:type="pct"/>
            <w:noWrap/>
            <w:vAlign w:val="center"/>
          </w:tcPr>
          <w:p w14:paraId="57D53AFD">
            <w:pPr>
              <w:pStyle w:val="47"/>
              <w:rPr>
                <w:color w:val="auto"/>
              </w:rPr>
            </w:pPr>
            <w:r>
              <w:rPr>
                <w:rFonts w:hint="eastAsia"/>
                <w:color w:val="auto"/>
              </w:rPr>
              <w:t>5</w:t>
            </w:r>
          </w:p>
        </w:tc>
        <w:tc>
          <w:tcPr>
            <w:tcW w:w="1389" w:type="pct"/>
            <w:noWrap/>
            <w:vAlign w:val="center"/>
          </w:tcPr>
          <w:p w14:paraId="6C180939">
            <w:pPr>
              <w:pStyle w:val="47"/>
              <w:rPr>
                <w:color w:val="auto"/>
              </w:rPr>
            </w:pPr>
            <w:r>
              <w:rPr>
                <w:rFonts w:hint="eastAsia"/>
                <w:color w:val="auto"/>
              </w:rPr>
              <w:t>经纬仪或吊线、尺量</w:t>
            </w:r>
          </w:p>
        </w:tc>
      </w:tr>
    </w:tbl>
    <w:p w14:paraId="246C60EC">
      <w:pPr>
        <w:ind w:firstLine="480"/>
        <w:jc w:val="left"/>
        <w:rPr>
          <w:color w:val="auto"/>
        </w:rPr>
      </w:pPr>
    </w:p>
    <w:p w14:paraId="1FF82860">
      <w:pPr>
        <w:ind w:firstLine="480"/>
        <w:jc w:val="left"/>
        <w:rPr>
          <w:color w:val="0D0D0D" w:themeColor="text1" w:themeTint="F2"/>
          <w14:textFill>
            <w14:solidFill>
              <w14:schemeClr w14:val="tx1">
                <w14:lumMod w14:val="95000"/>
                <w14:lumOff w14:val="5000"/>
              </w14:schemeClr>
            </w14:solidFill>
          </w14:textFill>
        </w:rPr>
      </w:pPr>
    </w:p>
    <w:p w14:paraId="6E0E5895">
      <w:pPr>
        <w:ind w:firstLine="480"/>
        <w:jc w:val="left"/>
        <w:rPr>
          <w:color w:val="0D0D0D" w:themeColor="text1" w:themeTint="F2"/>
          <w14:textFill>
            <w14:solidFill>
              <w14:schemeClr w14:val="tx1">
                <w14:lumMod w14:val="95000"/>
                <w14:lumOff w14:val="5000"/>
              </w14:schemeClr>
            </w14:solidFill>
          </w14:textFill>
        </w:rPr>
      </w:pPr>
    </w:p>
    <w:p w14:paraId="46A223E5">
      <w:pPr>
        <w:ind w:firstLine="480"/>
        <w:jc w:val="left"/>
        <w:rPr>
          <w:color w:val="0D0D0D" w:themeColor="text1" w:themeTint="F2"/>
          <w14:textFill>
            <w14:solidFill>
              <w14:schemeClr w14:val="tx1">
                <w14:lumMod w14:val="95000"/>
                <w14:lumOff w14:val="5000"/>
              </w14:schemeClr>
            </w14:solidFill>
          </w14:textFill>
        </w:rPr>
        <w:sectPr>
          <w:pgSz w:w="11906" w:h="16838"/>
          <w:pgMar w:top="1440" w:right="1803" w:bottom="1440" w:left="1803" w:header="283" w:footer="850" w:gutter="0"/>
          <w:pgNumType w:fmt="decimal"/>
          <w:cols w:space="0" w:num="1"/>
          <w:titlePg/>
          <w:rtlGutter w:val="0"/>
          <w:docGrid w:type="lines" w:linePitch="328" w:charSpace="0"/>
        </w:sectPr>
      </w:pPr>
    </w:p>
    <w:p w14:paraId="501CD9DE">
      <w:pPr>
        <w:pStyle w:val="39"/>
        <w:numPr>
          <w:ilvl w:val="0"/>
          <w:numId w:val="0"/>
        </w:numPr>
        <w:spacing w:before="312" w:after="312"/>
        <w:jc w:val="center"/>
      </w:pPr>
      <w:bookmarkStart w:id="71" w:name="_Toc24923"/>
      <w:bookmarkStart w:id="72" w:name="_Toc16056"/>
      <w:bookmarkStart w:id="73" w:name="_Toc22541"/>
      <w:bookmarkStart w:id="74" w:name="_Toc1234"/>
      <w:bookmarkStart w:id="75" w:name="_Toc13935"/>
      <w:bookmarkStart w:id="76" w:name="_Toc14313"/>
      <w:bookmarkStart w:id="77" w:name="_Toc26219"/>
      <w:bookmarkStart w:id="78" w:name="_Toc7613"/>
      <w:bookmarkStart w:id="79" w:name="_Toc707"/>
      <w:bookmarkStart w:id="80" w:name="_Toc8252"/>
      <w:bookmarkStart w:id="81" w:name="_Toc27501"/>
      <w:bookmarkStart w:id="82" w:name="_Toc8423"/>
      <w:r>
        <w:rPr>
          <w:rFonts w:hint="eastAsia"/>
          <w:lang w:eastAsia="zh-CN"/>
        </w:rPr>
        <w:t>附录</w:t>
      </w:r>
      <w:r>
        <w:rPr>
          <w:rFonts w:hint="eastAsia"/>
          <w:lang w:val="en-US" w:eastAsia="zh-CN"/>
        </w:rPr>
        <w:t>A 柱端钢组件拉伸性能检验</w:t>
      </w:r>
      <w:bookmarkEnd w:id="71"/>
      <w:bookmarkEnd w:id="72"/>
      <w:bookmarkEnd w:id="73"/>
      <w:bookmarkEnd w:id="74"/>
      <w:bookmarkEnd w:id="75"/>
      <w:bookmarkEnd w:id="76"/>
      <w:bookmarkEnd w:id="77"/>
    </w:p>
    <w:p w14:paraId="1B8AD762">
      <w:pPr>
        <w:ind w:firstLine="0" w:firstLineChars="0"/>
        <w:jc w:val="left"/>
        <w:rPr>
          <w:rFonts w:hint="eastAsia"/>
          <w:color w:val="auto"/>
          <w:lang w:val="en-US" w:eastAsia="zh-CN"/>
        </w:rPr>
      </w:pPr>
      <w:r>
        <w:rPr>
          <w:rFonts w:hint="eastAsia"/>
          <w:b/>
          <w:bCs/>
          <w:color w:val="auto"/>
          <w:lang w:val="en-US" w:eastAsia="zh-CN"/>
        </w:rPr>
        <w:t>A.0.1</w:t>
      </w:r>
      <w:r>
        <w:rPr>
          <w:rFonts w:hint="eastAsia"/>
          <w:color w:val="auto"/>
          <w:lang w:val="en-US" w:eastAsia="zh-CN"/>
        </w:rPr>
        <w:t xml:space="preserve"> 对同一规格的柱端钢组件应随机抽取不少于3件，并应按下列规定加工成试件（图A.0.1）：</w:t>
      </w:r>
    </w:p>
    <w:p w14:paraId="2A5C967F">
      <w:pPr>
        <w:pStyle w:val="43"/>
        <w:numPr>
          <w:ilvl w:val="3"/>
          <w:numId w:val="7"/>
        </w:numPr>
        <w:bidi w:val="0"/>
        <w:rPr>
          <w:rFonts w:hint="eastAsia"/>
          <w:color w:val="auto"/>
          <w:lang w:val="en-US" w:eastAsia="zh-CN"/>
        </w:rPr>
      </w:pPr>
      <w:r>
        <w:rPr>
          <w:rFonts w:hint="eastAsia"/>
          <w:color w:val="auto"/>
          <w:lang w:val="en-US" w:eastAsia="zh-CN"/>
        </w:rPr>
        <w:t>前端钢筋应与实际工程中侧板焊接钢筋规格、批次相同，伸出侧板的长度不应小于20</w:t>
      </w:r>
      <w:r>
        <w:rPr>
          <w:rFonts w:hint="eastAsia"/>
          <w:i/>
          <w:iCs/>
          <w:color w:val="auto"/>
          <w:lang w:val="en-US" w:eastAsia="zh-CN"/>
        </w:rPr>
        <w:t>d</w:t>
      </w:r>
      <w:r>
        <w:rPr>
          <w:rFonts w:hint="eastAsia" w:ascii="Times New Roman" w:hAnsi="Times New Roman" w:cs="Times New Roman"/>
          <w:color w:val="auto"/>
          <w:vertAlign w:val="subscript"/>
          <w:lang w:val="en-US" w:eastAsia="zh-CN"/>
        </w:rPr>
        <w:t>1</w:t>
      </w:r>
      <w:r>
        <w:rPr>
          <w:rFonts w:hint="eastAsia"/>
          <w:color w:val="auto"/>
          <w:vertAlign w:val="baseline"/>
          <w:lang w:val="en-US" w:eastAsia="zh-CN"/>
        </w:rPr>
        <w:t>，</w:t>
      </w:r>
      <w:r>
        <w:rPr>
          <w:rFonts w:hint="eastAsia"/>
          <w:i/>
          <w:iCs/>
          <w:color w:val="auto"/>
          <w:lang w:val="en-US" w:eastAsia="zh-CN"/>
        </w:rPr>
        <w:t>d</w:t>
      </w:r>
      <w:r>
        <w:rPr>
          <w:rFonts w:hint="eastAsia" w:ascii="Times New Roman" w:hAnsi="Times New Roman" w:cs="Times New Roman"/>
          <w:color w:val="auto"/>
          <w:vertAlign w:val="subscript"/>
          <w:lang w:val="en-US" w:eastAsia="zh-CN"/>
        </w:rPr>
        <w:t>1</w:t>
      </w:r>
      <w:r>
        <w:rPr>
          <w:rFonts w:hint="eastAsia"/>
          <w:color w:val="auto"/>
          <w:lang w:val="en-US" w:eastAsia="zh-CN"/>
        </w:rPr>
        <w:t>为前端钢筋直径；后端螺杆应与实际工程中使用的螺杆规格、批次相同，夹持段距底板的距离不应小于2</w:t>
      </w:r>
      <w:r>
        <w:rPr>
          <w:rFonts w:hint="eastAsia"/>
          <w:i/>
          <w:iCs/>
          <w:color w:val="auto"/>
          <w:lang w:val="en-US" w:eastAsia="zh-CN"/>
        </w:rPr>
        <w:t>d</w:t>
      </w:r>
      <w:r>
        <w:rPr>
          <w:rFonts w:hint="eastAsia"/>
          <w:color w:val="auto"/>
          <w:lang w:val="en-US" w:eastAsia="zh-CN"/>
        </w:rPr>
        <w:t>，</w:t>
      </w:r>
      <w:r>
        <w:rPr>
          <w:rFonts w:hint="eastAsia"/>
          <w:i/>
          <w:iCs/>
          <w:color w:val="auto"/>
          <w:lang w:val="en-US" w:eastAsia="zh-CN"/>
        </w:rPr>
        <w:t>d</w:t>
      </w:r>
      <w:r>
        <w:rPr>
          <w:rFonts w:hint="eastAsia"/>
          <w:color w:val="auto"/>
          <w:lang w:val="en-US" w:eastAsia="zh-CN"/>
        </w:rPr>
        <w:t>为螺杆直径；</w:t>
      </w:r>
    </w:p>
    <w:p w14:paraId="53B29ED0">
      <w:pPr>
        <w:pStyle w:val="43"/>
        <w:numPr>
          <w:ilvl w:val="3"/>
          <w:numId w:val="7"/>
        </w:numPr>
        <w:bidi w:val="0"/>
        <w:rPr>
          <w:color w:val="0D0D0D" w:themeColor="text1" w:themeTint="F2"/>
          <w14:textFill>
            <w14:solidFill>
              <w14:schemeClr w14:val="tx1">
                <w14:lumMod w14:val="95000"/>
                <w14:lumOff w14:val="5000"/>
              </w14:schemeClr>
            </w14:solidFill>
          </w14:textFill>
        </w:rPr>
      </w:pPr>
      <w:r>
        <w:rPr>
          <w:rFonts w:hint="eastAsia"/>
          <w:lang w:val="en-US" w:eastAsia="zh-CN"/>
        </w:rPr>
        <w:t>应设置用于夹持的辅助工装；辅助工装应采用直径与后端连接杆相同、屈服强度应不低于后端</w:t>
      </w:r>
      <w:r>
        <w:rPr>
          <w:rFonts w:hint="eastAsia"/>
          <w:color w:val="auto"/>
          <w:lang w:val="en-US" w:eastAsia="zh-CN"/>
        </w:rPr>
        <w:t>螺杆</w:t>
      </w:r>
      <w:r>
        <w:rPr>
          <w:rFonts w:hint="eastAsia"/>
          <w:lang w:val="en-US" w:eastAsia="zh-CN"/>
        </w:rPr>
        <w:t>的材料制作</w:t>
      </w:r>
      <w:r>
        <w:rPr>
          <w:rFonts w:hint="eastAsia"/>
        </w:rPr>
        <w:t>。</w:t>
      </w:r>
      <w:r>
        <w:rPr>
          <w:rFonts w:hint="eastAsia"/>
          <w:lang w:eastAsia="zh-CN"/>
        </w:rPr>
        <w:t>辅助工装应与前端钢筋焊接，焊接长</w:t>
      </w:r>
      <w:r>
        <w:rPr>
          <w:rFonts w:hint="eastAsia" w:ascii="Times New Roman" w:hAnsi="Times New Roman" w:eastAsia="宋体" w:cs="Times New Roman"/>
          <w:lang w:val="en-US" w:eastAsia="zh-CN"/>
        </w:rPr>
        <w:t>度</w:t>
      </w:r>
      <w:r>
        <w:rPr>
          <w:rFonts w:hint="eastAsia" w:ascii="Times New Roman" w:hAnsi="Times New Roman" w:eastAsia="宋体" w:cs="Times New Roman"/>
          <w:i/>
          <w:iCs/>
          <w:lang w:val="en-US" w:eastAsia="zh-CN"/>
        </w:rPr>
        <w:t>l</w:t>
      </w:r>
      <w:r>
        <w:rPr>
          <w:rFonts w:hint="eastAsia" w:ascii="Times New Roman" w:hAnsi="Times New Roman" w:eastAsia="宋体" w:cs="Times New Roman"/>
          <w:vertAlign w:val="subscript"/>
          <w:lang w:val="en-US" w:eastAsia="zh-CN"/>
        </w:rPr>
        <w:t>w</w:t>
      </w:r>
      <w:r>
        <w:rPr>
          <w:rFonts w:hint="eastAsia" w:ascii="Times New Roman" w:hAnsi="Times New Roman" w:eastAsia="宋体" w:cs="Times New Roman"/>
          <w:lang w:val="en-US" w:eastAsia="zh-CN"/>
        </w:rPr>
        <w:t>不应小于10</w:t>
      </w:r>
      <w:r>
        <w:rPr>
          <w:rFonts w:hint="eastAsia" w:ascii="Times New Roman" w:hAnsi="Times New Roman" w:eastAsia="宋体" w:cs="Times New Roman"/>
          <w:i/>
          <w:iCs/>
          <w:lang w:val="en-US" w:eastAsia="zh-CN"/>
        </w:rPr>
        <w:t>d</w:t>
      </w:r>
      <w:r>
        <w:rPr>
          <w:rFonts w:hint="eastAsia" w:ascii="Times New Roman" w:hAnsi="Times New Roman" w:eastAsia="宋体" w:cs="Times New Roman"/>
          <w:vertAlign w:val="subscript"/>
          <w:lang w:val="en-US" w:eastAsia="zh-CN"/>
        </w:rPr>
        <w:t>1</w:t>
      </w:r>
      <w:r>
        <w:rPr>
          <w:rFonts w:hint="eastAsia" w:ascii="Times New Roman" w:hAnsi="Times New Roman" w:eastAsia="宋体" w:cs="Times New Roman"/>
          <w:lang w:val="en-US" w:eastAsia="zh-CN"/>
        </w:rPr>
        <w:t>，焊接工艺和质量应符合现行行业标准《钢筋焊接及验收规程》JGJ</w:t>
      </w:r>
      <w:r>
        <w:rPr>
          <w:rFonts w:hint="eastAsia" w:cs="Times New Roman"/>
          <w:lang w:val="en-US" w:eastAsia="zh-CN"/>
        </w:rPr>
        <w:t xml:space="preserve"> </w:t>
      </w:r>
      <w:r>
        <w:rPr>
          <w:rFonts w:hint="eastAsia" w:ascii="Times New Roman" w:hAnsi="Times New Roman" w:eastAsia="宋体" w:cs="Times New Roman"/>
          <w:lang w:val="en-US" w:eastAsia="zh-CN"/>
        </w:rPr>
        <w:t>18的有关规定；辅助工装从焊缝的外伸长度不应小于2</w:t>
      </w:r>
      <w:r>
        <w:rPr>
          <w:rFonts w:hint="eastAsia" w:ascii="Times New Roman" w:hAnsi="Times New Roman" w:eastAsia="宋体" w:cs="Times New Roman"/>
          <w:i/>
          <w:iCs/>
          <w:lang w:val="en-US" w:eastAsia="zh-CN"/>
        </w:rPr>
        <w:t>d</w:t>
      </w:r>
      <w:r>
        <w:rPr>
          <w:rFonts w:hint="eastAsia" w:ascii="Times New Roman" w:hAnsi="Times New Roman" w:eastAsia="宋体" w:cs="Times New Roman"/>
          <w:vertAlign w:val="subscript"/>
          <w:lang w:val="en-US" w:eastAsia="zh-CN"/>
        </w:rPr>
        <w:t>2</w:t>
      </w:r>
      <w:r>
        <w:rPr>
          <w:rFonts w:hint="eastAsia" w:ascii="Times New Roman" w:hAnsi="Times New Roman" w:eastAsia="宋体" w:cs="Times New Roman"/>
          <w:lang w:val="en-US" w:eastAsia="zh-CN"/>
        </w:rPr>
        <w:t>与夹持段长度</w:t>
      </w:r>
      <w:r>
        <w:rPr>
          <w:rFonts w:hint="eastAsia" w:ascii="Times New Roman" w:hAnsi="Times New Roman" w:eastAsia="宋体" w:cs="Times New Roman"/>
          <w:i/>
          <w:iCs/>
          <w:lang w:val="en-US" w:eastAsia="zh-CN"/>
        </w:rPr>
        <w:t>l</w:t>
      </w:r>
      <w:r>
        <w:rPr>
          <w:rFonts w:hint="eastAsia" w:ascii="Times New Roman" w:hAnsi="Times New Roman" w:eastAsia="宋体" w:cs="Times New Roman"/>
          <w:vertAlign w:val="subscript"/>
          <w:lang w:val="en-US" w:eastAsia="zh-CN"/>
        </w:rPr>
        <w:t>j</w:t>
      </w:r>
      <w:r>
        <w:rPr>
          <w:rFonts w:hint="eastAsia" w:ascii="Times New Roman" w:hAnsi="Times New Roman" w:eastAsia="宋体" w:cs="Times New Roman"/>
          <w:lang w:val="en-US" w:eastAsia="zh-CN"/>
        </w:rPr>
        <w:t>之和，</w:t>
      </w:r>
      <w:r>
        <w:rPr>
          <w:rFonts w:hint="eastAsia" w:ascii="Times New Roman" w:hAnsi="Times New Roman" w:eastAsia="宋体" w:cs="Times New Roman"/>
          <w:i/>
          <w:iCs/>
          <w:lang w:val="en-US" w:eastAsia="zh-CN"/>
        </w:rPr>
        <w:t>d</w:t>
      </w:r>
      <w:r>
        <w:rPr>
          <w:rFonts w:hint="eastAsia" w:ascii="Times New Roman" w:hAnsi="Times New Roman" w:eastAsia="宋体" w:cs="Times New Roman"/>
          <w:vertAlign w:val="subscript"/>
          <w:lang w:val="en-US" w:eastAsia="zh-CN"/>
        </w:rPr>
        <w:t>2</w:t>
      </w:r>
      <w:r>
        <w:rPr>
          <w:rFonts w:hint="eastAsia" w:ascii="Times New Roman" w:hAnsi="Times New Roman" w:eastAsia="宋体" w:cs="Times New Roman"/>
          <w:lang w:val="en-US" w:eastAsia="zh-CN"/>
        </w:rPr>
        <w:t>为辅助工装直径；应采取措施保证辅助工装与螺杆处于同一直线。</w:t>
      </w:r>
    </w:p>
    <w:p w14:paraId="0F624C16">
      <w:pPr>
        <w:pStyle w:val="45"/>
        <w:rPr>
          <w:color w:val="0D0D0D" w:themeColor="text1" w:themeTint="F2"/>
          <w14:textFill>
            <w14:solidFill>
              <w14:schemeClr w14:val="tx1">
                <w14:lumMod w14:val="95000"/>
                <w14:lumOff w14:val="5000"/>
              </w14:schemeClr>
            </w14:solidFill>
          </w14:textFill>
        </w:rPr>
      </w:pPr>
      <w:r>
        <w:drawing>
          <wp:inline distT="0" distB="0" distL="114300" distR="114300">
            <wp:extent cx="3448685" cy="962660"/>
            <wp:effectExtent l="0" t="0" r="18415" b="0"/>
            <wp:docPr id="70"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6"/>
                    <pic:cNvPicPr>
                      <a:picLocks noChangeAspect="1"/>
                    </pic:cNvPicPr>
                  </pic:nvPicPr>
                  <pic:blipFill>
                    <a:blip r:embed="rId355"/>
                    <a:stretch>
                      <a:fillRect/>
                    </a:stretch>
                  </pic:blipFill>
                  <pic:spPr>
                    <a:xfrm>
                      <a:off x="0" y="0"/>
                      <a:ext cx="3448685" cy="962660"/>
                    </a:xfrm>
                    <a:prstGeom prst="rect">
                      <a:avLst/>
                    </a:prstGeom>
                    <a:noFill/>
                    <a:ln>
                      <a:noFill/>
                    </a:ln>
                  </pic:spPr>
                </pic:pic>
              </a:graphicData>
            </a:graphic>
          </wp:inline>
        </w:drawing>
      </w:r>
    </w:p>
    <w:p w14:paraId="2D50CAF5">
      <w:pPr>
        <w:pStyle w:val="45"/>
        <w:rPr>
          <w:rFonts w:hint="eastAsia"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1—</w:t>
      </w:r>
      <w:r>
        <w:rPr>
          <w:rFonts w:hint="eastAsia" w:cs="Times New Roman"/>
          <w:color w:val="auto"/>
          <w:kern w:val="2"/>
          <w:sz w:val="21"/>
          <w:szCs w:val="21"/>
          <w:lang w:val="en-US" w:eastAsia="zh-CN" w:bidi="ar-SA"/>
        </w:rPr>
        <w:t>夹持段</w:t>
      </w:r>
      <w:r>
        <w:rPr>
          <w:rFonts w:hint="eastAsia" w:ascii="Times New Roman" w:hAnsi="Times New Roman" w:eastAsia="黑体" w:cs="Times New Roman"/>
          <w:color w:val="auto"/>
          <w:kern w:val="2"/>
          <w:sz w:val="21"/>
          <w:szCs w:val="21"/>
          <w:lang w:val="en-US" w:eastAsia="zh-CN" w:bidi="ar-SA"/>
        </w:rPr>
        <w:t>；2—</w:t>
      </w:r>
      <w:r>
        <w:rPr>
          <w:rFonts w:hint="eastAsia" w:cs="Times New Roman"/>
          <w:color w:val="auto"/>
          <w:kern w:val="2"/>
          <w:sz w:val="21"/>
          <w:szCs w:val="21"/>
          <w:lang w:val="en-US" w:eastAsia="zh-CN" w:bidi="ar-SA"/>
        </w:rPr>
        <w:t>后端</w:t>
      </w:r>
      <w:r>
        <w:rPr>
          <w:rFonts w:hint="eastAsia"/>
          <w:color w:val="auto"/>
          <w:lang w:val="en-US" w:eastAsia="zh-CN"/>
        </w:rPr>
        <w:t>螺杆</w:t>
      </w:r>
      <w:r>
        <w:rPr>
          <w:rFonts w:hint="eastAsia" w:ascii="Times New Roman" w:hAnsi="Times New Roman" w:eastAsia="黑体" w:cs="Times New Roman"/>
          <w:color w:val="auto"/>
          <w:kern w:val="2"/>
          <w:sz w:val="21"/>
          <w:szCs w:val="21"/>
          <w:lang w:val="en-US" w:eastAsia="zh-CN" w:bidi="ar-SA"/>
        </w:rPr>
        <w:t>；3—</w:t>
      </w:r>
      <w:r>
        <w:rPr>
          <w:rFonts w:hint="eastAsia"/>
          <w:color w:val="auto"/>
          <w:lang w:val="en-US" w:eastAsia="zh-CN"/>
        </w:rPr>
        <w:t>柱端钢组件</w:t>
      </w:r>
      <w:r>
        <w:rPr>
          <w:rFonts w:hint="eastAsia" w:ascii="Times New Roman" w:hAnsi="Times New Roman" w:eastAsia="黑体" w:cs="Times New Roman"/>
          <w:color w:val="auto"/>
          <w:kern w:val="2"/>
          <w:sz w:val="21"/>
          <w:szCs w:val="21"/>
          <w:lang w:val="en-US" w:eastAsia="zh-CN" w:bidi="ar-SA"/>
        </w:rPr>
        <w:t>；</w:t>
      </w:r>
      <w:r>
        <w:rPr>
          <w:rFonts w:hint="eastAsia" w:cs="Times New Roman"/>
          <w:color w:val="auto"/>
          <w:kern w:val="2"/>
          <w:sz w:val="21"/>
          <w:szCs w:val="21"/>
          <w:lang w:val="en-US" w:eastAsia="zh-CN" w:bidi="ar-SA"/>
        </w:rPr>
        <w:t>4</w:t>
      </w:r>
      <w:r>
        <w:rPr>
          <w:rFonts w:hint="eastAsia" w:ascii="Times New Roman" w:hAnsi="Times New Roman" w:eastAsia="黑体" w:cs="Times New Roman"/>
          <w:color w:val="auto"/>
          <w:kern w:val="2"/>
          <w:sz w:val="21"/>
          <w:szCs w:val="21"/>
          <w:lang w:val="en-US" w:eastAsia="zh-CN" w:bidi="ar-SA"/>
        </w:rPr>
        <w:t>—</w:t>
      </w:r>
      <w:r>
        <w:rPr>
          <w:rFonts w:hint="eastAsia" w:cs="Times New Roman"/>
          <w:color w:val="auto"/>
          <w:kern w:val="2"/>
          <w:sz w:val="21"/>
          <w:szCs w:val="21"/>
          <w:lang w:val="en-US" w:eastAsia="zh-CN" w:bidi="ar-SA"/>
        </w:rPr>
        <w:t>前端钢筋；</w:t>
      </w:r>
    </w:p>
    <w:p w14:paraId="58639FED">
      <w:pPr>
        <w:pStyle w:val="45"/>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5</w:t>
      </w:r>
      <w:r>
        <w:rPr>
          <w:rFonts w:hint="eastAsia" w:ascii="Times New Roman" w:hAnsi="Times New Roman" w:eastAsia="黑体" w:cs="Times New Roman"/>
          <w:color w:val="auto"/>
          <w:kern w:val="2"/>
          <w:sz w:val="21"/>
          <w:szCs w:val="21"/>
          <w:lang w:val="en-US" w:eastAsia="zh-CN" w:bidi="ar-SA"/>
        </w:rPr>
        <w:t>—</w:t>
      </w:r>
      <w:r>
        <w:rPr>
          <w:rFonts w:hint="eastAsia" w:cs="Times New Roman"/>
          <w:color w:val="auto"/>
          <w:kern w:val="2"/>
          <w:sz w:val="21"/>
          <w:szCs w:val="21"/>
          <w:lang w:val="en-US" w:eastAsia="zh-CN" w:bidi="ar-SA"/>
        </w:rPr>
        <w:t>搭接焊缝</w:t>
      </w:r>
      <w:r>
        <w:rPr>
          <w:rFonts w:hint="eastAsia" w:ascii="Times New Roman" w:hAnsi="Times New Roman" w:eastAsia="黑体" w:cs="Times New Roman"/>
          <w:color w:val="auto"/>
          <w:kern w:val="2"/>
          <w:sz w:val="21"/>
          <w:szCs w:val="21"/>
          <w:lang w:val="en-US" w:eastAsia="zh-CN" w:bidi="ar-SA"/>
        </w:rPr>
        <w:t>；</w:t>
      </w:r>
      <w:r>
        <w:rPr>
          <w:rFonts w:hint="eastAsia" w:cs="Times New Roman"/>
          <w:color w:val="auto"/>
          <w:kern w:val="2"/>
          <w:sz w:val="21"/>
          <w:szCs w:val="21"/>
          <w:lang w:val="en-US" w:eastAsia="zh-CN" w:bidi="ar-SA"/>
        </w:rPr>
        <w:t>6</w:t>
      </w:r>
      <w:r>
        <w:rPr>
          <w:rFonts w:hint="eastAsia" w:ascii="Times New Roman" w:hAnsi="Times New Roman" w:eastAsia="黑体" w:cs="Times New Roman"/>
          <w:color w:val="auto"/>
          <w:kern w:val="2"/>
          <w:sz w:val="21"/>
          <w:szCs w:val="21"/>
          <w:lang w:val="en-US" w:eastAsia="zh-CN" w:bidi="ar-SA"/>
        </w:rPr>
        <w:t>—</w:t>
      </w:r>
      <w:r>
        <w:rPr>
          <w:rFonts w:hint="eastAsia" w:cs="Times New Roman"/>
          <w:color w:val="auto"/>
          <w:kern w:val="2"/>
          <w:sz w:val="21"/>
          <w:szCs w:val="21"/>
          <w:lang w:val="en-US" w:eastAsia="zh-CN" w:bidi="ar-SA"/>
        </w:rPr>
        <w:t>辅助工装</w:t>
      </w:r>
    </w:p>
    <w:p w14:paraId="01E91CD5">
      <w:pPr>
        <w:pStyle w:val="45"/>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 xml:space="preserve">图A.0.1 </w:t>
      </w:r>
      <w:r>
        <w:rPr>
          <w:rFonts w:hint="eastAsia"/>
          <w:color w:val="auto"/>
          <w:lang w:val="en-US" w:eastAsia="zh-CN"/>
        </w:rPr>
        <w:t>柱端钢组件</w:t>
      </w:r>
      <w:r>
        <w:rPr>
          <w:rFonts w:hint="eastAsia" w:ascii="Times New Roman" w:hAnsi="Times New Roman" w:cs="Times New Roman"/>
          <w:color w:val="auto"/>
          <w:kern w:val="2"/>
          <w:sz w:val="21"/>
          <w:szCs w:val="21"/>
          <w:lang w:val="en-US" w:eastAsia="zh-CN" w:bidi="ar-SA"/>
        </w:rPr>
        <w:t>拉伸性能检验示意</w:t>
      </w:r>
    </w:p>
    <w:p w14:paraId="287808A9">
      <w:pPr>
        <w:ind w:firstLine="0" w:firstLineChars="0"/>
        <w:jc w:val="left"/>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A.0.2</w:t>
      </w:r>
      <w:r>
        <w:rPr>
          <w:rFonts w:hint="eastAsia" w:ascii="Times New Roman" w:hAnsi="Times New Roman" w:eastAsia="宋体" w:cs="Times New Roman"/>
          <w:lang w:val="en-US" w:eastAsia="zh-CN"/>
        </w:rPr>
        <w:t xml:space="preserve"> </w:t>
      </w:r>
      <w:r>
        <w:rPr>
          <w:rFonts w:hint="eastAsia"/>
          <w:color w:val="auto"/>
          <w:lang w:val="en-US" w:eastAsia="zh-CN"/>
        </w:rPr>
        <w:t>柱端钢组件</w:t>
      </w:r>
      <w:r>
        <w:rPr>
          <w:rFonts w:hint="eastAsia" w:ascii="Times New Roman" w:hAnsi="Times New Roman" w:eastAsia="宋体" w:cs="Times New Roman"/>
          <w:lang w:val="en-US" w:eastAsia="zh-CN"/>
        </w:rPr>
        <w:t>拉伸性能检测的加载应符合下列规定：</w:t>
      </w:r>
    </w:p>
    <w:p w14:paraId="201BE3C7">
      <w:pPr>
        <w:pStyle w:val="43"/>
        <w:numPr>
          <w:ilvl w:val="3"/>
          <w:numId w:val="14"/>
        </w:numPr>
        <w:bidi w:val="0"/>
      </w:pPr>
      <w:r>
        <w:rPr>
          <w:rFonts w:hint="eastAsia"/>
          <w:lang w:val="en-US" w:eastAsia="zh-CN"/>
        </w:rPr>
        <w:t>测力系统不确定度不应大于1%；</w:t>
      </w:r>
    </w:p>
    <w:p w14:paraId="77C0B35C">
      <w:pPr>
        <w:pStyle w:val="43"/>
        <w:numPr>
          <w:ilvl w:val="3"/>
          <w:numId w:val="14"/>
        </w:numPr>
        <w:bidi w:val="0"/>
      </w:pPr>
      <w:r>
        <w:rPr>
          <w:rFonts w:hint="eastAsia"/>
          <w:lang w:val="en-US" w:eastAsia="zh-CN"/>
        </w:rPr>
        <w:t>加载速度不宜超过100MPa/min；</w:t>
      </w:r>
    </w:p>
    <w:p w14:paraId="49875835">
      <w:pPr>
        <w:pStyle w:val="43"/>
        <w:numPr>
          <w:ilvl w:val="3"/>
          <w:numId w:val="14"/>
        </w:numPr>
        <w:bidi w:val="0"/>
      </w:pPr>
      <w:r>
        <w:rPr>
          <w:rFonts w:hint="eastAsia"/>
          <w:lang w:val="en-US" w:eastAsia="zh-CN"/>
        </w:rPr>
        <w:t>加载制度宜为：从0加载到0.6</w:t>
      </w:r>
      <w:r>
        <w:rPr>
          <w:rFonts w:hint="eastAsia"/>
          <w:i/>
          <w:iCs/>
          <w:lang w:val="en-US" w:eastAsia="zh-CN"/>
        </w:rPr>
        <w:t>f</w:t>
      </w:r>
      <w:r>
        <w:rPr>
          <w:rFonts w:hint="eastAsia"/>
          <w:vertAlign w:val="subscript"/>
          <w:lang w:val="en-US" w:eastAsia="zh-CN"/>
        </w:rPr>
        <w:t>yk</w:t>
      </w:r>
      <w:r>
        <w:rPr>
          <w:rFonts w:hint="eastAsia"/>
          <w:i/>
          <w:iCs/>
          <w:lang w:val="en-US" w:eastAsia="zh-CN"/>
        </w:rPr>
        <w:t>A</w:t>
      </w:r>
      <w:r>
        <w:rPr>
          <w:rFonts w:hint="eastAsia"/>
          <w:vertAlign w:val="subscript"/>
          <w:lang w:val="en-US" w:eastAsia="zh-CN"/>
        </w:rPr>
        <w:t>s</w:t>
      </w:r>
      <w:r>
        <w:rPr>
          <w:rFonts w:hint="eastAsia"/>
          <w:lang w:val="en-US" w:eastAsia="zh-CN"/>
        </w:rPr>
        <w:t>，</w:t>
      </w:r>
      <w:r>
        <w:rPr>
          <w:rFonts w:hint="eastAsia"/>
          <w:i/>
          <w:iCs/>
          <w:lang w:val="en-US" w:eastAsia="zh-CN"/>
        </w:rPr>
        <w:t>f</w:t>
      </w:r>
      <w:r>
        <w:rPr>
          <w:rFonts w:hint="eastAsia"/>
          <w:vertAlign w:val="subscript"/>
          <w:lang w:val="en-US" w:eastAsia="zh-CN"/>
        </w:rPr>
        <w:t>yk</w:t>
      </w:r>
      <w:r>
        <w:rPr>
          <w:rFonts w:hint="eastAsia"/>
          <w:lang w:val="en-US" w:eastAsia="zh-CN"/>
        </w:rPr>
        <w:t>为前端钢筋的屈服强度标准值，</w:t>
      </w:r>
      <w:r>
        <w:rPr>
          <w:rFonts w:hint="eastAsia"/>
          <w:i/>
          <w:iCs/>
          <w:lang w:val="en-US" w:eastAsia="zh-CN"/>
        </w:rPr>
        <w:t>A</w:t>
      </w:r>
      <w:r>
        <w:rPr>
          <w:rFonts w:hint="eastAsia"/>
          <w:vertAlign w:val="subscript"/>
          <w:lang w:val="en-US" w:eastAsia="zh-CN"/>
        </w:rPr>
        <w:t>s</w:t>
      </w:r>
      <w:r>
        <w:rPr>
          <w:rFonts w:hint="eastAsia"/>
          <w:lang w:val="en-US" w:eastAsia="zh-CN"/>
        </w:rPr>
        <w:t>为前端钢筋的纵截面面积，持荷3min后卸载到0，然后从0加载到试件破坏。</w:t>
      </w:r>
    </w:p>
    <w:p w14:paraId="01999662">
      <w:pPr>
        <w:ind w:firstLine="0" w:firstLineChars="0"/>
        <w:jc w:val="left"/>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A.0.3</w:t>
      </w:r>
      <w:r>
        <w:rPr>
          <w:rFonts w:hint="eastAsia" w:ascii="Times New Roman" w:hAnsi="Times New Roman" w:eastAsia="宋体" w:cs="Times New Roman"/>
          <w:lang w:val="en-US" w:eastAsia="zh-CN"/>
        </w:rPr>
        <w:t xml:space="preserve"> 当1组3个试件均满足本规程第</w:t>
      </w:r>
      <w:r>
        <w:rPr>
          <w:rFonts w:hint="eastAsia" w:cs="Times New Roman"/>
          <w:lang w:val="en-US" w:eastAsia="zh-CN"/>
        </w:rPr>
        <w:t>5.2.37</w:t>
      </w:r>
      <w:r>
        <w:rPr>
          <w:rFonts w:hint="eastAsia" w:ascii="Times New Roman" w:hAnsi="Times New Roman" w:eastAsia="宋体" w:cs="Times New Roman"/>
          <w:lang w:val="en-US" w:eastAsia="zh-CN"/>
        </w:rPr>
        <w:t>条第3款的规定时，该批次</w:t>
      </w:r>
      <w:r>
        <w:rPr>
          <w:rFonts w:hint="eastAsia"/>
          <w:color w:val="auto"/>
          <w:lang w:val="en-US" w:eastAsia="zh-CN"/>
        </w:rPr>
        <w:t>柱端钢组件</w:t>
      </w:r>
      <w:r>
        <w:rPr>
          <w:rFonts w:hint="eastAsia" w:ascii="Times New Roman" w:hAnsi="Times New Roman" w:eastAsia="宋体" w:cs="Times New Roman"/>
          <w:lang w:val="en-US" w:eastAsia="zh-CN"/>
        </w:rPr>
        <w:t>应判为合格。</w:t>
      </w:r>
    </w:p>
    <w:p w14:paraId="051CB729">
      <w:pPr>
        <w:ind w:firstLine="0" w:firstLineChars="0"/>
        <w:jc w:val="left"/>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A.0.4</w:t>
      </w:r>
      <w:r>
        <w:rPr>
          <w:rFonts w:hint="eastAsia" w:ascii="Times New Roman" w:hAnsi="Times New Roman" w:eastAsia="宋体" w:cs="Times New Roman"/>
          <w:lang w:val="en-US" w:eastAsia="zh-CN"/>
        </w:rPr>
        <w:t xml:space="preserve"> 当试件的</w:t>
      </w:r>
      <w:r>
        <w:rPr>
          <w:rFonts w:hint="eastAsia" w:cs="Times New Roman"/>
          <w:lang w:val="en-US" w:eastAsia="zh-CN"/>
        </w:rPr>
        <w:t>检验</w:t>
      </w:r>
      <w:r>
        <w:rPr>
          <w:rFonts w:hint="eastAsia" w:ascii="Times New Roman" w:hAnsi="Times New Roman" w:eastAsia="宋体" w:cs="Times New Roman"/>
          <w:lang w:val="en-US" w:eastAsia="zh-CN"/>
        </w:rPr>
        <w:t>结果不</w:t>
      </w:r>
      <w:r>
        <w:rPr>
          <w:rFonts w:hint="eastAsia" w:cs="Times New Roman"/>
          <w:lang w:val="en-US" w:eastAsia="zh-CN"/>
        </w:rPr>
        <w:t>符合</w:t>
      </w:r>
      <w:r>
        <w:rPr>
          <w:rFonts w:hint="eastAsia" w:ascii="Times New Roman" w:hAnsi="Times New Roman" w:eastAsia="宋体" w:cs="Times New Roman"/>
          <w:lang w:val="en-US" w:eastAsia="zh-CN"/>
        </w:rPr>
        <w:t>本规程第A.0.3条的</w:t>
      </w:r>
      <w:r>
        <w:rPr>
          <w:rFonts w:hint="eastAsia" w:cs="Times New Roman"/>
          <w:lang w:val="en-US" w:eastAsia="zh-CN"/>
        </w:rPr>
        <w:t>规定</w:t>
      </w:r>
      <w:r>
        <w:rPr>
          <w:rFonts w:hint="eastAsia" w:ascii="Times New Roman" w:hAnsi="Times New Roman" w:eastAsia="宋体" w:cs="Times New Roman"/>
          <w:lang w:val="en-US" w:eastAsia="zh-CN"/>
        </w:rPr>
        <w:t>时，可重新抽取3个</w:t>
      </w:r>
      <w:r>
        <w:rPr>
          <w:rFonts w:hint="eastAsia"/>
          <w:color w:val="auto"/>
          <w:lang w:val="en-US" w:eastAsia="zh-CN"/>
        </w:rPr>
        <w:t>柱端钢组件</w:t>
      </w:r>
      <w:r>
        <w:rPr>
          <w:rFonts w:hint="eastAsia" w:ascii="Times New Roman" w:hAnsi="Times New Roman" w:eastAsia="宋体" w:cs="Times New Roman"/>
          <w:lang w:val="en-US" w:eastAsia="zh-CN"/>
        </w:rPr>
        <w:t>加工成试件进行拉伸性能检测；当重新抽取的3个试件检验结果</w:t>
      </w:r>
      <w:r>
        <w:rPr>
          <w:rFonts w:hint="eastAsia" w:cs="Times New Roman"/>
          <w:lang w:val="en-US" w:eastAsia="zh-CN"/>
        </w:rPr>
        <w:t>符合</w:t>
      </w:r>
      <w:r>
        <w:rPr>
          <w:rFonts w:hint="eastAsia" w:ascii="Times New Roman" w:hAnsi="Times New Roman" w:eastAsia="宋体" w:cs="Times New Roman"/>
          <w:lang w:val="en-US" w:eastAsia="zh-CN"/>
        </w:rPr>
        <w:t>本规程第A.0.3条的</w:t>
      </w:r>
      <w:r>
        <w:rPr>
          <w:rFonts w:hint="eastAsia" w:cs="Times New Roman"/>
          <w:lang w:val="en-US" w:eastAsia="zh-CN"/>
        </w:rPr>
        <w:t>规定</w:t>
      </w:r>
      <w:r>
        <w:rPr>
          <w:rFonts w:hint="eastAsia" w:ascii="Times New Roman" w:hAnsi="Times New Roman" w:eastAsia="宋体" w:cs="Times New Roman"/>
          <w:lang w:val="en-US" w:eastAsia="zh-CN"/>
        </w:rPr>
        <w:t>时，该批次</w:t>
      </w:r>
      <w:r>
        <w:rPr>
          <w:rFonts w:hint="eastAsia"/>
          <w:color w:val="auto"/>
          <w:lang w:val="en-US" w:eastAsia="zh-CN"/>
        </w:rPr>
        <w:t>柱端钢组件</w:t>
      </w:r>
      <w:r>
        <w:rPr>
          <w:rFonts w:hint="eastAsia" w:ascii="Times New Roman" w:hAnsi="Times New Roman" w:eastAsia="宋体" w:cs="Times New Roman"/>
          <w:lang w:val="en-US" w:eastAsia="zh-CN"/>
        </w:rPr>
        <w:t>可判为合格，否则应判为不合格。</w:t>
      </w:r>
    </w:p>
    <w:p w14:paraId="4C9A78AE">
      <w:pPr>
        <w:pStyle w:val="39"/>
        <w:numPr>
          <w:ilvl w:val="0"/>
          <w:numId w:val="0"/>
        </w:numPr>
        <w:spacing w:before="328" w:after="328"/>
        <w:rPr>
          <w:color w:val="auto"/>
        </w:rPr>
      </w:pPr>
      <w:bookmarkStart w:id="83" w:name="_Toc10661"/>
      <w:r>
        <w:rPr>
          <w:color w:val="auto"/>
        </w:rPr>
        <w:t>用词说明</w:t>
      </w:r>
      <w:bookmarkEnd w:id="78"/>
      <w:bookmarkEnd w:id="79"/>
      <w:bookmarkEnd w:id="80"/>
      <w:bookmarkEnd w:id="81"/>
      <w:bookmarkEnd w:id="82"/>
      <w:bookmarkEnd w:id="83"/>
    </w:p>
    <w:p w14:paraId="7C182914">
      <w:pPr>
        <w:pStyle w:val="43"/>
        <w:keepNext w:val="0"/>
        <w:keepLines w:val="0"/>
        <w:pageBreakBefore w:val="0"/>
        <w:widowControl w:val="0"/>
        <w:numPr>
          <w:ilvl w:val="3"/>
          <w:numId w:val="0"/>
        </w:numPr>
        <w:kinsoku/>
        <w:wordWrap/>
        <w:overflowPunct/>
        <w:topLinePunct w:val="0"/>
        <w:autoSpaceDE/>
        <w:autoSpaceDN/>
        <w:bidi w:val="0"/>
        <w:adjustRightInd w:val="0"/>
        <w:snapToGrid w:val="0"/>
        <w:ind w:leftChars="0" w:firstLine="480" w:firstLineChars="200"/>
        <w:textAlignment w:val="auto"/>
        <w:rPr>
          <w:color w:val="auto"/>
        </w:rPr>
      </w:pPr>
      <w:r>
        <w:rPr>
          <w:rFonts w:hint="eastAsia"/>
          <w:color w:val="auto"/>
        </w:rPr>
        <w:t>为便于在执行本规程条文时区别对待，对要求严格程度不同的用词说明如下：</w:t>
      </w:r>
    </w:p>
    <w:p w14:paraId="4ECD4584">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color w:val="auto"/>
        </w:rPr>
      </w:pPr>
      <w:r>
        <w:rPr>
          <w:color w:val="auto"/>
        </w:rPr>
        <w:t xml:space="preserve">1 </w:t>
      </w:r>
      <w:r>
        <w:rPr>
          <w:rFonts w:hint="eastAsia"/>
          <w:color w:val="auto"/>
        </w:rPr>
        <w:t>表示很严格，非这样做不可的：</w:t>
      </w:r>
    </w:p>
    <w:p w14:paraId="6BA018DA">
      <w:pPr>
        <w:pStyle w:val="58"/>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720" w:leftChars="300" w:firstLine="0" w:firstLineChars="0"/>
        <w:textAlignment w:val="auto"/>
        <w:rPr>
          <w:rFonts w:hint="eastAsia"/>
          <w:color w:val="auto"/>
        </w:rPr>
      </w:pPr>
      <w:r>
        <w:rPr>
          <w:rFonts w:hint="eastAsia"/>
          <w:color w:val="auto"/>
        </w:rPr>
        <w:t>正面词采用“必须”；反面词采用“严禁”；</w:t>
      </w:r>
    </w:p>
    <w:p w14:paraId="5DB6653B">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rFonts w:ascii="Times New Roman" w:hAnsi="Times New Roman" w:eastAsia="宋体" w:cs="Times New Roman"/>
          <w:color w:val="auto"/>
        </w:rPr>
      </w:pPr>
      <w:r>
        <w:rPr>
          <w:rFonts w:ascii="Times New Roman" w:hAnsi="Times New Roman" w:eastAsia="宋体" w:cs="Times New Roman"/>
          <w:color w:val="auto"/>
          <w:lang w:val="en-US" w:eastAsia="zh-CN"/>
        </w:rPr>
        <w:t xml:space="preserve">2 </w:t>
      </w:r>
      <w:r>
        <w:rPr>
          <w:rFonts w:hint="eastAsia" w:ascii="Times New Roman" w:hAnsi="Times New Roman" w:eastAsia="宋体" w:cs="Times New Roman"/>
          <w:color w:val="auto"/>
          <w:lang w:val="en-US" w:eastAsia="zh-CN"/>
        </w:rPr>
        <w:t>表示严格，在正常情况下均应这样做的：</w:t>
      </w:r>
    </w:p>
    <w:p w14:paraId="7C934772">
      <w:pPr>
        <w:pStyle w:val="58"/>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720" w:leftChars="300" w:firstLine="0" w:firstLineChars="0"/>
        <w:textAlignment w:val="auto"/>
        <w:rPr>
          <w:rFonts w:hint="eastAsia"/>
          <w:color w:val="auto"/>
        </w:rPr>
      </w:pPr>
      <w:r>
        <w:rPr>
          <w:rFonts w:hint="eastAsia"/>
          <w:color w:val="auto"/>
        </w:rPr>
        <w:t>正面词采用“应”；反面词采用“不应”或“不得”；</w:t>
      </w:r>
    </w:p>
    <w:p w14:paraId="0BE84EC6">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color w:val="auto"/>
        </w:rPr>
      </w:pPr>
      <w:r>
        <w:rPr>
          <w:rFonts w:hint="eastAsia"/>
          <w:color w:val="auto"/>
        </w:rPr>
        <w:t>3</w:t>
      </w:r>
      <w:r>
        <w:rPr>
          <w:color w:val="auto"/>
        </w:rPr>
        <w:t xml:space="preserve"> </w:t>
      </w:r>
      <w:r>
        <w:rPr>
          <w:rFonts w:hint="eastAsia"/>
          <w:color w:val="auto"/>
        </w:rPr>
        <w:t>表示允许稍有选择，在条件允许时首先这样做的：</w:t>
      </w:r>
    </w:p>
    <w:p w14:paraId="18EFDC5B">
      <w:pPr>
        <w:pStyle w:val="58"/>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720" w:leftChars="300" w:firstLine="0" w:firstLineChars="0"/>
        <w:textAlignment w:val="auto"/>
        <w:rPr>
          <w:rFonts w:hint="eastAsia"/>
          <w:color w:val="auto"/>
        </w:rPr>
      </w:pPr>
      <w:r>
        <w:rPr>
          <w:rFonts w:hint="eastAsia"/>
          <w:color w:val="auto"/>
        </w:rPr>
        <w:t>正面词采用“宜”；反面词采用“不宜”；</w:t>
      </w:r>
    </w:p>
    <w:p w14:paraId="2BE40F84">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color w:val="auto"/>
        </w:rPr>
      </w:pPr>
      <w:r>
        <w:rPr>
          <w:rFonts w:hint="eastAsia"/>
          <w:color w:val="auto"/>
        </w:rPr>
        <w:t>4</w:t>
      </w:r>
      <w:r>
        <w:rPr>
          <w:color w:val="auto"/>
        </w:rPr>
        <w:t xml:space="preserve"> </w:t>
      </w:r>
      <w:r>
        <w:rPr>
          <w:rFonts w:hint="eastAsia" w:ascii="Times New Roman" w:hAnsi="Times New Roman" w:eastAsia="宋体" w:cs="Times New Roman"/>
          <w:color w:val="auto"/>
          <w:kern w:val="2"/>
          <w:sz w:val="24"/>
          <w:szCs w:val="22"/>
          <w:lang w:val="en-US" w:eastAsia="zh-CN" w:bidi="ar-SA"/>
        </w:rPr>
        <w:t>表示有选择，在一定条件下可以这样做的，采用“可”。</w:t>
      </w:r>
    </w:p>
    <w:p w14:paraId="25D000AF">
      <w:pPr>
        <w:pStyle w:val="43"/>
        <w:numPr>
          <w:ilvl w:val="3"/>
          <w:numId w:val="0"/>
        </w:numPr>
        <w:ind w:leftChars="200"/>
      </w:pPr>
    </w:p>
    <w:p w14:paraId="79BE5504">
      <w:pPr>
        <w:ind w:firstLine="482"/>
        <w:jc w:val="left"/>
        <w:rPr>
          <w:b/>
          <w:color w:val="0D0D0D" w:themeColor="text1" w:themeTint="F2"/>
          <w14:textFill>
            <w14:solidFill>
              <w14:schemeClr w14:val="tx1">
                <w14:lumMod w14:val="95000"/>
                <w14:lumOff w14:val="5000"/>
              </w14:schemeClr>
            </w14:solidFill>
          </w14:textFill>
        </w:rPr>
        <w:sectPr>
          <w:pgSz w:w="11906" w:h="16838"/>
          <w:pgMar w:top="1440" w:right="1803" w:bottom="1440" w:left="1803" w:header="283" w:footer="850" w:gutter="0"/>
          <w:pgNumType w:fmt="decimal"/>
          <w:cols w:space="0" w:num="1"/>
          <w:titlePg/>
          <w:rtlGutter w:val="0"/>
          <w:docGrid w:type="lines" w:linePitch="328" w:charSpace="0"/>
        </w:sectPr>
      </w:pPr>
    </w:p>
    <w:p w14:paraId="64779F1F">
      <w:pPr>
        <w:pStyle w:val="39"/>
        <w:numPr>
          <w:ilvl w:val="0"/>
          <w:numId w:val="0"/>
        </w:numPr>
        <w:spacing w:before="328" w:after="328"/>
        <w:rPr>
          <w:color w:val="auto"/>
        </w:rPr>
      </w:pPr>
      <w:bookmarkStart w:id="84" w:name="_Toc19988"/>
      <w:bookmarkStart w:id="85" w:name="_Toc5942"/>
      <w:bookmarkStart w:id="86" w:name="_Toc10400"/>
      <w:bookmarkStart w:id="87" w:name="_Toc32267"/>
      <w:bookmarkStart w:id="88" w:name="_Toc4754"/>
      <w:bookmarkStart w:id="89" w:name="_Toc10798"/>
      <w:r>
        <w:rPr>
          <w:rFonts w:hint="eastAsia"/>
          <w:color w:val="auto"/>
        </w:rPr>
        <w:t>引用</w:t>
      </w:r>
      <w:r>
        <w:rPr>
          <w:color w:val="auto"/>
        </w:rPr>
        <w:t>标准名录</w:t>
      </w:r>
      <w:bookmarkEnd w:id="84"/>
      <w:bookmarkEnd w:id="85"/>
      <w:bookmarkEnd w:id="86"/>
      <w:bookmarkEnd w:id="87"/>
      <w:bookmarkEnd w:id="88"/>
      <w:bookmarkEnd w:id="89"/>
    </w:p>
    <w:p w14:paraId="15CA4C06">
      <w:pPr>
        <w:pStyle w:val="58"/>
        <w:numPr>
          <w:ilvl w:val="255"/>
          <w:numId w:val="0"/>
        </w:numPr>
        <w:spacing w:line="360" w:lineRule="auto"/>
        <w:ind w:firstLine="480" w:firstLineChars="200"/>
        <w:rPr>
          <w:color w:val="auto"/>
        </w:rPr>
      </w:pPr>
      <w:r>
        <w:rPr>
          <w:rFonts w:hint="eastAsia"/>
          <w:color w:val="auto"/>
        </w:rPr>
        <w:t>《工程结构通用规范》GB 55001</w:t>
      </w:r>
    </w:p>
    <w:p w14:paraId="40EC4396">
      <w:pPr>
        <w:pStyle w:val="58"/>
        <w:numPr>
          <w:ilvl w:val="255"/>
          <w:numId w:val="0"/>
        </w:numPr>
        <w:spacing w:line="360" w:lineRule="auto"/>
        <w:ind w:firstLine="480" w:firstLineChars="200"/>
        <w:rPr>
          <w:color w:val="auto"/>
        </w:rPr>
      </w:pPr>
      <w:r>
        <w:rPr>
          <w:rFonts w:hint="eastAsia"/>
          <w:color w:val="auto"/>
        </w:rPr>
        <w:t>《建筑与市政工程抗震通用规范》GB 55002</w:t>
      </w:r>
    </w:p>
    <w:p w14:paraId="4E0824A0">
      <w:pPr>
        <w:pStyle w:val="58"/>
        <w:numPr>
          <w:ilvl w:val="255"/>
          <w:numId w:val="0"/>
        </w:numPr>
        <w:spacing w:line="360" w:lineRule="auto"/>
        <w:ind w:firstLine="480" w:firstLineChars="200"/>
        <w:rPr>
          <w:rFonts w:hint="eastAsia"/>
          <w:color w:val="auto"/>
        </w:rPr>
      </w:pPr>
      <w:r>
        <w:rPr>
          <w:rFonts w:hint="eastAsia"/>
          <w:color w:val="auto"/>
        </w:rPr>
        <w:t>《钢结构通用规范》GB 55006</w:t>
      </w:r>
    </w:p>
    <w:p w14:paraId="50F9C195">
      <w:pPr>
        <w:pStyle w:val="58"/>
        <w:numPr>
          <w:ilvl w:val="255"/>
          <w:numId w:val="0"/>
        </w:numPr>
        <w:spacing w:line="360" w:lineRule="auto"/>
        <w:ind w:firstLine="480" w:firstLineChars="200"/>
        <w:rPr>
          <w:rFonts w:hint="eastAsia"/>
          <w:color w:val="auto"/>
        </w:rPr>
      </w:pPr>
      <w:r>
        <w:rPr>
          <w:rFonts w:hint="eastAsia"/>
          <w:color w:val="auto"/>
        </w:rPr>
        <w:t>《混凝土结构通用规范》GB 55008</w:t>
      </w:r>
    </w:p>
    <w:p w14:paraId="7764B230">
      <w:pPr>
        <w:pStyle w:val="58"/>
        <w:numPr>
          <w:ilvl w:val="255"/>
          <w:numId w:val="0"/>
        </w:numPr>
        <w:spacing w:line="360" w:lineRule="auto"/>
        <w:ind w:firstLine="480" w:firstLineChars="200"/>
        <w:rPr>
          <w:rFonts w:hint="eastAsia"/>
          <w:color w:val="auto"/>
        </w:rPr>
      </w:pPr>
      <w:r>
        <w:rPr>
          <w:rFonts w:hint="eastAsia"/>
          <w:color w:val="auto"/>
        </w:rPr>
        <w:t>《建筑结构荷载规范》GB 50009</w:t>
      </w:r>
    </w:p>
    <w:p w14:paraId="53FBCBFA">
      <w:pPr>
        <w:pStyle w:val="58"/>
        <w:numPr>
          <w:ilvl w:val="255"/>
          <w:numId w:val="0"/>
        </w:numPr>
        <w:spacing w:line="360" w:lineRule="auto"/>
        <w:ind w:firstLine="480" w:firstLineChars="200"/>
        <w:rPr>
          <w:rFonts w:hint="eastAsia" w:eastAsia="宋体"/>
          <w:color w:val="auto"/>
          <w:lang w:eastAsia="zh-CN"/>
        </w:rPr>
      </w:pPr>
      <w:r>
        <w:rPr>
          <w:rFonts w:hint="eastAsia"/>
          <w:color w:val="auto"/>
        </w:rPr>
        <w:t>《</w:t>
      </w:r>
      <w:r>
        <w:rPr>
          <w:rFonts w:hint="eastAsia"/>
          <w:color w:val="auto"/>
          <w:lang w:eastAsia="zh-CN"/>
        </w:rPr>
        <w:t>混凝土结构设计标准</w:t>
      </w:r>
      <w:r>
        <w:rPr>
          <w:rFonts w:hint="eastAsia"/>
          <w:color w:val="auto"/>
        </w:rPr>
        <w:t>》</w:t>
      </w:r>
      <w:r>
        <w:rPr>
          <w:rFonts w:hint="eastAsia"/>
          <w:color w:val="auto"/>
          <w:lang w:eastAsia="zh-CN"/>
        </w:rPr>
        <w:t>GB/T 50010</w:t>
      </w:r>
    </w:p>
    <w:p w14:paraId="1654C73F">
      <w:pPr>
        <w:pStyle w:val="58"/>
        <w:numPr>
          <w:ilvl w:val="255"/>
          <w:numId w:val="0"/>
        </w:numPr>
        <w:spacing w:line="360" w:lineRule="auto"/>
        <w:ind w:firstLine="480" w:firstLineChars="200"/>
        <w:rPr>
          <w:rFonts w:hint="eastAsia" w:eastAsia="宋体"/>
          <w:color w:val="auto"/>
          <w:lang w:val="en-US" w:eastAsia="zh-CN"/>
        </w:rPr>
      </w:pPr>
      <w:r>
        <w:rPr>
          <w:rFonts w:hint="eastAsia"/>
          <w:color w:val="auto"/>
          <w:lang w:eastAsia="zh-CN"/>
        </w:rPr>
        <w:t>《建筑抗震设计标准》GB/T 50011</w:t>
      </w:r>
    </w:p>
    <w:p w14:paraId="2776A849">
      <w:pPr>
        <w:pStyle w:val="58"/>
        <w:numPr>
          <w:ilvl w:val="255"/>
          <w:numId w:val="0"/>
        </w:numPr>
        <w:spacing w:line="360" w:lineRule="auto"/>
        <w:ind w:firstLine="480" w:firstLineChars="200"/>
        <w:rPr>
          <w:rFonts w:hint="eastAsia"/>
          <w:color w:val="auto"/>
        </w:rPr>
      </w:pPr>
      <w:r>
        <w:rPr>
          <w:rFonts w:hint="eastAsia"/>
          <w:color w:val="auto"/>
        </w:rPr>
        <w:t>《钢结构设计标准》GB 50017</w:t>
      </w:r>
    </w:p>
    <w:p w14:paraId="22DCE8EB">
      <w:pPr>
        <w:pStyle w:val="58"/>
        <w:numPr>
          <w:ilvl w:val="255"/>
          <w:numId w:val="0"/>
        </w:numPr>
        <w:spacing w:line="360" w:lineRule="auto"/>
        <w:ind w:firstLine="480" w:firstLineChars="200"/>
        <w:rPr>
          <w:rFonts w:hint="eastAsia"/>
          <w:color w:val="auto"/>
        </w:rPr>
      </w:pPr>
      <w:r>
        <w:rPr>
          <w:rFonts w:hint="eastAsia"/>
          <w:color w:val="auto"/>
        </w:rPr>
        <w:t>《建筑结构可靠性设计统一标准》GB 50068</w:t>
      </w:r>
    </w:p>
    <w:p w14:paraId="3890D814">
      <w:pPr>
        <w:pStyle w:val="58"/>
        <w:numPr>
          <w:ilvl w:val="255"/>
          <w:numId w:val="0"/>
        </w:numPr>
        <w:spacing w:line="360" w:lineRule="auto"/>
        <w:ind w:firstLine="480" w:firstLineChars="200"/>
        <w:rPr>
          <w:rFonts w:hint="eastAsia"/>
        </w:rPr>
      </w:pPr>
      <w:r>
        <w:rPr>
          <w:rFonts w:hint="eastAsia"/>
        </w:rPr>
        <w:t>《混凝土结构工程施工质量验收规范》GB 50204</w:t>
      </w:r>
    </w:p>
    <w:p w14:paraId="2EB3BBCF">
      <w:pPr>
        <w:pStyle w:val="58"/>
        <w:numPr>
          <w:ilvl w:val="255"/>
          <w:numId w:val="0"/>
        </w:numPr>
        <w:spacing w:line="360" w:lineRule="auto"/>
        <w:ind w:firstLine="480" w:firstLineChars="200"/>
        <w:rPr>
          <w:rFonts w:hint="eastAsia"/>
        </w:rPr>
      </w:pPr>
      <w:r>
        <w:rPr>
          <w:rFonts w:hint="eastAsia"/>
        </w:rPr>
        <w:t>《钢结构工程施工质量验收标准》GB 50205</w:t>
      </w:r>
    </w:p>
    <w:p w14:paraId="7B9DFBC9">
      <w:pPr>
        <w:pStyle w:val="58"/>
        <w:numPr>
          <w:ilvl w:val="255"/>
          <w:numId w:val="0"/>
        </w:numPr>
        <w:spacing w:line="360" w:lineRule="auto"/>
        <w:ind w:firstLine="480" w:firstLineChars="200"/>
        <w:rPr>
          <w:rFonts w:hint="eastAsia"/>
        </w:rPr>
      </w:pPr>
      <w:r>
        <w:rPr>
          <w:rFonts w:hint="eastAsia"/>
          <w:color w:val="auto"/>
        </w:rPr>
        <w:t>《建筑工程施工质量验收统一标准》GB 50300</w:t>
      </w:r>
    </w:p>
    <w:p w14:paraId="70E0818E">
      <w:pPr>
        <w:pStyle w:val="58"/>
        <w:numPr>
          <w:ilvl w:val="255"/>
          <w:numId w:val="0"/>
        </w:numPr>
        <w:spacing w:line="360" w:lineRule="auto"/>
        <w:ind w:firstLine="480" w:firstLineChars="200"/>
        <w:rPr>
          <w:rFonts w:hint="eastAsia"/>
        </w:rPr>
      </w:pPr>
      <w:r>
        <w:rPr>
          <w:rFonts w:hint="eastAsia"/>
          <w:color w:val="auto"/>
          <w:lang w:val="en-US" w:eastAsia="zh-CN"/>
        </w:rPr>
        <w:t>《水泥基灌浆材料应用技术规范》GB/T 50448</w:t>
      </w:r>
    </w:p>
    <w:p w14:paraId="1FBD81D9">
      <w:pPr>
        <w:pStyle w:val="58"/>
        <w:numPr>
          <w:ilvl w:val="255"/>
          <w:numId w:val="0"/>
        </w:numPr>
        <w:spacing w:line="360" w:lineRule="auto"/>
        <w:ind w:firstLine="480" w:firstLineChars="200"/>
        <w:rPr>
          <w:rFonts w:hint="eastAsia"/>
        </w:rPr>
      </w:pPr>
      <w:r>
        <w:rPr>
          <w:rFonts w:hint="eastAsia"/>
        </w:rPr>
        <w:t>《钢结构焊接规范》GB 50661</w:t>
      </w:r>
    </w:p>
    <w:p w14:paraId="5500303E">
      <w:pPr>
        <w:pStyle w:val="58"/>
        <w:numPr>
          <w:ilvl w:val="255"/>
          <w:numId w:val="0"/>
        </w:numPr>
        <w:spacing w:line="360" w:lineRule="auto"/>
        <w:ind w:firstLine="480" w:firstLineChars="200"/>
        <w:rPr>
          <w:rFonts w:hint="eastAsia"/>
        </w:rPr>
      </w:pPr>
      <w:r>
        <w:rPr>
          <w:rFonts w:hint="eastAsia"/>
          <w:color w:val="auto"/>
        </w:rPr>
        <w:t>《混凝土结构工程施工规范》GB 50666</w:t>
      </w:r>
    </w:p>
    <w:p w14:paraId="78932551">
      <w:pPr>
        <w:pStyle w:val="58"/>
        <w:numPr>
          <w:ilvl w:val="255"/>
          <w:numId w:val="0"/>
        </w:numPr>
        <w:spacing w:line="360" w:lineRule="auto"/>
        <w:ind w:firstLine="480" w:firstLineChars="200"/>
        <w:rPr>
          <w:rFonts w:hint="eastAsia"/>
          <w:color w:val="auto"/>
          <w:lang w:val="en-US" w:eastAsia="zh-CN"/>
        </w:rPr>
      </w:pPr>
      <w:r>
        <w:rPr>
          <w:rFonts w:hint="eastAsia"/>
        </w:rPr>
        <w:t>《钢结构工程施工规范》GB 50755</w:t>
      </w:r>
    </w:p>
    <w:p w14:paraId="0F2AB7EB">
      <w:pPr>
        <w:pStyle w:val="58"/>
        <w:numPr>
          <w:ilvl w:val="255"/>
          <w:numId w:val="0"/>
        </w:numPr>
        <w:spacing w:line="360" w:lineRule="auto"/>
        <w:ind w:firstLine="480" w:firstLineChars="200"/>
        <w:rPr>
          <w:rFonts w:hint="eastAsia"/>
          <w:color w:val="auto"/>
        </w:rPr>
      </w:pPr>
      <w:r>
        <w:rPr>
          <w:rFonts w:hint="eastAsia"/>
          <w:color w:val="auto"/>
        </w:rPr>
        <w:t>《装配式混凝土建筑技术标准》GB/T 51231</w:t>
      </w:r>
    </w:p>
    <w:p w14:paraId="25C270ED">
      <w:pPr>
        <w:pStyle w:val="58"/>
        <w:numPr>
          <w:ilvl w:val="255"/>
          <w:numId w:val="0"/>
        </w:numPr>
        <w:spacing w:line="360" w:lineRule="auto"/>
        <w:ind w:firstLine="480" w:firstLineChars="200"/>
        <w:rPr>
          <w:rFonts w:hint="eastAsia"/>
          <w:color w:val="auto"/>
        </w:rPr>
      </w:pPr>
      <w:r>
        <w:rPr>
          <w:rFonts w:hint="eastAsia"/>
          <w:color w:val="auto"/>
        </w:rPr>
        <w:t>《建筑钢结构防火技术规范》GB 51249</w:t>
      </w:r>
    </w:p>
    <w:p w14:paraId="5EF93BDF">
      <w:pPr>
        <w:pStyle w:val="58"/>
        <w:numPr>
          <w:ilvl w:val="255"/>
          <w:numId w:val="0"/>
        </w:numPr>
        <w:spacing w:line="360" w:lineRule="auto"/>
        <w:ind w:firstLine="480" w:firstLineChars="200"/>
        <w:rPr>
          <w:rFonts w:hint="eastAsia"/>
        </w:rPr>
      </w:pPr>
      <w:r>
        <w:rPr>
          <w:rFonts w:hint="eastAsia"/>
        </w:rPr>
        <w:t>《钢结构用高强度大六角头螺栓》GB/T 1228</w:t>
      </w:r>
    </w:p>
    <w:p w14:paraId="4FD957D9">
      <w:pPr>
        <w:pStyle w:val="58"/>
        <w:numPr>
          <w:ilvl w:val="255"/>
          <w:numId w:val="0"/>
        </w:numPr>
        <w:spacing w:line="360" w:lineRule="auto"/>
        <w:ind w:firstLine="480" w:firstLineChars="200"/>
        <w:rPr>
          <w:rFonts w:hint="eastAsia"/>
        </w:rPr>
      </w:pPr>
      <w:r>
        <w:rPr>
          <w:rFonts w:hint="eastAsia"/>
        </w:rPr>
        <w:t>《钢结构用高强度大六角螺母》GB/T 1229</w:t>
      </w:r>
    </w:p>
    <w:p w14:paraId="6F6E1E0E">
      <w:pPr>
        <w:pStyle w:val="58"/>
        <w:numPr>
          <w:ilvl w:val="255"/>
          <w:numId w:val="0"/>
        </w:numPr>
        <w:spacing w:line="360" w:lineRule="auto"/>
        <w:ind w:firstLine="480" w:firstLineChars="200"/>
        <w:rPr>
          <w:rFonts w:hint="eastAsia"/>
          <w:lang w:val="en-US" w:eastAsia="zh-CN"/>
        </w:rPr>
      </w:pPr>
      <w:r>
        <w:rPr>
          <w:rFonts w:hint="eastAsia"/>
        </w:rPr>
        <w:t>《钢结构用高强度垫圈》GB/T 1230</w:t>
      </w:r>
    </w:p>
    <w:p w14:paraId="5750250F">
      <w:pPr>
        <w:pStyle w:val="58"/>
        <w:numPr>
          <w:ilvl w:val="255"/>
          <w:numId w:val="0"/>
        </w:numPr>
        <w:spacing w:line="360" w:lineRule="auto"/>
        <w:ind w:firstLine="480" w:firstLineChars="200"/>
        <w:rPr>
          <w:rFonts w:hint="eastAsia"/>
          <w:color w:val="auto"/>
        </w:rPr>
      </w:pPr>
      <w:r>
        <w:rPr>
          <w:rFonts w:hint="eastAsia"/>
          <w:color w:val="auto"/>
        </w:rPr>
        <w:t>《低合金高强度结构钢》GB/T 1591</w:t>
      </w:r>
    </w:p>
    <w:p w14:paraId="08555175">
      <w:pPr>
        <w:pStyle w:val="58"/>
        <w:numPr>
          <w:ilvl w:val="255"/>
          <w:numId w:val="0"/>
        </w:numPr>
        <w:spacing w:line="360" w:lineRule="auto"/>
        <w:ind w:firstLine="480" w:firstLineChars="200"/>
        <w:rPr>
          <w:rFonts w:hint="eastAsia"/>
        </w:rPr>
      </w:pPr>
      <w:r>
        <w:rPr>
          <w:rFonts w:hint="eastAsia"/>
        </w:rPr>
        <w:t>《紧固件机械性能 螺栓、螺钉和螺柱》GB/T 3098.1</w:t>
      </w:r>
    </w:p>
    <w:p w14:paraId="13DDF0ED">
      <w:pPr>
        <w:pStyle w:val="58"/>
        <w:numPr>
          <w:ilvl w:val="255"/>
          <w:numId w:val="0"/>
        </w:numPr>
        <w:spacing w:line="360" w:lineRule="auto"/>
        <w:ind w:firstLine="480" w:firstLineChars="200"/>
        <w:rPr>
          <w:rFonts w:hint="eastAsia"/>
        </w:rPr>
      </w:pPr>
      <w:r>
        <w:rPr>
          <w:rFonts w:hint="eastAsia"/>
        </w:rPr>
        <w:t>《紧固件机械性能 螺母》GB/T 3098.2</w:t>
      </w:r>
    </w:p>
    <w:p w14:paraId="3837D5AC">
      <w:pPr>
        <w:pStyle w:val="58"/>
        <w:numPr>
          <w:ilvl w:val="255"/>
          <w:numId w:val="0"/>
        </w:numPr>
        <w:spacing w:line="360" w:lineRule="auto"/>
        <w:ind w:firstLine="480" w:firstLineChars="200"/>
        <w:rPr>
          <w:rFonts w:hint="eastAsia"/>
        </w:rPr>
      </w:pPr>
      <w:r>
        <w:rPr>
          <w:rFonts w:hint="eastAsia"/>
        </w:rPr>
        <w:t>《紧固件机械性能 平垫圈》GB/T 3098.26</w:t>
      </w:r>
    </w:p>
    <w:p w14:paraId="312A4B83">
      <w:pPr>
        <w:pStyle w:val="58"/>
        <w:numPr>
          <w:ilvl w:val="255"/>
          <w:numId w:val="0"/>
        </w:numPr>
        <w:spacing w:line="360" w:lineRule="auto"/>
        <w:ind w:firstLine="480" w:firstLineChars="200"/>
        <w:rPr>
          <w:rFonts w:hint="eastAsia"/>
        </w:rPr>
      </w:pPr>
      <w:r>
        <w:rPr>
          <w:rFonts w:hint="eastAsia"/>
          <w:lang w:val="en-US" w:eastAsia="zh-CN"/>
        </w:rPr>
        <w:t>《1型六角螺母》GB/T 6170</w:t>
      </w:r>
    </w:p>
    <w:p w14:paraId="6B4EB5AE">
      <w:pPr>
        <w:pStyle w:val="58"/>
        <w:numPr>
          <w:ilvl w:val="255"/>
          <w:numId w:val="0"/>
        </w:numPr>
        <w:spacing w:line="360" w:lineRule="auto"/>
        <w:ind w:firstLine="480" w:firstLineChars="200"/>
        <w:rPr>
          <w:rFonts w:hint="eastAsia"/>
        </w:rPr>
      </w:pPr>
      <w:r>
        <w:rPr>
          <w:rFonts w:hint="eastAsia"/>
        </w:rPr>
        <w:t>《六角薄螺母》GB/T 6172.1</w:t>
      </w:r>
    </w:p>
    <w:p w14:paraId="307C0188">
      <w:pPr>
        <w:pStyle w:val="58"/>
        <w:numPr>
          <w:ilvl w:val="255"/>
          <w:numId w:val="0"/>
        </w:numPr>
        <w:spacing w:line="360" w:lineRule="auto"/>
        <w:ind w:firstLine="480" w:firstLineChars="200"/>
        <w:rPr>
          <w:color w:val="auto"/>
        </w:rPr>
      </w:pPr>
      <w:r>
        <w:rPr>
          <w:rFonts w:hint="eastAsia"/>
          <w:color w:val="auto"/>
        </w:rPr>
        <w:t>《装配式混凝土结构技术规程》JGJ 1</w:t>
      </w:r>
    </w:p>
    <w:p w14:paraId="30E01D67">
      <w:pPr>
        <w:pStyle w:val="58"/>
        <w:numPr>
          <w:ilvl w:val="255"/>
          <w:numId w:val="0"/>
        </w:numPr>
        <w:spacing w:line="360" w:lineRule="auto"/>
        <w:ind w:firstLine="480" w:firstLineChars="200"/>
        <w:rPr>
          <w:rFonts w:hint="eastAsia"/>
          <w:color w:val="auto"/>
          <w:lang w:val="en-US" w:eastAsia="zh-CN"/>
        </w:rPr>
      </w:pPr>
      <w:r>
        <w:rPr>
          <w:rFonts w:hint="eastAsia"/>
          <w:color w:val="auto"/>
        </w:rPr>
        <w:t>《高层建筑混凝土结构技术规程》JGJ 3</w:t>
      </w:r>
    </w:p>
    <w:p w14:paraId="585857CD">
      <w:pPr>
        <w:pStyle w:val="58"/>
        <w:numPr>
          <w:ilvl w:val="255"/>
          <w:numId w:val="0"/>
        </w:numPr>
        <w:spacing w:line="360" w:lineRule="auto"/>
        <w:ind w:firstLine="480" w:firstLineChars="200"/>
        <w:rPr>
          <w:rFonts w:hint="eastAsia"/>
          <w:color w:val="auto"/>
          <w:lang w:val="en-US" w:eastAsia="zh-CN"/>
        </w:rPr>
      </w:pPr>
      <w:r>
        <w:rPr>
          <w:rFonts w:hint="eastAsia"/>
          <w:color w:val="auto"/>
          <w:lang w:val="en-US" w:eastAsia="zh-CN"/>
        </w:rPr>
        <w:t>《钢筋焊接及验收规程》JGJ 18</w:t>
      </w:r>
    </w:p>
    <w:p w14:paraId="212AE1C2">
      <w:pPr>
        <w:pStyle w:val="58"/>
        <w:numPr>
          <w:ilvl w:val="255"/>
          <w:numId w:val="0"/>
        </w:numPr>
        <w:spacing w:line="360" w:lineRule="auto"/>
        <w:ind w:firstLine="480" w:firstLineChars="200"/>
        <w:rPr>
          <w:rFonts w:hint="eastAsia"/>
          <w:color w:val="auto"/>
        </w:rPr>
      </w:pPr>
      <w:r>
        <w:rPr>
          <w:rFonts w:hint="eastAsia"/>
          <w:color w:val="auto"/>
        </w:rPr>
        <w:t>《建筑机械使用安全技术规程》JGJ 33</w:t>
      </w:r>
    </w:p>
    <w:p w14:paraId="0CB743CC">
      <w:pPr>
        <w:pStyle w:val="58"/>
        <w:numPr>
          <w:ilvl w:val="255"/>
          <w:numId w:val="0"/>
        </w:numPr>
        <w:spacing w:line="360" w:lineRule="auto"/>
        <w:ind w:firstLine="480" w:firstLineChars="200"/>
        <w:rPr>
          <w:rFonts w:hint="eastAsia"/>
        </w:rPr>
      </w:pPr>
      <w:r>
        <w:rPr>
          <w:rFonts w:hint="eastAsia"/>
        </w:rPr>
        <w:t>《普通混凝土配合比设计规程》JGJ 55</w:t>
      </w:r>
    </w:p>
    <w:p w14:paraId="37FF66CD">
      <w:pPr>
        <w:pStyle w:val="58"/>
        <w:numPr>
          <w:ilvl w:val="255"/>
          <w:numId w:val="0"/>
        </w:numPr>
        <w:spacing w:line="360" w:lineRule="auto"/>
        <w:ind w:firstLine="480" w:firstLineChars="200"/>
        <w:rPr>
          <w:rFonts w:hint="eastAsia"/>
          <w:lang w:val="en-US" w:eastAsia="zh-CN"/>
        </w:rPr>
      </w:pPr>
      <w:r>
        <w:rPr>
          <w:rFonts w:hint="eastAsia"/>
          <w:color w:val="auto"/>
          <w:lang w:val="en-US" w:eastAsia="zh-CN"/>
        </w:rPr>
        <w:t>《钢筋机械连接技术规程》JGJ 107</w:t>
      </w:r>
    </w:p>
    <w:p w14:paraId="1FB50AF2">
      <w:pPr>
        <w:pStyle w:val="58"/>
        <w:numPr>
          <w:ilvl w:val="255"/>
          <w:numId w:val="0"/>
        </w:numPr>
        <w:spacing w:line="360" w:lineRule="auto"/>
        <w:ind w:firstLine="480" w:firstLineChars="200"/>
        <w:rPr>
          <w:rFonts w:hint="eastAsia"/>
          <w:color w:val="auto"/>
          <w:lang w:val="en-US" w:eastAsia="zh-CN"/>
        </w:rPr>
      </w:pPr>
      <w:r>
        <w:rPr>
          <w:rFonts w:hint="eastAsia"/>
          <w:color w:val="auto"/>
          <w:lang w:val="en-US" w:eastAsia="zh-CN"/>
        </w:rPr>
        <w:t>《钢筋机械连接用套筒》JG/T 163</w:t>
      </w:r>
    </w:p>
    <w:p w14:paraId="4262295C">
      <w:pPr>
        <w:pStyle w:val="58"/>
        <w:numPr>
          <w:ilvl w:val="255"/>
          <w:numId w:val="0"/>
        </w:numPr>
        <w:spacing w:line="360" w:lineRule="auto"/>
        <w:ind w:firstLine="480" w:firstLineChars="200"/>
        <w:rPr>
          <w:rFonts w:hint="eastAsia"/>
          <w:color w:val="auto"/>
          <w:lang w:val="en-US" w:eastAsia="zh-CN"/>
        </w:rPr>
      </w:pPr>
      <w:r>
        <w:rPr>
          <w:rFonts w:hint="eastAsia"/>
          <w:color w:val="auto"/>
        </w:rPr>
        <w:t>《建筑钢结构防腐蚀技术规程》JGJ/T 251</w:t>
      </w:r>
    </w:p>
    <w:p w14:paraId="3E6E2609">
      <w:pPr>
        <w:pStyle w:val="58"/>
        <w:numPr>
          <w:ilvl w:val="255"/>
          <w:numId w:val="0"/>
        </w:numPr>
        <w:spacing w:line="360" w:lineRule="auto"/>
        <w:ind w:firstLine="480" w:firstLineChars="200"/>
        <w:rPr>
          <w:rFonts w:hint="eastAsia"/>
          <w:color w:val="auto"/>
          <w:lang w:val="en-US" w:eastAsia="zh-CN"/>
        </w:rPr>
      </w:pPr>
      <w:r>
        <w:rPr>
          <w:rFonts w:hint="eastAsia"/>
          <w:color w:val="auto"/>
          <w:lang w:val="en-US" w:eastAsia="zh-CN"/>
        </w:rPr>
        <w:t>《钢筋机械连接装配式混凝土结构技术规程》CECS 444</w:t>
      </w:r>
    </w:p>
    <w:p w14:paraId="5E271B24">
      <w:pPr>
        <w:pStyle w:val="43"/>
        <w:numPr>
          <w:ilvl w:val="3"/>
          <w:numId w:val="0"/>
        </w:numPr>
        <w:ind w:leftChars="200"/>
      </w:pPr>
    </w:p>
    <w:p w14:paraId="07831633">
      <w:pPr>
        <w:ind w:firstLine="482"/>
        <w:jc w:val="left"/>
        <w:rPr>
          <w:b/>
          <w:color w:val="0D0D0D" w:themeColor="text1" w:themeTint="F2"/>
          <w14:textFill>
            <w14:solidFill>
              <w14:schemeClr w14:val="tx1">
                <w14:lumMod w14:val="95000"/>
                <w14:lumOff w14:val="5000"/>
              </w14:schemeClr>
            </w14:solidFill>
          </w14:textFill>
        </w:rPr>
        <w:sectPr>
          <w:pgSz w:w="11906" w:h="16838"/>
          <w:pgMar w:top="1440" w:right="1803" w:bottom="1440" w:left="1803" w:header="283" w:footer="850" w:gutter="0"/>
          <w:pgNumType w:fmt="decimal"/>
          <w:cols w:space="0" w:num="1"/>
          <w:titlePg/>
          <w:rtlGutter w:val="0"/>
          <w:docGrid w:type="lines" w:linePitch="328" w:charSpace="0"/>
        </w:sectPr>
      </w:pPr>
    </w:p>
    <w:p w14:paraId="7017EECB">
      <w:pPr>
        <w:spacing w:line="400" w:lineRule="exact"/>
        <w:rPr>
          <w:rFonts w:hint="default" w:ascii="Times New Roman" w:hAnsi="Times New Roman" w:cs="Times New Roman"/>
          <w:b/>
          <w:color w:val="000000"/>
          <w:spacing w:val="20"/>
          <w:sz w:val="21"/>
          <w:szCs w:val="21"/>
        </w:rPr>
      </w:pPr>
    </w:p>
    <w:p w14:paraId="3C77B14A">
      <w:pPr>
        <w:spacing w:line="400" w:lineRule="exact"/>
        <w:rPr>
          <w:rFonts w:hint="default" w:ascii="Times New Roman" w:hAnsi="Times New Roman" w:cs="Times New Roman"/>
          <w:b/>
          <w:color w:val="000000"/>
          <w:spacing w:val="20"/>
          <w:sz w:val="32"/>
        </w:rPr>
      </w:pPr>
    </w:p>
    <w:p w14:paraId="28045DFE">
      <w:pPr>
        <w:spacing w:line="400" w:lineRule="exact"/>
        <w:jc w:val="center"/>
        <w:rPr>
          <w:rFonts w:hint="default" w:ascii="Times New Roman" w:hAnsi="Times New Roman" w:cs="Times New Roman"/>
          <w:b/>
          <w:color w:val="000000"/>
          <w:spacing w:val="20"/>
          <w:sz w:val="32"/>
        </w:rPr>
      </w:pPr>
    </w:p>
    <w:p w14:paraId="7036AB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000000"/>
          <w:spacing w:val="20"/>
          <w:sz w:val="32"/>
          <w:szCs w:val="32"/>
        </w:rPr>
      </w:pPr>
    </w:p>
    <w:p w14:paraId="218B06C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000000"/>
          <w:sz w:val="44"/>
          <w:szCs w:val="44"/>
          <w:lang w:val="en-US" w:eastAsia="zh-CN"/>
        </w:rPr>
      </w:pPr>
      <w:r>
        <w:rPr>
          <w:rFonts w:hint="eastAsia" w:cs="Times New Roman"/>
          <w:b/>
          <w:color w:val="000000"/>
          <w:sz w:val="44"/>
          <w:szCs w:val="44"/>
          <w:lang w:val="en-US" w:eastAsia="zh-CN"/>
        </w:rPr>
        <w:t>中国工程建设标准化协会</w:t>
      </w:r>
      <w:r>
        <w:rPr>
          <w:rFonts w:hint="default" w:ascii="Times New Roman" w:hAnsi="Times New Roman" w:eastAsia="宋体" w:cs="Times New Roman"/>
          <w:b/>
          <w:color w:val="000000"/>
          <w:sz w:val="44"/>
          <w:szCs w:val="44"/>
          <w:lang w:val="en-US" w:eastAsia="zh-CN"/>
        </w:rPr>
        <w:t>标准</w:t>
      </w:r>
    </w:p>
    <w:p w14:paraId="0DF394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s="Times New Roman"/>
          <w:b/>
          <w:color w:val="000000"/>
          <w:sz w:val="44"/>
          <w:szCs w:val="44"/>
          <w:lang w:val="en-US" w:eastAsia="zh-CN"/>
        </w:rPr>
      </w:pPr>
    </w:p>
    <w:p w14:paraId="5126975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val="0"/>
          <w:bCs/>
          <w:color w:val="000000"/>
          <w:w w:val="125"/>
        </w:rPr>
      </w:pPr>
      <w:r>
        <w:rPr>
          <w:rFonts w:hint="eastAsia" w:cs="Times New Roman"/>
          <w:b w:val="0"/>
          <w:bCs/>
          <w:color w:val="000000"/>
          <w:sz w:val="44"/>
          <w:szCs w:val="44"/>
          <w:lang w:val="en-US" w:eastAsia="zh-CN"/>
        </w:rPr>
        <w:t>装配式混凝土框架结构钢组件连接技术规程</w:t>
      </w:r>
      <w:r>
        <w:rPr>
          <w:rFonts w:hint="default" w:ascii="Times New Roman" w:hAnsi="Times New Roman" w:cs="Times New Roman"/>
          <w:b w:val="0"/>
          <w:bCs/>
          <w:color w:val="000000"/>
          <w:sz w:val="44"/>
          <w:szCs w:val="44"/>
        </w:rPr>
        <w:t xml:space="preserve"> </w:t>
      </w:r>
      <w:r>
        <w:rPr>
          <w:rFonts w:hint="default" w:ascii="Times New Roman" w:hAnsi="Times New Roman" w:cs="Times New Roman"/>
          <w:b w:val="0"/>
          <w:bCs/>
          <w:color w:val="000000"/>
          <w:sz w:val="32"/>
          <w:szCs w:val="32"/>
        </w:rPr>
        <w:t xml:space="preserve">          </w:t>
      </w:r>
      <w:r>
        <w:rPr>
          <w:rFonts w:hint="default" w:ascii="Times New Roman" w:hAnsi="Times New Roman" w:cs="Times New Roman"/>
          <w:b w:val="0"/>
          <w:bCs/>
          <w:color w:val="000000"/>
        </w:rPr>
        <w:t xml:space="preserve">               </w:t>
      </w:r>
      <w:r>
        <w:rPr>
          <w:rFonts w:hint="default" w:ascii="Times New Roman" w:hAnsi="Times New Roman" w:cs="Times New Roman"/>
          <w:b w:val="0"/>
          <w:bCs/>
          <w:color w:val="000000"/>
          <w:w w:val="125"/>
        </w:rPr>
        <w:t xml:space="preserve"> </w:t>
      </w:r>
    </w:p>
    <w:p w14:paraId="3ADC7C46">
      <w:pPr>
        <w:keepNext w:val="0"/>
        <w:keepLines w:val="0"/>
        <w:pageBreakBefore w:val="0"/>
        <w:widowControl w:val="0"/>
        <w:kinsoku/>
        <w:wordWrap/>
        <w:overflowPunct/>
        <w:topLinePunct w:val="0"/>
        <w:autoSpaceDE/>
        <w:autoSpaceDN/>
        <w:bidi w:val="0"/>
        <w:spacing w:line="360" w:lineRule="exact"/>
        <w:ind w:left="0"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  </w:t>
      </w:r>
    </w:p>
    <w:p w14:paraId="2D0F64FB">
      <w:pPr>
        <w:keepNext w:val="0"/>
        <w:keepLines w:val="0"/>
        <w:pageBreakBefore w:val="0"/>
        <w:widowControl w:val="0"/>
        <w:kinsoku/>
        <w:wordWrap/>
        <w:overflowPunct/>
        <w:topLinePunct w:val="0"/>
        <w:autoSpaceDE/>
        <w:autoSpaceDN/>
        <w:bidi w:val="0"/>
        <w:spacing w:line="360" w:lineRule="exact"/>
        <w:ind w:left="0" w:firstLine="0" w:firstLineChars="0"/>
        <w:jc w:val="center"/>
        <w:textAlignment w:val="auto"/>
        <w:rPr>
          <w:rFonts w:hint="default" w:ascii="Times New Roman" w:hAnsi="Times New Roman" w:cs="Times New Roman"/>
          <w:color w:val="000000"/>
        </w:rPr>
      </w:pPr>
    </w:p>
    <w:p w14:paraId="23354557">
      <w:pPr>
        <w:keepNext w:val="0"/>
        <w:keepLines w:val="0"/>
        <w:pageBreakBefore w:val="0"/>
        <w:widowControl w:val="0"/>
        <w:kinsoku/>
        <w:wordWrap/>
        <w:overflowPunct/>
        <w:topLinePunct w:val="0"/>
        <w:autoSpaceDE/>
        <w:autoSpaceDN/>
        <w:bidi w:val="0"/>
        <w:spacing w:line="360" w:lineRule="exact"/>
        <w:ind w:left="0" w:firstLine="0" w:firstLineChars="0"/>
        <w:jc w:val="center"/>
        <w:textAlignment w:val="auto"/>
        <w:rPr>
          <w:rFonts w:hint="eastAsia" w:ascii="Times New Roman" w:hAnsi="Times New Roman" w:eastAsia="宋体" w:cs="Times New Roman"/>
          <w:color w:val="000000"/>
          <w:sz w:val="32"/>
          <w:szCs w:val="32"/>
          <w:lang w:val="en-US" w:eastAsia="zh-CN"/>
        </w:rPr>
      </w:pPr>
      <w:r>
        <w:rPr>
          <w:rFonts w:hint="eastAsia" w:cs="Times New Roman"/>
          <w:color w:val="000000"/>
          <w:sz w:val="32"/>
          <w:szCs w:val="32"/>
          <w:lang w:val="en-US" w:eastAsia="zh-CN"/>
        </w:rPr>
        <w:t>T/CECS XXXX</w:t>
      </w:r>
      <w:r>
        <w:rPr>
          <w:rFonts w:hint="default" w:ascii="Times New Roman" w:hAnsi="Times New Roman" w:eastAsia="宋体" w:cs="Times New Roman"/>
          <w:color w:val="000000"/>
          <w:sz w:val="32"/>
          <w:szCs w:val="32"/>
        </w:rPr>
        <w:t>－202</w:t>
      </w:r>
      <w:r>
        <w:rPr>
          <w:rFonts w:hint="eastAsia" w:cs="Times New Roman"/>
          <w:color w:val="000000"/>
          <w:sz w:val="32"/>
          <w:szCs w:val="32"/>
          <w:lang w:val="en-US" w:eastAsia="zh-CN"/>
        </w:rPr>
        <w:t>x</w:t>
      </w:r>
    </w:p>
    <w:p w14:paraId="4EEDE6D0">
      <w:pPr>
        <w:keepNext w:val="0"/>
        <w:keepLines w:val="0"/>
        <w:pageBreakBefore w:val="0"/>
        <w:widowControl w:val="0"/>
        <w:kinsoku/>
        <w:wordWrap/>
        <w:overflowPunct/>
        <w:topLinePunct w:val="0"/>
        <w:autoSpaceDE/>
        <w:autoSpaceDN/>
        <w:bidi w:val="0"/>
        <w:spacing w:line="360" w:lineRule="exact"/>
        <w:ind w:left="0" w:firstLine="0" w:firstLineChars="0"/>
        <w:jc w:val="center"/>
        <w:textAlignment w:val="auto"/>
        <w:rPr>
          <w:rFonts w:hint="default" w:ascii="Times New Roman" w:hAnsi="Times New Roman" w:cs="Times New Roman"/>
          <w:b/>
          <w:color w:val="000000"/>
          <w:sz w:val="32"/>
          <w:szCs w:val="32"/>
        </w:rPr>
      </w:pPr>
      <w:r>
        <w:rPr>
          <w:rFonts w:hint="default" w:ascii="Times New Roman" w:hAnsi="Times New Roman" w:cs="Times New Roman"/>
          <w:color w:val="000000"/>
          <w:sz w:val="32"/>
          <w:szCs w:val="32"/>
        </w:rPr>
        <w:t xml:space="preserve"> </w:t>
      </w:r>
    </w:p>
    <w:p w14:paraId="68D9646F">
      <w:pPr>
        <w:pStyle w:val="109"/>
        <w:keepNext w:val="0"/>
        <w:keepLines w:val="0"/>
        <w:pageBreakBefore w:val="0"/>
        <w:widowControl w:val="0"/>
        <w:kinsoku/>
        <w:wordWrap/>
        <w:overflowPunct/>
        <w:topLinePunct w:val="0"/>
        <w:autoSpaceDE/>
        <w:autoSpaceDN/>
        <w:bidi w:val="0"/>
        <w:spacing w:before="0" w:line="360" w:lineRule="exact"/>
        <w:ind w:left="0" w:firstLine="0" w:firstLineChars="0"/>
        <w:textAlignment w:val="auto"/>
        <w:outlineLvl w:val="0"/>
        <w:rPr>
          <w:rFonts w:hint="default" w:ascii="Times New Roman" w:hAnsi="Times New Roman" w:cs="Times New Roman"/>
          <w:b/>
          <w:color w:val="000000"/>
          <w:kern w:val="2"/>
          <w:sz w:val="32"/>
          <w:szCs w:val="32"/>
        </w:rPr>
      </w:pPr>
      <w:bookmarkStart w:id="90" w:name="_Toc304466250"/>
      <w:bookmarkStart w:id="91" w:name="_Toc304468899"/>
      <w:r>
        <w:rPr>
          <w:rFonts w:hint="default" w:ascii="Times New Roman" w:hAnsi="Times New Roman" w:cs="Times New Roman"/>
          <w:b/>
          <w:color w:val="000000"/>
          <w:kern w:val="2"/>
          <w:sz w:val="32"/>
          <w:szCs w:val="32"/>
        </w:rPr>
        <w:t xml:space="preserve">  </w:t>
      </w:r>
      <w:bookmarkStart w:id="92" w:name="_Toc5536"/>
      <w:bookmarkStart w:id="93" w:name="_Toc310953465"/>
      <w:bookmarkStart w:id="94" w:name="_Toc30747"/>
      <w:bookmarkStart w:id="95" w:name="_Toc317325198"/>
      <w:bookmarkStart w:id="96" w:name="_Toc317324574"/>
      <w:bookmarkStart w:id="97" w:name="_Toc32544"/>
      <w:bookmarkStart w:id="98" w:name="_Toc305871635"/>
      <w:bookmarkStart w:id="99" w:name="_Toc305871717"/>
      <w:bookmarkStart w:id="100" w:name="_Toc23480"/>
      <w:bookmarkStart w:id="101" w:name="_Toc485"/>
      <w:bookmarkStart w:id="102" w:name="_Toc26035"/>
      <w:bookmarkStart w:id="103" w:name="_Toc23824"/>
      <w:bookmarkStart w:id="104" w:name="_Toc7337"/>
      <w:bookmarkStart w:id="105" w:name="_Toc310953813"/>
      <w:r>
        <w:rPr>
          <w:rFonts w:hint="default" w:ascii="Times New Roman" w:hAnsi="Times New Roman" w:cs="Times New Roman"/>
          <w:b/>
          <w:color w:val="000000"/>
          <w:kern w:val="2"/>
          <w:sz w:val="32"/>
          <w:szCs w:val="32"/>
        </w:rPr>
        <w:t>条文说明</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default" w:ascii="Times New Roman" w:hAnsi="Times New Roman" w:cs="Times New Roman"/>
          <w:b/>
          <w:color w:val="000000"/>
          <w:kern w:val="2"/>
          <w:sz w:val="32"/>
          <w:szCs w:val="32"/>
        </w:rPr>
        <w:t xml:space="preserve"> </w:t>
      </w:r>
    </w:p>
    <w:p w14:paraId="56479221">
      <w:pPr>
        <w:spacing w:line="400" w:lineRule="exact"/>
        <w:rPr>
          <w:rFonts w:hint="default" w:ascii="Times New Roman" w:hAnsi="Times New Roman" w:cs="Times New Roman"/>
          <w:color w:val="000000"/>
          <w:sz w:val="28"/>
        </w:rPr>
      </w:pPr>
    </w:p>
    <w:p w14:paraId="4C0D0318">
      <w:pPr>
        <w:spacing w:line="400" w:lineRule="exact"/>
        <w:rPr>
          <w:rFonts w:hint="default" w:ascii="Times New Roman" w:hAnsi="Times New Roman" w:cs="Times New Roman"/>
          <w:color w:val="000000"/>
          <w:sz w:val="28"/>
        </w:rPr>
      </w:pPr>
    </w:p>
    <w:p w14:paraId="41BFD342">
      <w:pPr>
        <w:rPr>
          <w:rFonts w:hint="default" w:ascii="Times New Roman" w:hAnsi="Times New Roman" w:cs="Times New Roman"/>
          <w:color w:val="000000"/>
          <w:sz w:val="28"/>
        </w:rPr>
      </w:pPr>
      <w:r>
        <w:rPr>
          <w:rFonts w:hint="default" w:ascii="Times New Roman" w:hAnsi="Times New Roman" w:cs="Times New Roman"/>
          <w:color w:val="000000"/>
          <w:sz w:val="28"/>
        </w:rPr>
        <w:br w:type="page"/>
      </w:r>
    </w:p>
    <w:p w14:paraId="44A09E93">
      <w:pPr>
        <w:spacing w:before="170" w:beforeLines="50" w:after="170" w:afterLines="50" w:line="360" w:lineRule="exact"/>
        <w:jc w:val="center"/>
        <w:outlineLvl w:val="0"/>
        <w:rPr>
          <w:rFonts w:hint="default" w:ascii="Times New Roman" w:hAnsi="Times New Roman" w:eastAsia="宋体" w:cs="Times New Roman"/>
          <w:b/>
          <w:kern w:val="2"/>
          <w:sz w:val="28"/>
          <w:lang w:val="en-US" w:eastAsia="zh-CN" w:bidi="ar-SA"/>
        </w:rPr>
      </w:pPr>
      <w:bookmarkStart w:id="106" w:name="_Toc31307"/>
      <w:bookmarkStart w:id="107" w:name="_Toc20417"/>
      <w:bookmarkStart w:id="108" w:name="_Toc12022"/>
      <w:bookmarkStart w:id="109" w:name="_Toc28236"/>
      <w:bookmarkStart w:id="110" w:name="_Toc18150"/>
      <w:bookmarkStart w:id="111" w:name="_Toc23254"/>
      <w:bookmarkStart w:id="112" w:name="_Toc11946"/>
      <w:bookmarkStart w:id="113" w:name="_Toc18166"/>
      <w:r>
        <w:rPr>
          <w:rFonts w:hint="default" w:ascii="Times New Roman" w:hAnsi="Times New Roman" w:eastAsia="宋体" w:cs="Times New Roman"/>
          <w:b/>
          <w:kern w:val="2"/>
          <w:sz w:val="28"/>
          <w:lang w:val="en-US" w:eastAsia="zh-CN" w:bidi="ar-SA"/>
        </w:rPr>
        <w:t>目 录</w:t>
      </w:r>
      <w:bookmarkEnd w:id="106"/>
      <w:bookmarkEnd w:id="107"/>
      <w:bookmarkEnd w:id="108"/>
      <w:bookmarkEnd w:id="109"/>
      <w:bookmarkEnd w:id="110"/>
      <w:bookmarkEnd w:id="111"/>
      <w:bookmarkEnd w:id="112"/>
      <w:bookmarkEnd w:id="113"/>
    </w:p>
    <w:p w14:paraId="0079506E">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_Toc1717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Times New Roman" w:hAnsi="Times New Roman" w:eastAsia="宋体" w:cs="Times New Roman"/>
          <w:kern w:val="2"/>
          <w:lang w:val="en-US" w:eastAsia="zh-CN" w:bidi="ar-SA"/>
        </w:rPr>
        <w:t>1  总  则</w:t>
      </w:r>
      <w:r>
        <w:tab/>
      </w:r>
      <w:r>
        <w:fldChar w:fldCharType="begin"/>
      </w:r>
      <w:r>
        <w:instrText xml:space="preserve"> PAGEREF _Toc1717 \h </w:instrText>
      </w:r>
      <w:r>
        <w:fldChar w:fldCharType="separate"/>
      </w:r>
      <w:r>
        <w:t>63</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66DD19F9">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_Toc6209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Times New Roman" w:hAnsi="Times New Roman" w:eastAsia="宋体" w:cs="Times New Roman"/>
          <w:kern w:val="2"/>
          <w:szCs w:val="20"/>
          <w:lang w:val="en-US" w:eastAsia="zh-CN" w:bidi="ar-SA"/>
        </w:rPr>
        <w:t>2  术语</w:t>
      </w:r>
      <w:r>
        <w:rPr>
          <w:rFonts w:hint="eastAsia" w:cs="Times New Roman"/>
          <w:kern w:val="2"/>
          <w:szCs w:val="20"/>
          <w:lang w:val="en-US" w:eastAsia="zh-CN" w:bidi="ar-SA"/>
        </w:rPr>
        <w:t>和符号</w:t>
      </w:r>
      <w:r>
        <w:tab/>
      </w:r>
      <w:r>
        <w:fldChar w:fldCharType="begin"/>
      </w:r>
      <w:r>
        <w:instrText xml:space="preserve"> PAGEREF _Toc6209 \h </w:instrText>
      </w:r>
      <w:r>
        <w:fldChar w:fldCharType="separate"/>
      </w:r>
      <w:r>
        <w:t>64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3D265AA1">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_Toc28049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ascii="Times New Roman" w:hAnsi="Times New Roman" w:eastAsia="宋体" w:cs="Times New Roman"/>
          <w:lang w:val="en-US" w:eastAsia="zh-CN"/>
        </w:rPr>
        <w:t>2.1 术语</w:t>
      </w:r>
      <w:r>
        <w:tab/>
      </w:r>
      <w:r>
        <w:fldChar w:fldCharType="begin"/>
      </w:r>
      <w:r>
        <w:instrText xml:space="preserve"> PAGEREF _Toc28049 \h </w:instrText>
      </w:r>
      <w:r>
        <w:fldChar w:fldCharType="separate"/>
      </w:r>
      <w:r>
        <w:t>64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334026A">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_Toc2103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ascii="Times New Roman" w:hAnsi="Times New Roman" w:eastAsia="宋体" w:cs="Times New Roman"/>
          <w:lang w:val="en-US" w:eastAsia="zh-CN"/>
        </w:rPr>
        <w:t>2.2 符号</w:t>
      </w:r>
      <w:r>
        <w:tab/>
      </w:r>
      <w:r>
        <w:fldChar w:fldCharType="begin"/>
      </w:r>
      <w:r>
        <w:instrText xml:space="preserve"> PAGEREF _Toc2103 \h </w:instrText>
      </w:r>
      <w:r>
        <w:fldChar w:fldCharType="separate"/>
      </w:r>
      <w:r>
        <w:t>68</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3BA9C05C">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_Toc32563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Times New Roman" w:hAnsi="Times New Roman" w:eastAsia="宋体" w:cs="Times New Roman"/>
          <w:kern w:val="2"/>
          <w:szCs w:val="20"/>
          <w:lang w:val="en-US" w:eastAsia="zh-CN" w:bidi="ar-SA"/>
        </w:rPr>
        <w:t xml:space="preserve">3  </w:t>
      </w:r>
      <w:r>
        <w:rPr>
          <w:rFonts w:hint="eastAsia" w:cs="Times New Roman"/>
          <w:kern w:val="2"/>
          <w:szCs w:val="20"/>
          <w:lang w:val="en-US" w:eastAsia="zh-CN" w:bidi="ar-SA"/>
        </w:rPr>
        <w:t>材料</w:t>
      </w:r>
      <w:r>
        <w:tab/>
      </w:r>
      <w:r>
        <w:fldChar w:fldCharType="begin"/>
      </w:r>
      <w:r>
        <w:instrText xml:space="preserve"> PAGEREF _Toc32563 \h </w:instrText>
      </w:r>
      <w:r>
        <w:fldChar w:fldCharType="separate"/>
      </w:r>
      <w:r>
        <w:t>69</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54A51F8">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_Toc16740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Times New Roman" w:hAnsi="Times New Roman" w:eastAsia="宋体" w:cs="Times New Roman"/>
          <w:kern w:val="2"/>
          <w:szCs w:val="20"/>
          <w:lang w:val="en-US" w:eastAsia="zh-CN" w:bidi="ar-SA"/>
        </w:rPr>
        <w:t xml:space="preserve">4  </w:t>
      </w:r>
      <w:r>
        <w:rPr>
          <w:rFonts w:hint="eastAsia" w:cs="Times New Roman"/>
          <w:kern w:val="2"/>
          <w:szCs w:val="20"/>
          <w:lang w:val="en-US" w:eastAsia="zh-CN" w:bidi="ar-SA"/>
        </w:rPr>
        <w:t>设计基本规定</w:t>
      </w:r>
      <w:r>
        <w:tab/>
      </w:r>
      <w:r>
        <w:fldChar w:fldCharType="begin"/>
      </w:r>
      <w:r>
        <w:instrText xml:space="preserve"> PAGEREF _Toc16740 \h </w:instrText>
      </w:r>
      <w:r>
        <w:fldChar w:fldCharType="separate"/>
      </w:r>
      <w:r>
        <w:t>70</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1FEC680">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_Toc20881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Times New Roman" w:hAnsi="Times New Roman" w:eastAsia="宋体" w:cs="Times New Roman"/>
          <w:kern w:val="2"/>
          <w:szCs w:val="20"/>
          <w:lang w:val="en-US" w:eastAsia="zh-CN" w:bidi="ar-SA"/>
        </w:rPr>
        <w:t xml:space="preserve">5  </w:t>
      </w:r>
      <w:r>
        <w:rPr>
          <w:rFonts w:hint="eastAsia" w:ascii="Times New Roman" w:hAnsi="Times New Roman" w:cs="Times New Roman"/>
          <w:kern w:val="2"/>
          <w:szCs w:val="20"/>
          <w:lang w:val="en-US" w:eastAsia="zh-CN" w:bidi="ar-SA"/>
        </w:rPr>
        <w:t>结构分析与构件设计</w:t>
      </w:r>
      <w:r>
        <w:tab/>
      </w:r>
      <w:r>
        <w:fldChar w:fldCharType="begin"/>
      </w:r>
      <w:r>
        <w:instrText xml:space="preserve"> PAGEREF _Toc20881 \h </w:instrText>
      </w:r>
      <w:r>
        <w:fldChar w:fldCharType="separate"/>
      </w:r>
      <w:r>
        <w:t>72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78045D22">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_Toc30778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5.1 结构分析</w:t>
      </w:r>
      <w:r>
        <w:tab/>
      </w:r>
      <w:r>
        <w:fldChar w:fldCharType="begin"/>
      </w:r>
      <w:r>
        <w:instrText xml:space="preserve"> PAGEREF _Toc30778 \h </w:instrText>
      </w:r>
      <w:r>
        <w:fldChar w:fldCharType="separate"/>
      </w:r>
      <w:r>
        <w:t>72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0B938D74">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_Toc11360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5.2 构件与钢组件设计</w:t>
      </w:r>
      <w:r>
        <w:tab/>
      </w:r>
      <w:r>
        <w:fldChar w:fldCharType="begin"/>
      </w:r>
      <w:r>
        <w:instrText xml:space="preserve"> PAGEREF _Toc11360 \h </w:instrText>
      </w:r>
      <w:r>
        <w:fldChar w:fldCharType="separate"/>
      </w:r>
      <w:r>
        <w:t>72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BC34EE1">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_Toc1114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cs="Times New Roman"/>
          <w:kern w:val="2"/>
          <w:szCs w:val="20"/>
          <w:lang w:val="en-US" w:eastAsia="zh-CN" w:bidi="ar-SA"/>
        </w:rPr>
        <w:t>6</w:t>
      </w:r>
      <w:r>
        <w:rPr>
          <w:rFonts w:hint="default" w:ascii="Times New Roman" w:hAnsi="Times New Roman" w:eastAsia="宋体" w:cs="Times New Roman"/>
          <w:kern w:val="2"/>
          <w:szCs w:val="20"/>
          <w:lang w:val="en-US" w:eastAsia="zh-CN" w:bidi="ar-SA"/>
        </w:rPr>
        <w:t xml:space="preserve">  </w:t>
      </w:r>
      <w:r>
        <w:rPr>
          <w:rFonts w:hint="eastAsia" w:cs="Times New Roman"/>
          <w:kern w:val="2"/>
          <w:szCs w:val="20"/>
          <w:lang w:val="en-US" w:eastAsia="zh-CN" w:bidi="ar-SA"/>
        </w:rPr>
        <w:t>连接节点设计</w:t>
      </w:r>
      <w:r>
        <w:tab/>
      </w:r>
      <w:r>
        <w:fldChar w:fldCharType="begin"/>
      </w:r>
      <w:r>
        <w:instrText xml:space="preserve"> PAGEREF _Toc1114 \h </w:instrText>
      </w:r>
      <w:r>
        <w:fldChar w:fldCharType="separate"/>
      </w:r>
      <w:r>
        <w:t>77</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39FE753">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_Toc19835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6.1 梁柱连接节点</w:t>
      </w:r>
      <w:r>
        <w:tab/>
      </w:r>
      <w:r>
        <w:fldChar w:fldCharType="begin"/>
      </w:r>
      <w:r>
        <w:instrText xml:space="preserve"> PAGEREF _Toc19835 \h </w:instrText>
      </w:r>
      <w:r>
        <w:fldChar w:fldCharType="separate"/>
      </w:r>
      <w:r>
        <w:t>77</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7B86DE5">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_Toc18028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6.2 预制柱连接</w:t>
      </w:r>
      <w:r>
        <w:tab/>
      </w:r>
      <w:r>
        <w:fldChar w:fldCharType="begin"/>
      </w:r>
      <w:r>
        <w:instrText xml:space="preserve"> PAGEREF _Toc18028 \h </w:instrText>
      </w:r>
      <w:r>
        <w:fldChar w:fldCharType="separate"/>
      </w:r>
      <w:r>
        <w:t>80</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6B38D4FA">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_Toc12407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6.4 楼盖节点</w:t>
      </w:r>
      <w:r>
        <w:tab/>
      </w:r>
      <w:r>
        <w:fldChar w:fldCharType="begin"/>
      </w:r>
      <w:r>
        <w:instrText xml:space="preserve"> PAGEREF _Toc12407 \h </w:instrText>
      </w:r>
      <w:r>
        <w:fldChar w:fldCharType="separate"/>
      </w:r>
      <w:r>
        <w:t>81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347F2611">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_Toc14826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cs="Times New Roman"/>
          <w:szCs w:val="28"/>
          <w:lang w:val="en-US" w:eastAsia="zh-CN"/>
        </w:rPr>
        <w:t>7</w:t>
      </w:r>
      <w:r>
        <w:rPr>
          <w:rFonts w:hint="default" w:ascii="Times New Roman" w:hAnsi="Times New Roman" w:eastAsia="宋体" w:cs="Times New Roman"/>
          <w:kern w:val="2"/>
          <w:szCs w:val="28"/>
          <w:lang w:val="en-US" w:eastAsia="zh-CN" w:bidi="ar-SA"/>
        </w:rPr>
        <w:t xml:space="preserve">  </w:t>
      </w:r>
      <w:r>
        <w:rPr>
          <w:rFonts w:hint="eastAsia" w:cs="Times New Roman"/>
          <w:kern w:val="2"/>
          <w:szCs w:val="28"/>
          <w:lang w:val="en-US" w:eastAsia="zh-CN" w:bidi="ar-SA"/>
        </w:rPr>
        <w:t>制作与施工</w:t>
      </w:r>
      <w:r>
        <w:tab/>
      </w:r>
      <w:r>
        <w:fldChar w:fldCharType="begin"/>
      </w:r>
      <w:r>
        <w:instrText xml:space="preserve"> PAGEREF _Toc14826 \h </w:instrText>
      </w:r>
      <w:r>
        <w:fldChar w:fldCharType="separate"/>
      </w:r>
      <w:r>
        <w:t>82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1798911">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_Toc8158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7.1 一般规定</w:t>
      </w:r>
      <w:r>
        <w:tab/>
      </w:r>
      <w:r>
        <w:fldChar w:fldCharType="begin"/>
      </w:r>
      <w:r>
        <w:instrText xml:space="preserve"> PAGEREF _Toc8158 \h </w:instrText>
      </w:r>
      <w:r>
        <w:fldChar w:fldCharType="separate"/>
      </w:r>
      <w:r>
        <w:t>82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3DBC5AD0">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_Toc3916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7.2 制作与检验</w:t>
      </w:r>
      <w:r>
        <w:tab/>
      </w:r>
      <w:r>
        <w:fldChar w:fldCharType="begin"/>
      </w:r>
      <w:r>
        <w:instrText xml:space="preserve"> PAGEREF _Toc3916 \h </w:instrText>
      </w:r>
      <w:r>
        <w:fldChar w:fldCharType="separate"/>
      </w:r>
      <w:r>
        <w:t>82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293FDCF">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_Toc9360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7.3 安装与连接</w:t>
      </w:r>
      <w:r>
        <w:tab/>
      </w:r>
      <w:r>
        <w:fldChar w:fldCharType="begin"/>
      </w:r>
      <w:r>
        <w:instrText xml:space="preserve"> PAGEREF _Toc9360 \h </w:instrText>
      </w:r>
      <w:r>
        <w:fldChar w:fldCharType="separate"/>
      </w:r>
      <w:r>
        <w:t>83</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41A5770">
      <w:pPr>
        <w:pStyle w:val="20"/>
        <w:tabs>
          <w:tab w:val="right" w:leader="dot" w:pos="8300"/>
          <w:tab w:val="clear" w:pos="420"/>
          <w:tab w:val="clear" w:pos="8296"/>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_Toc9161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cs="Times New Roman"/>
          <w:kern w:val="2"/>
          <w:szCs w:val="20"/>
          <w:lang w:val="en-US" w:eastAsia="zh-CN" w:bidi="ar-SA"/>
        </w:rPr>
        <w:t>8</w:t>
      </w:r>
      <w:r>
        <w:rPr>
          <w:rFonts w:hint="default" w:ascii="Times New Roman" w:hAnsi="Times New Roman" w:eastAsia="宋体" w:cs="Times New Roman"/>
          <w:kern w:val="2"/>
          <w:szCs w:val="20"/>
          <w:lang w:val="en-US" w:eastAsia="zh-CN" w:bidi="ar-SA"/>
        </w:rPr>
        <w:t xml:space="preserve">  </w:t>
      </w:r>
      <w:r>
        <w:rPr>
          <w:rFonts w:hint="eastAsia" w:cs="Times New Roman"/>
          <w:kern w:val="2"/>
          <w:szCs w:val="20"/>
          <w:lang w:val="en-US" w:eastAsia="zh-CN" w:bidi="ar-SA"/>
        </w:rPr>
        <w:t>质量验收</w:t>
      </w:r>
      <w:r>
        <w:tab/>
      </w:r>
      <w:r>
        <w:fldChar w:fldCharType="begin"/>
      </w:r>
      <w:r>
        <w:instrText xml:space="preserve"> PAGEREF _Toc9161 \h </w:instrText>
      </w:r>
      <w:r>
        <w:fldChar w:fldCharType="separate"/>
      </w:r>
      <w:r>
        <w:t>84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82FA0C2">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_Toc27650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8.1 一般规定</w:t>
      </w:r>
      <w:r>
        <w:tab/>
      </w:r>
      <w:r>
        <w:fldChar w:fldCharType="begin"/>
      </w:r>
      <w:r>
        <w:instrText xml:space="preserve"> PAGEREF _Toc27650 \h </w:instrText>
      </w:r>
      <w:r>
        <w:fldChar w:fldCharType="separate"/>
      </w:r>
      <w:r>
        <w:t>84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59E4B296">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_Toc30940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lang w:val="en-US" w:eastAsia="zh-CN"/>
        </w:rPr>
        <w:t xml:space="preserve">8.2 </w:t>
      </w:r>
      <w:r>
        <w:rPr>
          <w:rFonts w:hint="eastAsia"/>
        </w:rPr>
        <w:t>预制构件进场验收</w:t>
      </w:r>
      <w:r>
        <w:tab/>
      </w:r>
      <w:r>
        <w:fldChar w:fldCharType="begin"/>
      </w:r>
      <w:r>
        <w:instrText xml:space="preserve"> PAGEREF _Toc30940 \h </w:instrText>
      </w:r>
      <w:r>
        <w:fldChar w:fldCharType="separate"/>
      </w:r>
      <w:r>
        <w:t>84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0DFAD128">
      <w:pPr>
        <w:pStyle w:val="24"/>
        <w:tabs>
          <w:tab w:val="right" w:leader="dot" w:pos="8300"/>
        </w:tabs>
        <w:jc w:val="center"/>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_Toc15409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ascii="Times New Roman" w:hAnsi="Times New Roman" w:eastAsia="宋体" w:cs="Times New Roman"/>
          <w:lang w:val="en-US" w:eastAsia="zh-CN"/>
        </w:rPr>
        <w:t>8.3 安装与连接质量验收</w:t>
      </w:r>
      <w:r>
        <w:tab/>
      </w:r>
      <w:r>
        <w:fldChar w:fldCharType="begin"/>
      </w:r>
      <w:r>
        <w:instrText xml:space="preserve"> PAGEREF _Toc15409 \h </w:instrText>
      </w:r>
      <w:r>
        <w:fldChar w:fldCharType="separate"/>
      </w:r>
      <w:r>
        <w:t>84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627D09E">
      <w:pPr>
        <w:jc w:val="left"/>
        <w:rPr>
          <w:rFonts w:hint="default" w:ascii="Times New Roman" w:hAnsi="Times New Roman" w:cs="Times New Roman"/>
          <w:b/>
          <w:color w:val="000000"/>
          <w:sz w:val="21"/>
          <w:szCs w:val="21"/>
        </w:rPr>
      </w:pPr>
    </w:p>
    <w:p w14:paraId="6ABDEB17">
      <w:pPr>
        <w:spacing w:before="340" w:beforeLines="100" w:after="340" w:afterLines="100" w:line="360" w:lineRule="exact"/>
        <w:jc w:val="center"/>
        <w:outlineLvl w:val="0"/>
        <w:rPr>
          <w:rFonts w:hint="default" w:ascii="Times New Roman" w:hAnsi="Times New Roman" w:cs="Times New Roman"/>
          <w:b/>
          <w:color w:val="000000"/>
          <w:sz w:val="28"/>
          <w:szCs w:val="28"/>
          <w:shd w:val="clear" w:color="auto" w:fill="FFFFFF"/>
        </w:rPr>
        <w:sectPr>
          <w:footerReference r:id="rId16" w:type="default"/>
          <w:pgSz w:w="11906" w:h="16838"/>
          <w:pgMar w:top="1440" w:right="1803" w:bottom="1440" w:left="1803" w:header="851" w:footer="992" w:gutter="0"/>
          <w:cols w:space="720" w:num="1"/>
          <w:docGrid w:type="lines" w:linePitch="340" w:charSpace="0"/>
        </w:sectPr>
      </w:pPr>
      <w:bookmarkStart w:id="114" w:name="_Toc443641700"/>
      <w:bookmarkStart w:id="115" w:name="_Toc7838"/>
      <w:bookmarkStart w:id="116" w:name="_Toc29209"/>
      <w:bookmarkStart w:id="117" w:name="_Toc444336811"/>
      <w:bookmarkStart w:id="118" w:name="_Toc29219"/>
      <w:bookmarkStart w:id="119" w:name="_Toc19406"/>
      <w:bookmarkStart w:id="120" w:name="_Toc9802"/>
      <w:bookmarkStart w:id="121" w:name="_Toc29096"/>
      <w:bookmarkStart w:id="122" w:name="_Toc445394539"/>
      <w:bookmarkStart w:id="123" w:name="_Toc1024"/>
    </w:p>
    <w:bookmarkEnd w:id="114"/>
    <w:bookmarkEnd w:id="115"/>
    <w:bookmarkEnd w:id="116"/>
    <w:bookmarkEnd w:id="117"/>
    <w:bookmarkEnd w:id="118"/>
    <w:bookmarkEnd w:id="119"/>
    <w:bookmarkEnd w:id="120"/>
    <w:bookmarkEnd w:id="121"/>
    <w:bookmarkEnd w:id="122"/>
    <w:bookmarkEnd w:id="123"/>
    <w:p w14:paraId="5EDD9D27">
      <w:pPr>
        <w:spacing w:before="170" w:beforeLines="50" w:after="170" w:afterLines="50" w:line="360" w:lineRule="exact"/>
        <w:jc w:val="center"/>
        <w:outlineLvl w:val="0"/>
        <w:rPr>
          <w:rFonts w:hint="default" w:ascii="Times New Roman" w:hAnsi="Times New Roman" w:eastAsia="宋体" w:cs="Times New Roman"/>
          <w:b/>
          <w:kern w:val="2"/>
          <w:sz w:val="28"/>
          <w:lang w:val="en-US" w:eastAsia="zh-CN" w:bidi="ar-SA"/>
        </w:rPr>
      </w:pPr>
      <w:bookmarkStart w:id="124" w:name="_Toc6463"/>
      <w:bookmarkStart w:id="125" w:name="_Toc24974"/>
      <w:bookmarkStart w:id="126" w:name="_Toc17402"/>
      <w:bookmarkStart w:id="127" w:name="_Toc2520"/>
      <w:bookmarkStart w:id="128" w:name="_Toc30273"/>
      <w:bookmarkStart w:id="129" w:name="_Toc25656"/>
      <w:bookmarkStart w:id="130" w:name="_Toc27022"/>
      <w:bookmarkStart w:id="131" w:name="_Toc868"/>
      <w:bookmarkStart w:id="132" w:name="_Toc21080"/>
      <w:bookmarkStart w:id="133" w:name="_Toc1617"/>
      <w:bookmarkStart w:id="134" w:name="_Toc22590"/>
      <w:bookmarkStart w:id="135" w:name="_Toc17460"/>
      <w:bookmarkStart w:id="136" w:name="_Toc19891"/>
      <w:bookmarkStart w:id="137" w:name="_Toc16110"/>
      <w:bookmarkStart w:id="138" w:name="_Toc21338"/>
      <w:bookmarkStart w:id="139" w:name="_Toc31043"/>
      <w:bookmarkStart w:id="140" w:name="_Toc32534"/>
      <w:bookmarkStart w:id="141" w:name="_Toc14064"/>
      <w:bookmarkStart w:id="142" w:name="_Toc1717"/>
      <w:bookmarkStart w:id="143" w:name="_Toc13702"/>
      <w:bookmarkStart w:id="144" w:name="_Toc27787"/>
      <w:r>
        <w:rPr>
          <w:rFonts w:hint="default" w:ascii="Times New Roman" w:hAnsi="Times New Roman" w:eastAsia="宋体" w:cs="Times New Roman"/>
          <w:b/>
          <w:kern w:val="2"/>
          <w:sz w:val="28"/>
          <w:lang w:val="en-US" w:eastAsia="zh-CN" w:bidi="ar-SA"/>
        </w:rPr>
        <w:t>1  总  则</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8830F1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color w:val="auto"/>
          <w:sz w:val="24"/>
          <w:szCs w:val="24"/>
          <w:highlight w:val="none"/>
          <w:lang w:val="en-US" w:eastAsia="zh-CN"/>
        </w:rPr>
      </w:pPr>
      <w:r>
        <w:rPr>
          <w:rFonts w:hint="default" w:ascii="Times New Roman" w:hAnsi="Times New Roman" w:cs="Times New Roman"/>
          <w:b/>
          <w:color w:val="000000"/>
          <w:sz w:val="24"/>
          <w:szCs w:val="24"/>
          <w:shd w:val="clear" w:color="auto" w:fill="FFFFFF"/>
        </w:rPr>
        <w:t>1.0.1</w:t>
      </w:r>
      <w:r>
        <w:rPr>
          <w:rFonts w:hint="default" w:ascii="Times New Roman" w:hAnsi="Times New Roman" w:cs="Times New Roman"/>
          <w:color w:val="auto"/>
          <w:sz w:val="24"/>
          <w:szCs w:val="24"/>
          <w:highlight w:val="none"/>
          <w:shd w:val="clear" w:color="auto" w:fill="FFFFFF"/>
        </w:rPr>
        <w:t xml:space="preserve"> </w:t>
      </w:r>
      <w:r>
        <w:rPr>
          <w:rFonts w:hint="eastAsia"/>
          <w:color w:val="auto"/>
          <w:sz w:val="24"/>
          <w:szCs w:val="24"/>
          <w:highlight w:val="none"/>
          <w:lang w:eastAsia="zh-CN"/>
        </w:rPr>
        <w:t>钢组件</w:t>
      </w:r>
      <w:r>
        <w:rPr>
          <w:rFonts w:hint="eastAsia"/>
          <w:color w:val="auto"/>
          <w:sz w:val="24"/>
          <w:szCs w:val="24"/>
          <w:highlight w:val="none"/>
          <w:lang w:val="en-US" w:eastAsia="zh-CN"/>
        </w:rPr>
        <w:t>连接装配式混凝土</w:t>
      </w:r>
      <w:r>
        <w:rPr>
          <w:rFonts w:hint="eastAsia"/>
          <w:color w:val="auto"/>
          <w:sz w:val="24"/>
          <w:szCs w:val="24"/>
          <w:highlight w:val="none"/>
          <w:lang w:eastAsia="zh-CN"/>
        </w:rPr>
        <w:t>框架结构是一种通过在</w:t>
      </w:r>
      <w:r>
        <w:rPr>
          <w:rFonts w:hint="eastAsia"/>
          <w:color w:val="auto"/>
          <w:sz w:val="24"/>
          <w:szCs w:val="24"/>
          <w:highlight w:val="none"/>
          <w:lang w:val="en-US" w:eastAsia="zh-CN"/>
        </w:rPr>
        <w:t>预制</w:t>
      </w:r>
      <w:r>
        <w:rPr>
          <w:rFonts w:hint="eastAsia"/>
          <w:color w:val="auto"/>
          <w:sz w:val="24"/>
          <w:szCs w:val="24"/>
          <w:highlight w:val="none"/>
          <w:lang w:eastAsia="zh-CN"/>
        </w:rPr>
        <w:t>梁端、</w:t>
      </w:r>
      <w:r>
        <w:rPr>
          <w:rFonts w:hint="eastAsia"/>
          <w:color w:val="auto"/>
          <w:sz w:val="24"/>
          <w:szCs w:val="24"/>
          <w:highlight w:val="none"/>
          <w:lang w:val="en-US" w:eastAsia="zh-CN"/>
        </w:rPr>
        <w:t>预制柱端、预制柱节点域或预制柱侧设置钢组件，现场通过钢组件的连接实现梁与柱、柱与柱、柱与基础连接的新型装配式结构形式</w:t>
      </w:r>
      <w:r>
        <w:rPr>
          <w:rFonts w:hint="eastAsia"/>
          <w:color w:val="auto"/>
          <w:sz w:val="24"/>
          <w:szCs w:val="24"/>
          <w:highlight w:val="none"/>
          <w:lang w:eastAsia="zh-CN"/>
        </w:rPr>
        <w:t>。</w:t>
      </w:r>
      <w:r>
        <w:rPr>
          <w:rFonts w:hint="eastAsia"/>
          <w:color w:val="auto"/>
          <w:sz w:val="24"/>
          <w:szCs w:val="24"/>
          <w:highlight w:val="none"/>
          <w:lang w:val="en-US" w:eastAsia="zh-CN"/>
        </w:rPr>
        <w:t>采用钢组件的连接节点可以实现刚性连接，满足连接节点不先于构件破坏的抗震设计要求，即该结构中梁柱构件的预期破坏位置位于连接节点之外，与现浇混凝土框架结构一致。因此，该结构形式并未改变钢筋混凝土框架结构体系的本质，而是创新采用钢组件，实现了预制构件的免支撑快速装配。该结构的抗震性能基本等同于现浇混凝土框架结构，当节点域采用钢组件时，节点的抗震性能要强于现浇混凝土框架结构。</w:t>
      </w:r>
    </w:p>
    <w:p w14:paraId="1C5703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与</w:t>
      </w:r>
      <w:r>
        <w:rPr>
          <w:rFonts w:hint="eastAsia"/>
          <w:color w:val="auto"/>
          <w:sz w:val="24"/>
          <w:szCs w:val="24"/>
          <w:highlight w:val="none"/>
          <w:lang w:val="en-US" w:eastAsia="zh-CN"/>
        </w:rPr>
        <w:t>现浇混凝土框架结构和采用传统后浇节点的</w:t>
      </w:r>
      <w:r>
        <w:rPr>
          <w:rFonts w:hint="eastAsia"/>
          <w:color w:val="auto"/>
          <w:sz w:val="24"/>
          <w:szCs w:val="24"/>
          <w:highlight w:val="none"/>
          <w:lang w:eastAsia="zh-CN"/>
        </w:rPr>
        <w:t>装配式混凝土框架结构相比，</w:t>
      </w:r>
      <w:r>
        <w:rPr>
          <w:rFonts w:hint="eastAsia"/>
          <w:color w:val="auto"/>
          <w:sz w:val="24"/>
          <w:szCs w:val="24"/>
          <w:highlight w:val="none"/>
          <w:lang w:val="en-US" w:eastAsia="zh-CN"/>
        </w:rPr>
        <w:t>钢组件连接装配式混凝土框架结构</w:t>
      </w:r>
      <w:r>
        <w:rPr>
          <w:rFonts w:hint="eastAsia"/>
          <w:color w:val="auto"/>
          <w:sz w:val="24"/>
          <w:szCs w:val="24"/>
          <w:highlight w:val="none"/>
          <w:lang w:eastAsia="zh-CN"/>
        </w:rPr>
        <w:t>，</w:t>
      </w:r>
      <w:r>
        <w:rPr>
          <w:rFonts w:hint="eastAsia"/>
          <w:color w:val="auto"/>
          <w:sz w:val="24"/>
          <w:szCs w:val="24"/>
          <w:highlight w:val="none"/>
          <w:lang w:val="en-US" w:eastAsia="zh-CN"/>
        </w:rPr>
        <w:t>可以</w:t>
      </w:r>
      <w:r>
        <w:rPr>
          <w:rFonts w:hint="eastAsia"/>
          <w:color w:val="auto"/>
          <w:sz w:val="24"/>
          <w:szCs w:val="24"/>
          <w:highlight w:val="none"/>
          <w:lang w:eastAsia="zh-CN"/>
        </w:rPr>
        <w:t>实现预制混凝土梁、柱的免支撑施工，构件安装及连接方便、快捷，</w:t>
      </w:r>
      <w:r>
        <w:rPr>
          <w:rFonts w:hint="eastAsia"/>
          <w:color w:val="auto"/>
          <w:sz w:val="24"/>
          <w:szCs w:val="24"/>
          <w:highlight w:val="none"/>
          <w:lang w:val="en-US" w:eastAsia="zh-CN"/>
        </w:rPr>
        <w:t>能够</w:t>
      </w:r>
      <w:r>
        <w:rPr>
          <w:rFonts w:hint="eastAsia"/>
          <w:color w:val="auto"/>
          <w:sz w:val="24"/>
          <w:szCs w:val="24"/>
          <w:highlight w:val="none"/>
          <w:lang w:eastAsia="zh-CN"/>
        </w:rPr>
        <w:t>有效缩短施工周期，极大地降低各项施工措施费用。与钢框架结构相比，</w:t>
      </w:r>
      <w:r>
        <w:rPr>
          <w:rFonts w:hint="eastAsia"/>
          <w:color w:val="auto"/>
          <w:sz w:val="24"/>
          <w:szCs w:val="24"/>
          <w:highlight w:val="none"/>
          <w:lang w:val="en-US" w:eastAsia="zh-CN"/>
        </w:rPr>
        <w:t>钢组件连接装配式混凝土框架结构</w:t>
      </w:r>
      <w:r>
        <w:rPr>
          <w:rFonts w:hint="eastAsia"/>
          <w:color w:val="auto"/>
          <w:sz w:val="24"/>
          <w:szCs w:val="24"/>
          <w:highlight w:val="none"/>
          <w:lang w:eastAsia="zh-CN"/>
        </w:rPr>
        <w:t>的结构耐久性更好，</w:t>
      </w:r>
      <w:r>
        <w:rPr>
          <w:rFonts w:hint="eastAsia"/>
          <w:color w:val="auto"/>
          <w:sz w:val="24"/>
          <w:szCs w:val="24"/>
          <w:highlight w:val="none"/>
          <w:lang w:val="en-US" w:eastAsia="zh-CN"/>
        </w:rPr>
        <w:t>综合成本更低</w:t>
      </w:r>
      <w:r>
        <w:rPr>
          <w:rFonts w:hint="eastAsia"/>
          <w:color w:val="auto"/>
          <w:sz w:val="24"/>
          <w:szCs w:val="24"/>
          <w:highlight w:val="none"/>
          <w:lang w:eastAsia="zh-CN"/>
        </w:rPr>
        <w:t>。</w:t>
      </w:r>
    </w:p>
    <w:p w14:paraId="65A5838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总体而言，</w:t>
      </w:r>
      <w:r>
        <w:rPr>
          <w:rFonts w:hint="eastAsia"/>
          <w:color w:val="auto"/>
          <w:sz w:val="24"/>
          <w:szCs w:val="24"/>
          <w:highlight w:val="none"/>
          <w:lang w:val="en-US" w:eastAsia="zh-CN"/>
        </w:rPr>
        <w:t>钢组件连接装配式混凝土框架结构能够更好地</w:t>
      </w:r>
      <w:r>
        <w:rPr>
          <w:rFonts w:hint="eastAsia"/>
          <w:color w:val="auto"/>
          <w:sz w:val="24"/>
          <w:szCs w:val="24"/>
          <w:highlight w:val="none"/>
          <w:lang w:eastAsia="zh-CN"/>
        </w:rPr>
        <w:t>发挥装配式结构在施工高效、节能减排、绿色环保等方面的优势，</w:t>
      </w:r>
      <w:r>
        <w:rPr>
          <w:rFonts w:hint="eastAsia"/>
          <w:color w:val="auto"/>
          <w:sz w:val="24"/>
          <w:szCs w:val="24"/>
          <w:highlight w:val="none"/>
          <w:lang w:val="en-US" w:eastAsia="zh-CN"/>
        </w:rPr>
        <w:t>针对其编制工程标准，支撑其推广应用具有重要意义</w:t>
      </w:r>
      <w:r>
        <w:rPr>
          <w:rFonts w:hint="eastAsia"/>
          <w:color w:val="auto"/>
          <w:sz w:val="24"/>
          <w:szCs w:val="24"/>
          <w:highlight w:val="none"/>
          <w:lang w:eastAsia="zh-CN"/>
        </w:rPr>
        <w:t>。</w:t>
      </w:r>
    </w:p>
    <w:p w14:paraId="45F16D1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szCs w:val="24"/>
          <w:highlight w:val="none"/>
          <w:shd w:val="clear" w:color="auto" w:fill="FFFFFF"/>
        </w:rPr>
      </w:pPr>
      <w:r>
        <w:rPr>
          <w:rFonts w:hint="default" w:ascii="Times New Roman" w:hAnsi="Times New Roman" w:cs="Times New Roman"/>
          <w:b/>
          <w:color w:val="auto"/>
          <w:sz w:val="24"/>
          <w:szCs w:val="24"/>
          <w:highlight w:val="none"/>
          <w:shd w:val="clear" w:color="auto" w:fill="FFFFFF"/>
        </w:rPr>
        <w:t>1.0.2</w:t>
      </w:r>
      <w:r>
        <w:rPr>
          <w:rFonts w:hint="default" w:ascii="Times New Roman" w:hAnsi="Times New Roman" w:cs="Times New Roman"/>
          <w:color w:val="auto"/>
          <w:sz w:val="24"/>
          <w:szCs w:val="24"/>
          <w:highlight w:val="none"/>
          <w:shd w:val="clear" w:color="auto" w:fill="FFFFFF"/>
        </w:rPr>
        <w:t xml:space="preserve"> </w:t>
      </w:r>
      <w:r>
        <w:rPr>
          <w:rFonts w:hint="eastAsia" w:cs="Times New Roman"/>
          <w:color w:val="auto"/>
          <w:sz w:val="24"/>
          <w:szCs w:val="24"/>
          <w:highlight w:val="none"/>
          <w:shd w:val="clear" w:color="auto" w:fill="FFFFFF"/>
          <w:lang w:val="en-US" w:eastAsia="zh-CN"/>
        </w:rPr>
        <w:t>本条规定了</w:t>
      </w:r>
      <w:r>
        <w:rPr>
          <w:rFonts w:hint="eastAsia"/>
          <w:color w:val="auto"/>
          <w:sz w:val="24"/>
          <w:szCs w:val="24"/>
          <w:highlight w:val="none"/>
          <w:lang w:eastAsia="zh-CN"/>
        </w:rPr>
        <w:t>钢组件</w:t>
      </w:r>
      <w:r>
        <w:rPr>
          <w:rFonts w:hint="eastAsia"/>
          <w:color w:val="auto"/>
          <w:sz w:val="24"/>
          <w:szCs w:val="24"/>
          <w:highlight w:val="none"/>
          <w:lang w:val="en-US" w:eastAsia="zh-CN"/>
        </w:rPr>
        <w:t>连接装配式混凝土框架</w:t>
      </w:r>
      <w:r>
        <w:rPr>
          <w:rFonts w:hint="eastAsia"/>
          <w:color w:val="auto"/>
          <w:sz w:val="24"/>
          <w:szCs w:val="24"/>
          <w:highlight w:val="none"/>
          <w:lang w:eastAsia="zh-CN"/>
        </w:rPr>
        <w:t>结构</w:t>
      </w:r>
      <w:r>
        <w:rPr>
          <w:rFonts w:hint="eastAsia"/>
          <w:color w:val="auto"/>
          <w:sz w:val="24"/>
          <w:szCs w:val="24"/>
          <w:highlight w:val="none"/>
          <w:lang w:val="en-US" w:eastAsia="zh-CN"/>
        </w:rPr>
        <w:t>技术的适用范围</w:t>
      </w:r>
      <w:r>
        <w:rPr>
          <w:rFonts w:hint="default" w:ascii="Times New Roman" w:hAnsi="Times New Roman" w:cs="Times New Roman"/>
          <w:color w:val="auto"/>
          <w:sz w:val="24"/>
          <w:szCs w:val="24"/>
          <w:highlight w:val="none"/>
          <w:shd w:val="clear" w:color="auto" w:fill="FFFFFF"/>
        </w:rPr>
        <w:t>。</w:t>
      </w:r>
    </w:p>
    <w:p w14:paraId="2663AE0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cs="Times New Roman"/>
          <w:b/>
          <w:color w:val="auto"/>
          <w:sz w:val="24"/>
          <w:szCs w:val="24"/>
          <w:highlight w:val="none"/>
          <w:shd w:val="clear" w:color="auto" w:fill="FFFFFF"/>
        </w:rPr>
        <w:t>1.0.3</w:t>
      </w:r>
      <w:r>
        <w:rPr>
          <w:rFonts w:hint="default" w:ascii="Times New Roman" w:hAnsi="Times New Roman" w:cs="Times New Roman"/>
          <w:color w:val="auto"/>
          <w:sz w:val="24"/>
          <w:szCs w:val="24"/>
          <w:highlight w:val="none"/>
          <w:shd w:val="clear" w:color="auto" w:fill="FFFFFF"/>
        </w:rPr>
        <w:t xml:space="preserve"> </w:t>
      </w:r>
      <w:r>
        <w:rPr>
          <w:rFonts w:hint="eastAsia"/>
          <w:color w:val="auto"/>
          <w:highlight w:val="none"/>
          <w:lang w:eastAsia="zh-CN"/>
        </w:rPr>
        <w:t>钢组件</w:t>
      </w:r>
      <w:r>
        <w:rPr>
          <w:rFonts w:hint="eastAsia"/>
          <w:color w:val="auto"/>
          <w:highlight w:val="none"/>
          <w:lang w:val="en-US" w:eastAsia="zh-CN"/>
        </w:rPr>
        <w:t>连接装配式混凝土</w:t>
      </w:r>
      <w:r>
        <w:rPr>
          <w:rFonts w:hint="eastAsia"/>
          <w:color w:val="auto"/>
          <w:highlight w:val="none"/>
          <w:lang w:eastAsia="zh-CN"/>
        </w:rPr>
        <w:t>框架结构</w:t>
      </w:r>
      <w:r>
        <w:rPr>
          <w:rFonts w:hint="eastAsia"/>
          <w:color w:val="auto"/>
          <w:highlight w:val="none"/>
        </w:rPr>
        <w:t>的设计、制作、施工及验收，除应符合本规程的规定外，尚应符合国家现行标准</w:t>
      </w:r>
      <w:r>
        <w:rPr>
          <w:rFonts w:hint="eastAsia"/>
          <w:color w:val="auto"/>
          <w:highlight w:val="none"/>
          <w:lang w:eastAsia="zh-CN"/>
        </w:rPr>
        <w:t>《</w:t>
      </w:r>
      <w:r>
        <w:rPr>
          <w:rFonts w:hint="eastAsia"/>
          <w:color w:val="auto"/>
          <w:highlight w:val="none"/>
          <w:lang w:val="en-US" w:eastAsia="zh-CN"/>
        </w:rPr>
        <w:t>工程结构通用规范</w:t>
      </w:r>
      <w:r>
        <w:rPr>
          <w:rFonts w:hint="eastAsia"/>
          <w:color w:val="auto"/>
          <w:highlight w:val="none"/>
          <w:lang w:eastAsia="zh-CN"/>
        </w:rPr>
        <w:t>》</w:t>
      </w:r>
      <w:r>
        <w:rPr>
          <w:rFonts w:hint="eastAsia"/>
          <w:color w:val="auto"/>
          <w:highlight w:val="none"/>
          <w:lang w:val="en-US" w:eastAsia="zh-CN"/>
        </w:rPr>
        <w:t>GB 55001、《建筑与市政工程抗震通用规范》GB 55002、《混凝土结构通用规范》GB 55008、《混凝土结构设计标准》GB/T 50010、《建筑抗震设计标准》GB/T 50011、《混凝土结构工程施工规范》GB 50666、《混凝土结构工程施工质量验收规范》GB 50204、《装配式混凝土建筑技术标准》GB/T 51231、《装配式混凝土结构技术规程》JGJ 1、《高层建筑混凝土结构技术规程》JGJ 3等</w:t>
      </w:r>
      <w:r>
        <w:rPr>
          <w:rFonts w:hint="eastAsia"/>
          <w:color w:val="auto"/>
          <w:highlight w:val="none"/>
        </w:rPr>
        <w:t>的规定</w:t>
      </w:r>
      <w:r>
        <w:rPr>
          <w:rFonts w:hint="default" w:ascii="Times New Roman" w:hAnsi="Times New Roman" w:cs="Times New Roman"/>
          <w:color w:val="auto"/>
          <w:sz w:val="24"/>
          <w:szCs w:val="24"/>
          <w:highlight w:val="none"/>
          <w:shd w:val="clear" w:color="auto" w:fill="FFFFFF"/>
        </w:rPr>
        <w:t>。</w:t>
      </w:r>
    </w:p>
    <w:p w14:paraId="27C8AF7B">
      <w:pPr>
        <w:pStyle w:val="110"/>
        <w:spacing w:before="170" w:beforeLines="50" w:after="170" w:afterLines="50" w:line="360" w:lineRule="exact"/>
        <w:ind w:left="0" w:leftChars="0" w:firstLine="0" w:firstLineChars="0"/>
        <w:jc w:val="center"/>
        <w:rPr>
          <w:rFonts w:hint="default" w:ascii="Times New Roman" w:hAnsi="Times New Roman" w:eastAsia="宋体" w:cs="Times New Roman"/>
          <w:b/>
          <w:kern w:val="2"/>
          <w:sz w:val="28"/>
          <w:szCs w:val="20"/>
          <w:lang w:val="en-US" w:eastAsia="zh-CN" w:bidi="ar-SA"/>
        </w:rPr>
      </w:pPr>
      <w:r>
        <w:rPr>
          <w:rFonts w:hint="default" w:ascii="Times New Roman" w:hAnsi="Times New Roman" w:cs="Times New Roman"/>
          <w:color w:val="000000"/>
          <w:szCs w:val="21"/>
          <w:shd w:val="clear" w:color="auto" w:fill="FFFFFF"/>
        </w:rPr>
        <w:br w:type="page"/>
      </w:r>
      <w:bookmarkStart w:id="145" w:name="_Toc17005"/>
      <w:bookmarkStart w:id="146" w:name="_Toc6775"/>
      <w:bookmarkStart w:id="147" w:name="_Toc7200"/>
      <w:bookmarkStart w:id="148" w:name="_Toc22221"/>
      <w:bookmarkStart w:id="149" w:name="_Toc7782"/>
      <w:bookmarkStart w:id="150" w:name="_Toc9936"/>
      <w:bookmarkStart w:id="151" w:name="_Toc16623"/>
      <w:bookmarkStart w:id="152" w:name="_Toc573"/>
      <w:bookmarkStart w:id="153" w:name="_Toc21472"/>
      <w:bookmarkStart w:id="154" w:name="_Toc22771"/>
      <w:bookmarkStart w:id="155" w:name="_Toc20625"/>
      <w:bookmarkStart w:id="156" w:name="_Toc18984"/>
      <w:bookmarkStart w:id="157" w:name="_Toc6993"/>
      <w:bookmarkStart w:id="158" w:name="_Toc4340"/>
      <w:bookmarkStart w:id="159" w:name="_Toc1332"/>
      <w:bookmarkStart w:id="160" w:name="_Toc6204"/>
      <w:bookmarkStart w:id="161" w:name="_Toc1217"/>
      <w:bookmarkStart w:id="162" w:name="_Toc24081"/>
      <w:bookmarkStart w:id="163" w:name="_Toc6209"/>
      <w:bookmarkStart w:id="164" w:name="_Toc17754"/>
      <w:bookmarkStart w:id="165" w:name="_Toc11164"/>
      <w:bookmarkStart w:id="166" w:name="_Toc6303"/>
      <w:r>
        <w:rPr>
          <w:rFonts w:hint="default" w:ascii="Times New Roman" w:hAnsi="Times New Roman" w:eastAsia="宋体" w:cs="Times New Roman"/>
          <w:b/>
          <w:kern w:val="2"/>
          <w:sz w:val="28"/>
          <w:szCs w:val="20"/>
          <w:lang w:val="en-US" w:eastAsia="zh-CN" w:bidi="ar-SA"/>
        </w:rPr>
        <w:t>2  术语</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hint="eastAsia" w:cs="Times New Roman"/>
          <w:b/>
          <w:kern w:val="2"/>
          <w:sz w:val="28"/>
          <w:szCs w:val="20"/>
          <w:lang w:val="en-US" w:eastAsia="zh-CN" w:bidi="ar-SA"/>
        </w:rPr>
        <w:t>和符号</w:t>
      </w:r>
      <w:bookmarkEnd w:id="160"/>
      <w:bookmarkEnd w:id="161"/>
      <w:bookmarkEnd w:id="162"/>
      <w:bookmarkEnd w:id="163"/>
      <w:bookmarkEnd w:id="164"/>
      <w:bookmarkEnd w:id="165"/>
      <w:bookmarkEnd w:id="166"/>
    </w:p>
    <w:p w14:paraId="5A8FB4E3">
      <w:pPr>
        <w:pStyle w:val="41"/>
        <w:numPr>
          <w:ilvl w:val="1"/>
          <w:numId w:val="0"/>
        </w:numPr>
        <w:spacing w:before="312" w:after="312"/>
        <w:ind w:leftChars="0"/>
        <w:jc w:val="center"/>
        <w:rPr>
          <w:rFonts w:hint="default" w:ascii="Times New Roman" w:hAnsi="Times New Roman" w:eastAsia="宋体" w:cs="Times New Roman"/>
          <w:lang w:val="en-US" w:eastAsia="zh-CN"/>
        </w:rPr>
      </w:pPr>
      <w:bookmarkStart w:id="167" w:name="_Toc21928"/>
      <w:bookmarkStart w:id="168" w:name="_Toc2485"/>
      <w:bookmarkStart w:id="169" w:name="_Toc22497"/>
      <w:bookmarkStart w:id="170" w:name="_Toc23267"/>
      <w:bookmarkStart w:id="171" w:name="_Toc8151"/>
      <w:bookmarkStart w:id="172" w:name="_Toc28049"/>
      <w:bookmarkStart w:id="173" w:name="_Toc28629"/>
      <w:r>
        <w:rPr>
          <w:rFonts w:hint="eastAsia" w:ascii="Times New Roman" w:hAnsi="Times New Roman" w:eastAsia="宋体" w:cs="Times New Roman"/>
          <w:lang w:val="en-US" w:eastAsia="zh-CN"/>
        </w:rPr>
        <w:t>2.1 术语</w:t>
      </w:r>
      <w:bookmarkEnd w:id="167"/>
      <w:bookmarkEnd w:id="168"/>
      <w:bookmarkEnd w:id="169"/>
      <w:bookmarkEnd w:id="170"/>
      <w:bookmarkEnd w:id="171"/>
      <w:bookmarkEnd w:id="172"/>
      <w:bookmarkEnd w:id="173"/>
    </w:p>
    <w:p w14:paraId="1FD00A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b w:val="0"/>
          <w:bCs/>
          <w:color w:val="000000"/>
          <w:sz w:val="24"/>
          <w:szCs w:val="24"/>
          <w:shd w:val="clear" w:color="auto" w:fill="FFFFFF"/>
          <w:lang w:val="en-US" w:eastAsia="zh-CN"/>
        </w:rPr>
      </w:pPr>
      <w:r>
        <w:rPr>
          <w:rFonts w:hint="default" w:ascii="Times New Roman" w:hAnsi="Times New Roman" w:cs="Times New Roman"/>
          <w:b/>
          <w:color w:val="000000"/>
          <w:sz w:val="24"/>
          <w:szCs w:val="24"/>
        </w:rPr>
        <w:t>2.</w:t>
      </w:r>
      <w:r>
        <w:rPr>
          <w:rFonts w:hint="eastAsia" w:cs="Times New Roman"/>
          <w:b/>
          <w:color w:val="000000"/>
          <w:sz w:val="24"/>
          <w:szCs w:val="24"/>
          <w:lang w:val="en-US" w:eastAsia="zh-CN"/>
        </w:rPr>
        <w:t>1</w:t>
      </w:r>
      <w:r>
        <w:rPr>
          <w:rFonts w:hint="default" w:ascii="Times New Roman" w:hAnsi="Times New Roman" w:cs="Times New Roman"/>
          <w:b/>
          <w:color w:val="000000"/>
          <w:sz w:val="24"/>
          <w:szCs w:val="24"/>
        </w:rPr>
        <w:t xml:space="preserve">.1 </w:t>
      </w:r>
      <w:r>
        <w:rPr>
          <w:rFonts w:hint="eastAsia" w:cs="Times New Roman"/>
          <w:b w:val="0"/>
          <w:bCs/>
          <w:color w:val="000000"/>
          <w:sz w:val="24"/>
          <w:szCs w:val="24"/>
          <w:lang w:val="en-US" w:eastAsia="zh-CN"/>
        </w:rPr>
        <w:t>钢组件连接装配式混凝土框架结构由预制混凝土梁和预制混凝土柱在现场装配形成</w:t>
      </w:r>
      <w:r>
        <w:rPr>
          <w:rFonts w:hint="default" w:ascii="Times New Roman" w:hAnsi="Times New Roman" w:cs="Times New Roman"/>
          <w:b w:val="0"/>
          <w:bCs/>
          <w:color w:val="000000"/>
          <w:sz w:val="24"/>
          <w:szCs w:val="24"/>
          <w:shd w:val="clear" w:color="auto" w:fill="FFFFFF"/>
        </w:rPr>
        <w:t>。</w:t>
      </w:r>
      <w:r>
        <w:rPr>
          <w:rFonts w:hint="eastAsia" w:cs="Times New Roman"/>
          <w:b w:val="0"/>
          <w:bCs/>
          <w:color w:val="000000"/>
          <w:sz w:val="24"/>
          <w:szCs w:val="24"/>
          <w:shd w:val="clear" w:color="auto" w:fill="FFFFFF"/>
          <w:lang w:val="en-US" w:eastAsia="zh-CN"/>
        </w:rPr>
        <w:t>预制构件之间通过钢组件连接，钢组件除了起到构件连接作用外，还能够起到安装过程中的临时支承作用，因此可实现现场免支撑、快速装配。</w:t>
      </w:r>
    </w:p>
    <w:p w14:paraId="67DD6E4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eastAsia" w:cs="Times New Roman"/>
          <w:b w:val="0"/>
          <w:bCs/>
          <w:color w:val="000000"/>
          <w:sz w:val="24"/>
          <w:szCs w:val="24"/>
          <w:shd w:val="clear" w:color="auto" w:fill="FFFFFF"/>
          <w:lang w:val="en-US" w:eastAsia="zh-CN"/>
        </w:rPr>
        <w:t>本规程中“预制梁”、“预制柱”在未做特殊说明的情况下均指预制框架梁和预制框架柱。</w:t>
      </w:r>
    </w:p>
    <w:p w14:paraId="6215247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shd w:val="clear" w:color="auto" w:fill="FFFFFF"/>
        </w:rPr>
        <w:t>2.</w:t>
      </w:r>
      <w:r>
        <w:rPr>
          <w:rFonts w:hint="eastAsia" w:cs="Times New Roman"/>
          <w:b/>
          <w:color w:val="000000"/>
          <w:sz w:val="24"/>
          <w:szCs w:val="24"/>
          <w:shd w:val="clear" w:color="auto" w:fill="FFFFFF"/>
          <w:lang w:val="en-US" w:eastAsia="zh-CN"/>
        </w:rPr>
        <w:t>1.2</w:t>
      </w:r>
      <w:r>
        <w:rPr>
          <w:rFonts w:hint="default" w:ascii="Times New Roman" w:hAnsi="Times New Roman" w:cs="Times New Roman"/>
          <w:color w:val="000000"/>
          <w:sz w:val="24"/>
          <w:szCs w:val="24"/>
          <w:shd w:val="clear" w:color="auto" w:fill="FFFFFF"/>
        </w:rPr>
        <w:t xml:space="preserve"> </w:t>
      </w:r>
      <w:r>
        <w:rPr>
          <w:rFonts w:hint="eastAsia" w:cs="Times New Roman"/>
          <w:color w:val="000000"/>
          <w:sz w:val="24"/>
          <w:szCs w:val="24"/>
          <w:shd w:val="clear" w:color="auto" w:fill="FFFFFF"/>
          <w:lang w:val="en-US" w:eastAsia="zh-CN"/>
        </w:rPr>
        <w:t>钢组件是钢组件框架结构中的核心部分，位于梁柱节点域的称为节点域钢组件，位于梁端的称为梁端钢组件，位于柱端的称为柱端钢组件，位于柱侧的称为柱侧钢组件</w:t>
      </w:r>
      <w:r>
        <w:rPr>
          <w:rFonts w:hint="default" w:ascii="Times New Roman" w:hAnsi="Times New Roman" w:cs="Times New Roman"/>
          <w:color w:val="000000"/>
          <w:sz w:val="24"/>
          <w:szCs w:val="24"/>
        </w:rPr>
        <w:t>。</w:t>
      </w:r>
    </w:p>
    <w:p w14:paraId="01C5303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color w:val="000000"/>
          <w:sz w:val="24"/>
          <w:szCs w:val="24"/>
          <w:shd w:val="clear" w:color="auto" w:fill="FFFFFF"/>
          <w:lang w:val="en-US" w:eastAsia="zh-CN"/>
        </w:rPr>
      </w:pPr>
      <w:r>
        <w:rPr>
          <w:rFonts w:hint="default" w:ascii="Times New Roman" w:hAnsi="Times New Roman" w:cs="Times New Roman"/>
          <w:b/>
          <w:color w:val="000000"/>
          <w:sz w:val="24"/>
          <w:szCs w:val="24"/>
          <w:shd w:val="clear" w:color="auto" w:fill="FFFFFF"/>
        </w:rPr>
        <w:t>2.</w:t>
      </w:r>
      <w:r>
        <w:rPr>
          <w:rFonts w:hint="eastAsia" w:cs="Times New Roman"/>
          <w:b/>
          <w:color w:val="000000"/>
          <w:sz w:val="24"/>
          <w:szCs w:val="24"/>
          <w:shd w:val="clear" w:color="auto" w:fill="FFFFFF"/>
          <w:lang w:val="en-US" w:eastAsia="zh-CN"/>
        </w:rPr>
        <w:t>1.3</w:t>
      </w:r>
      <w:r>
        <w:rPr>
          <w:rFonts w:hint="default" w:ascii="Times New Roman" w:hAnsi="Times New Roman" w:cs="Times New Roman"/>
          <w:color w:val="000000"/>
          <w:sz w:val="24"/>
          <w:szCs w:val="24"/>
          <w:shd w:val="clear" w:color="auto" w:fill="FFFFFF"/>
        </w:rPr>
        <w:t xml:space="preserve"> </w:t>
      </w:r>
      <w:r>
        <w:rPr>
          <w:rFonts w:hint="eastAsia" w:ascii="Times New Roman" w:hAnsi="Times New Roman" w:cs="Times New Roman"/>
          <w:color w:val="000000"/>
          <w:sz w:val="24"/>
          <w:szCs w:val="24"/>
          <w:shd w:val="clear" w:color="auto" w:fill="FFFFFF"/>
          <w:lang w:val="en-US" w:eastAsia="zh-CN"/>
        </w:rPr>
        <w:t>节点域钢组件位于梁柱节点域内，一般由隔板和侧板焊接组成，预制柱生产时将其和钢筋骨架共同放入模具，浇筑成型后除连接板外，钢组件不外伸，现场施工后可以实现钢组件完全不外露。</w:t>
      </w:r>
    </w:p>
    <w:p w14:paraId="6CBF330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color w:val="000000"/>
          <w:sz w:val="24"/>
          <w:szCs w:val="24"/>
          <w:shd w:val="clear" w:color="auto" w:fill="FFFFFF"/>
          <w:lang w:val="en-US" w:eastAsia="zh-CN"/>
        </w:rPr>
      </w:pPr>
      <w:r>
        <w:rPr>
          <w:rFonts w:hint="eastAsia" w:ascii="Times New Roman" w:hAnsi="Times New Roman" w:cs="Times New Roman"/>
          <w:b/>
          <w:bCs/>
          <w:color w:val="000000"/>
          <w:sz w:val="24"/>
          <w:szCs w:val="24"/>
          <w:shd w:val="clear" w:color="auto" w:fill="FFFFFF"/>
          <w:lang w:val="en-US" w:eastAsia="zh-CN"/>
        </w:rPr>
        <w:t xml:space="preserve">2.1.4 </w:t>
      </w:r>
      <w:r>
        <w:rPr>
          <w:rFonts w:hint="eastAsia" w:ascii="Times New Roman" w:hAnsi="Times New Roman" w:cs="Times New Roman"/>
          <w:color w:val="000000"/>
          <w:sz w:val="24"/>
          <w:szCs w:val="24"/>
          <w:shd w:val="clear" w:color="auto" w:fill="FFFFFF"/>
          <w:lang w:val="en-US" w:eastAsia="zh-CN"/>
        </w:rPr>
        <w:t>梁端钢组件一般采用工字形钢，部分伸入混凝土梁身与梁纵筋焊接</w:t>
      </w:r>
      <w:r>
        <w:rPr>
          <w:rFonts w:hint="eastAsia" w:cs="Times New Roman"/>
          <w:color w:val="000000"/>
          <w:sz w:val="24"/>
          <w:szCs w:val="24"/>
          <w:shd w:val="clear" w:color="auto" w:fill="FFFFFF"/>
          <w:lang w:val="en-US" w:eastAsia="zh-CN"/>
        </w:rPr>
        <w:t>，典型构造如图1所示</w:t>
      </w:r>
      <w:r>
        <w:rPr>
          <w:rFonts w:hint="eastAsia" w:ascii="Times New Roman" w:hAnsi="Times New Roman" w:cs="Times New Roman"/>
          <w:color w:val="000000"/>
          <w:sz w:val="24"/>
          <w:szCs w:val="24"/>
          <w:shd w:val="clear" w:color="auto" w:fill="FFFFFF"/>
          <w:lang w:val="en-US" w:eastAsia="zh-CN"/>
        </w:rPr>
        <w:t>。</w:t>
      </w:r>
    </w:p>
    <w:p w14:paraId="6559345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color w:val="auto"/>
          <w:lang w:val="en-US" w:eastAsia="zh-CN"/>
        </w:rPr>
      </w:pPr>
      <w:r>
        <w:drawing>
          <wp:inline distT="0" distB="0" distL="114300" distR="114300">
            <wp:extent cx="3307715" cy="1640205"/>
            <wp:effectExtent l="0" t="0" r="6985" b="17145"/>
            <wp:docPr id="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8"/>
                    <pic:cNvPicPr>
                      <a:picLocks noChangeAspect="1"/>
                    </pic:cNvPicPr>
                  </pic:nvPicPr>
                  <pic:blipFill>
                    <a:blip r:embed="rId356"/>
                    <a:stretch>
                      <a:fillRect/>
                    </a:stretch>
                  </pic:blipFill>
                  <pic:spPr>
                    <a:xfrm>
                      <a:off x="0" y="0"/>
                      <a:ext cx="3307715" cy="1640205"/>
                    </a:xfrm>
                    <a:prstGeom prst="rect">
                      <a:avLst/>
                    </a:prstGeom>
                    <a:noFill/>
                    <a:ln>
                      <a:noFill/>
                    </a:ln>
                  </pic:spPr>
                </pic:pic>
              </a:graphicData>
            </a:graphic>
          </wp:inline>
        </w:drawing>
      </w:r>
    </w:p>
    <w:p w14:paraId="5D445222">
      <w:pPr>
        <w:pStyle w:val="45"/>
        <w:rPr>
          <w:rFonts w:hint="default" w:eastAsia="黑体"/>
          <w:color w:val="auto"/>
          <w:lang w:val="en-US" w:eastAsia="zh-CN"/>
        </w:rPr>
      </w:pPr>
      <w:r>
        <w:rPr>
          <w:color w:val="auto"/>
        </w:rPr>
        <w:t>1—</w:t>
      </w:r>
      <w:r>
        <w:rPr>
          <w:rFonts w:hint="eastAsia"/>
          <w:color w:val="auto"/>
          <w:lang w:val="en-US" w:eastAsia="zh-CN"/>
        </w:rPr>
        <w:t>翼缘</w:t>
      </w:r>
      <w:r>
        <w:rPr>
          <w:color w:val="auto"/>
        </w:rPr>
        <w:t>；2—</w:t>
      </w:r>
      <w:r>
        <w:rPr>
          <w:rFonts w:hint="eastAsia"/>
          <w:color w:val="auto"/>
          <w:lang w:val="en-US" w:eastAsia="zh-CN"/>
        </w:rPr>
        <w:t>混凝土梁身</w:t>
      </w:r>
      <w:r>
        <w:rPr>
          <w:rFonts w:hint="eastAsia"/>
          <w:color w:val="auto"/>
        </w:rPr>
        <w:t>；3</w:t>
      </w:r>
      <w:r>
        <w:rPr>
          <w:color w:val="auto"/>
        </w:rPr>
        <w:t>—</w:t>
      </w:r>
      <w:r>
        <w:rPr>
          <w:rFonts w:hint="eastAsia"/>
          <w:color w:val="auto"/>
          <w:lang w:val="en-US" w:eastAsia="zh-CN"/>
        </w:rPr>
        <w:t>梁身箍筋</w:t>
      </w:r>
      <w:r>
        <w:rPr>
          <w:rFonts w:hint="eastAsia"/>
          <w:color w:val="auto"/>
        </w:rPr>
        <w:t>；4</w:t>
      </w:r>
      <w:r>
        <w:rPr>
          <w:color w:val="auto"/>
        </w:rPr>
        <w:t>—</w:t>
      </w:r>
      <w:r>
        <w:rPr>
          <w:rFonts w:hint="eastAsia"/>
          <w:color w:val="auto"/>
          <w:lang w:val="en-US" w:eastAsia="zh-CN"/>
        </w:rPr>
        <w:t>梁身纵筋；5</w:t>
      </w:r>
      <w:r>
        <w:rPr>
          <w:color w:val="auto"/>
        </w:rPr>
        <w:t>—</w:t>
      </w:r>
      <w:r>
        <w:rPr>
          <w:rFonts w:hint="eastAsia"/>
          <w:color w:val="auto"/>
          <w:lang w:val="en-US" w:eastAsia="zh-CN"/>
        </w:rPr>
        <w:t>过浆孔；6</w:t>
      </w:r>
      <w:r>
        <w:rPr>
          <w:color w:val="auto"/>
        </w:rPr>
        <w:t>—</w:t>
      </w:r>
      <w:r>
        <w:rPr>
          <w:rFonts w:hint="eastAsia"/>
          <w:color w:val="auto"/>
          <w:lang w:val="en-US" w:eastAsia="zh-CN"/>
        </w:rPr>
        <w:t>抗剪栓钉；7</w:t>
      </w:r>
      <w:r>
        <w:rPr>
          <w:color w:val="auto"/>
        </w:rPr>
        <w:t>—</w:t>
      </w:r>
      <w:r>
        <w:rPr>
          <w:rFonts w:hint="eastAsia"/>
          <w:color w:val="auto"/>
          <w:lang w:val="en-US" w:eastAsia="zh-CN"/>
        </w:rPr>
        <w:t>腹板；8</w:t>
      </w:r>
      <w:r>
        <w:rPr>
          <w:color w:val="auto"/>
        </w:rPr>
        <w:t>—</w:t>
      </w:r>
      <w:r>
        <w:rPr>
          <w:rFonts w:hint="eastAsia"/>
          <w:color w:val="auto"/>
          <w:lang w:val="en-US" w:eastAsia="zh-CN"/>
        </w:rPr>
        <w:t>螺栓孔</w:t>
      </w:r>
    </w:p>
    <w:p w14:paraId="08767F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lang w:val="en-US" w:eastAsia="zh-CN"/>
        </w:rPr>
      </w:pPr>
      <w:r>
        <w:rPr>
          <w:rFonts w:hint="eastAsia" w:ascii="Times New Roman" w:hAnsi="Times New Roman" w:eastAsia="黑体" w:cs="Times New Roman"/>
          <w:color w:val="auto"/>
          <w:kern w:val="2"/>
          <w:sz w:val="21"/>
          <w:szCs w:val="21"/>
          <w:lang w:val="en-US" w:eastAsia="zh-CN" w:bidi="ar-SA"/>
        </w:rPr>
        <w:t>图</w:t>
      </w:r>
      <w:r>
        <w:rPr>
          <w:rFonts w:hint="eastAsia" w:eastAsia="黑体" w:cs="Times New Roman"/>
          <w:color w:val="auto"/>
          <w:kern w:val="2"/>
          <w:sz w:val="21"/>
          <w:szCs w:val="21"/>
          <w:lang w:val="en-US" w:eastAsia="zh-CN" w:bidi="ar-SA"/>
        </w:rPr>
        <w:t>1</w:t>
      </w:r>
      <w:r>
        <w:rPr>
          <w:rFonts w:hint="eastAsia" w:ascii="Times New Roman" w:hAnsi="Times New Roman" w:eastAsia="黑体" w:cs="Times New Roman"/>
          <w:color w:val="auto"/>
          <w:kern w:val="2"/>
          <w:sz w:val="21"/>
          <w:szCs w:val="21"/>
          <w:lang w:val="en-US" w:eastAsia="zh-CN" w:bidi="ar-SA"/>
        </w:rPr>
        <w:t xml:space="preserve">  梁端</w:t>
      </w:r>
      <w:r>
        <w:rPr>
          <w:rFonts w:hint="eastAsia" w:eastAsia="黑体" w:cs="Times New Roman"/>
          <w:color w:val="auto"/>
          <w:kern w:val="2"/>
          <w:sz w:val="21"/>
          <w:szCs w:val="21"/>
          <w:lang w:val="en-US" w:eastAsia="zh-CN" w:bidi="ar-SA"/>
        </w:rPr>
        <w:t>钢组件</w:t>
      </w:r>
      <w:r>
        <w:rPr>
          <w:rFonts w:hint="eastAsia" w:ascii="Times New Roman" w:hAnsi="Times New Roman" w:eastAsia="黑体" w:cs="Times New Roman"/>
          <w:color w:val="auto"/>
          <w:kern w:val="2"/>
          <w:sz w:val="21"/>
          <w:szCs w:val="21"/>
          <w:lang w:val="en-US" w:eastAsia="zh-CN" w:bidi="ar-SA"/>
        </w:rPr>
        <w:t>构造示意</w:t>
      </w:r>
    </w:p>
    <w:p w14:paraId="0EB3F7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lang w:val="en-US" w:eastAsia="zh-CN"/>
        </w:rPr>
      </w:pPr>
      <w:r>
        <w:rPr>
          <w:rFonts w:hint="eastAsia" w:ascii="Times New Roman" w:hAnsi="Times New Roman" w:cs="Times New Roman"/>
          <w:b/>
          <w:bCs/>
          <w:color w:val="000000"/>
          <w:sz w:val="24"/>
          <w:szCs w:val="24"/>
          <w:shd w:val="clear" w:color="auto" w:fill="FFFFFF"/>
          <w:lang w:val="en-US" w:eastAsia="zh-CN"/>
        </w:rPr>
        <w:t xml:space="preserve">2.1.5 </w:t>
      </w:r>
      <w:r>
        <w:rPr>
          <w:rFonts w:hint="eastAsia" w:ascii="Times New Roman" w:hAnsi="Times New Roman" w:cs="Times New Roman"/>
          <w:color w:val="000000"/>
          <w:sz w:val="24"/>
          <w:szCs w:val="24"/>
          <w:shd w:val="clear" w:color="auto" w:fill="FFFFFF"/>
          <w:lang w:val="en-US" w:eastAsia="zh-CN"/>
        </w:rPr>
        <w:t>柱侧钢组件一般采用工字形钢，单侧与柱连接。柱侧钢组件需突出柱表面</w:t>
      </w:r>
      <w:r>
        <w:rPr>
          <w:rFonts w:hint="eastAsia" w:cs="Times New Roman"/>
          <w:color w:val="000000"/>
          <w:sz w:val="24"/>
          <w:szCs w:val="24"/>
          <w:shd w:val="clear" w:color="auto" w:fill="FFFFFF"/>
          <w:lang w:val="en-US" w:eastAsia="zh-CN"/>
        </w:rPr>
        <w:t>，</w:t>
      </w:r>
      <w:r>
        <w:rPr>
          <w:rFonts w:hint="eastAsia"/>
          <w:color w:val="auto"/>
          <w:lang w:val="en-US" w:eastAsia="zh-CN"/>
        </w:rPr>
        <w:t>包括B型</w:t>
      </w:r>
      <w:r>
        <w:rPr>
          <w:rFonts w:hint="eastAsia"/>
          <w:lang w:val="en-US" w:eastAsia="zh-CN"/>
        </w:rPr>
        <w:t>柱侧钢组件和</w:t>
      </w:r>
      <w:r>
        <w:rPr>
          <w:rFonts w:hint="eastAsia"/>
          <w:color w:val="auto"/>
          <w:lang w:val="en-US" w:eastAsia="zh-CN"/>
        </w:rPr>
        <w:t>C型</w:t>
      </w:r>
      <w:r>
        <w:rPr>
          <w:rFonts w:hint="eastAsia"/>
          <w:lang w:val="en-US" w:eastAsia="zh-CN"/>
        </w:rPr>
        <w:t>柱侧钢组件，典型柱侧钢组件的构造如图2和图3所示。</w:t>
      </w:r>
    </w:p>
    <w:p w14:paraId="4364991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1944370" cy="2879725"/>
            <wp:effectExtent l="0" t="0" r="17780" b="15875"/>
            <wp:docPr id="7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0"/>
                    <pic:cNvPicPr>
                      <a:picLocks noChangeAspect="1"/>
                    </pic:cNvPicPr>
                  </pic:nvPicPr>
                  <pic:blipFill>
                    <a:blip r:embed="rId357"/>
                    <a:stretch>
                      <a:fillRect/>
                    </a:stretch>
                  </pic:blipFill>
                  <pic:spPr>
                    <a:xfrm>
                      <a:off x="0" y="0"/>
                      <a:ext cx="1944370" cy="2879725"/>
                    </a:xfrm>
                    <a:prstGeom prst="rect">
                      <a:avLst/>
                    </a:prstGeom>
                    <a:noFill/>
                    <a:ln>
                      <a:noFill/>
                    </a:ln>
                  </pic:spPr>
                </pic:pic>
              </a:graphicData>
            </a:graphic>
          </wp:inline>
        </w:drawing>
      </w:r>
    </w:p>
    <w:p w14:paraId="468D763C">
      <w:pPr>
        <w:pStyle w:val="45"/>
        <w:rPr>
          <w:color w:val="auto"/>
        </w:rPr>
      </w:pPr>
      <w:r>
        <w:rPr>
          <w:rFonts w:hint="eastAsia"/>
          <w:color w:val="auto"/>
          <w:lang w:val="en-US" w:eastAsia="zh-CN"/>
        </w:rPr>
        <w:t>1</w:t>
      </w:r>
      <w:r>
        <w:rPr>
          <w:color w:val="auto"/>
        </w:rPr>
        <w:t>—</w:t>
      </w:r>
      <w:r>
        <w:rPr>
          <w:rFonts w:hint="eastAsia"/>
          <w:color w:val="auto"/>
          <w:lang w:val="en-US" w:eastAsia="zh-CN"/>
        </w:rPr>
        <w:t>混凝土柱身；2</w:t>
      </w:r>
      <w:r>
        <w:rPr>
          <w:color w:val="auto"/>
        </w:rPr>
        <w:t>—</w:t>
      </w:r>
      <w:r>
        <w:rPr>
          <w:rFonts w:hint="eastAsia"/>
          <w:color w:val="auto"/>
          <w:lang w:val="en-US" w:eastAsia="zh-CN"/>
        </w:rPr>
        <w:t>节点域连接钢筋</w:t>
      </w:r>
      <w:r>
        <w:rPr>
          <w:color w:val="auto"/>
        </w:rPr>
        <w:t>；</w:t>
      </w:r>
      <w:r>
        <w:rPr>
          <w:rFonts w:hint="eastAsia"/>
          <w:color w:val="auto"/>
          <w:lang w:val="en-US" w:eastAsia="zh-CN"/>
        </w:rPr>
        <w:t>3</w:t>
      </w:r>
      <w:r>
        <w:rPr>
          <w:color w:val="auto"/>
        </w:rPr>
        <w:t>—</w:t>
      </w:r>
      <w:r>
        <w:rPr>
          <w:rFonts w:hint="eastAsia"/>
          <w:color w:val="auto"/>
          <w:lang w:val="en-US" w:eastAsia="zh-CN"/>
        </w:rPr>
        <w:t>翼缘</w:t>
      </w:r>
      <w:r>
        <w:rPr>
          <w:color w:val="auto"/>
        </w:rPr>
        <w:t>；</w:t>
      </w:r>
      <w:r>
        <w:rPr>
          <w:rFonts w:hint="eastAsia"/>
          <w:color w:val="auto"/>
          <w:lang w:val="en-US" w:eastAsia="zh-CN"/>
        </w:rPr>
        <w:t>4</w:t>
      </w:r>
      <w:r>
        <w:rPr>
          <w:color w:val="auto"/>
        </w:rPr>
        <w:t>—</w:t>
      </w:r>
      <w:r>
        <w:rPr>
          <w:rFonts w:hint="eastAsia"/>
          <w:color w:val="auto"/>
          <w:lang w:val="en-US" w:eastAsia="zh-CN"/>
        </w:rPr>
        <w:t>连接板</w:t>
      </w:r>
      <w:r>
        <w:rPr>
          <w:color w:val="auto"/>
        </w:rPr>
        <w:t>；</w:t>
      </w:r>
    </w:p>
    <w:p w14:paraId="3C2C0F58">
      <w:pPr>
        <w:pStyle w:val="45"/>
        <w:rPr>
          <w:rFonts w:hint="eastAsia"/>
          <w:color w:val="auto"/>
          <w:lang w:val="en-US" w:eastAsia="zh-CN"/>
        </w:rPr>
      </w:pPr>
      <w:r>
        <w:rPr>
          <w:rFonts w:hint="eastAsia"/>
          <w:color w:val="auto"/>
          <w:lang w:val="en-US" w:eastAsia="zh-CN"/>
        </w:rPr>
        <w:t>5</w:t>
      </w:r>
      <w:r>
        <w:rPr>
          <w:color w:val="auto"/>
        </w:rPr>
        <w:t>—</w:t>
      </w:r>
      <w:r>
        <w:rPr>
          <w:rFonts w:hint="eastAsia"/>
          <w:color w:val="auto"/>
          <w:lang w:val="en-US" w:eastAsia="zh-CN"/>
        </w:rPr>
        <w:t>螺栓孔</w:t>
      </w:r>
      <w:r>
        <w:rPr>
          <w:color w:val="auto"/>
        </w:rPr>
        <w:t>；</w:t>
      </w:r>
      <w:r>
        <w:rPr>
          <w:rFonts w:hint="eastAsia"/>
          <w:color w:val="auto"/>
          <w:lang w:val="en-US" w:eastAsia="zh-CN"/>
        </w:rPr>
        <w:t>6</w:t>
      </w:r>
      <w:r>
        <w:rPr>
          <w:color w:val="auto"/>
        </w:rPr>
        <w:t>—</w:t>
      </w:r>
      <w:r>
        <w:rPr>
          <w:rFonts w:hint="eastAsia"/>
          <w:color w:val="auto"/>
          <w:lang w:val="en-US" w:eastAsia="zh-CN"/>
        </w:rPr>
        <w:t>锚板</w:t>
      </w:r>
      <w:r>
        <w:rPr>
          <w:color w:val="auto"/>
        </w:rPr>
        <w:t>；</w:t>
      </w:r>
      <w:r>
        <w:rPr>
          <w:rFonts w:hint="eastAsia"/>
          <w:color w:val="auto"/>
          <w:lang w:val="en-US" w:eastAsia="zh-CN"/>
        </w:rPr>
        <w:t>7</w:t>
      </w:r>
      <w:r>
        <w:rPr>
          <w:color w:val="auto"/>
        </w:rPr>
        <w:t>—</w:t>
      </w:r>
      <w:r>
        <w:rPr>
          <w:rFonts w:hint="eastAsia"/>
          <w:color w:val="auto"/>
          <w:lang w:val="en-US" w:eastAsia="zh-CN"/>
        </w:rPr>
        <w:t>抗剪栓钉/抗剪锚筋</w:t>
      </w:r>
    </w:p>
    <w:p w14:paraId="0A8382C5">
      <w:pPr>
        <w:pStyle w:val="45"/>
        <w:rPr>
          <w:rFonts w:hint="eastAsia"/>
          <w:color w:val="auto"/>
        </w:rPr>
      </w:pPr>
      <w:r>
        <w:rPr>
          <w:rFonts w:hint="eastAsia"/>
          <w:color w:val="auto"/>
        </w:rPr>
        <w:t>图</w:t>
      </w:r>
      <w:r>
        <w:rPr>
          <w:rFonts w:hint="eastAsia"/>
          <w:color w:val="auto"/>
          <w:lang w:val="en-US" w:eastAsia="zh-CN"/>
        </w:rPr>
        <w:t>2</w:t>
      </w:r>
      <w:r>
        <w:rPr>
          <w:color w:val="auto"/>
        </w:rPr>
        <w:t xml:space="preserve"> </w:t>
      </w:r>
      <w:r>
        <w:rPr>
          <w:rFonts w:hint="eastAsia"/>
          <w:color w:val="auto"/>
        </w:rPr>
        <w:t xml:space="preserve"> </w:t>
      </w:r>
      <w:r>
        <w:rPr>
          <w:rFonts w:hint="eastAsia"/>
          <w:color w:val="auto"/>
          <w:lang w:val="en-US" w:eastAsia="zh-CN"/>
        </w:rPr>
        <w:t>B型柱侧钢组件构造</w:t>
      </w:r>
      <w:r>
        <w:rPr>
          <w:rFonts w:hint="eastAsia"/>
          <w:color w:val="auto"/>
        </w:rPr>
        <w:t>示意</w:t>
      </w:r>
    </w:p>
    <w:p w14:paraId="7D0F26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1903730" cy="2879725"/>
            <wp:effectExtent l="0" t="0" r="1270" b="15875"/>
            <wp:docPr id="7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1"/>
                    <pic:cNvPicPr>
                      <a:picLocks noChangeAspect="1"/>
                    </pic:cNvPicPr>
                  </pic:nvPicPr>
                  <pic:blipFill>
                    <a:blip r:embed="rId358"/>
                    <a:stretch>
                      <a:fillRect/>
                    </a:stretch>
                  </pic:blipFill>
                  <pic:spPr>
                    <a:xfrm>
                      <a:off x="0" y="0"/>
                      <a:ext cx="1903730" cy="2879725"/>
                    </a:xfrm>
                    <a:prstGeom prst="rect">
                      <a:avLst/>
                    </a:prstGeom>
                    <a:noFill/>
                    <a:ln>
                      <a:noFill/>
                    </a:ln>
                  </pic:spPr>
                </pic:pic>
              </a:graphicData>
            </a:graphic>
          </wp:inline>
        </w:drawing>
      </w:r>
    </w:p>
    <w:p w14:paraId="5BC1EC5E">
      <w:pPr>
        <w:pStyle w:val="45"/>
        <w:rPr>
          <w:color w:val="auto"/>
        </w:rPr>
      </w:pPr>
      <w:r>
        <w:rPr>
          <w:rFonts w:hint="eastAsia"/>
          <w:color w:val="auto"/>
          <w:lang w:val="en-US" w:eastAsia="zh-CN"/>
        </w:rPr>
        <w:t>1</w:t>
      </w:r>
      <w:r>
        <w:rPr>
          <w:color w:val="auto"/>
        </w:rPr>
        <w:t>—</w:t>
      </w:r>
      <w:r>
        <w:rPr>
          <w:rFonts w:hint="eastAsia"/>
          <w:color w:val="auto"/>
          <w:lang w:val="en-US" w:eastAsia="zh-CN"/>
        </w:rPr>
        <w:t>混凝土柱身；2</w:t>
      </w:r>
      <w:r>
        <w:rPr>
          <w:color w:val="auto"/>
        </w:rPr>
        <w:t>—</w:t>
      </w:r>
      <w:r>
        <w:rPr>
          <w:rFonts w:hint="eastAsia"/>
          <w:color w:val="auto"/>
          <w:lang w:val="en-US" w:eastAsia="zh-CN"/>
        </w:rPr>
        <w:t>节点域连接钢筋</w:t>
      </w:r>
      <w:r>
        <w:rPr>
          <w:color w:val="auto"/>
        </w:rPr>
        <w:t>；</w:t>
      </w:r>
      <w:r>
        <w:rPr>
          <w:rFonts w:hint="eastAsia"/>
          <w:color w:val="auto"/>
          <w:lang w:val="en-US" w:eastAsia="zh-CN"/>
        </w:rPr>
        <w:t>3</w:t>
      </w:r>
      <w:r>
        <w:rPr>
          <w:color w:val="auto"/>
        </w:rPr>
        <w:t>—</w:t>
      </w:r>
      <w:r>
        <w:rPr>
          <w:rFonts w:hint="eastAsia"/>
          <w:color w:val="auto"/>
          <w:lang w:val="en-US" w:eastAsia="zh-CN"/>
        </w:rPr>
        <w:t>翼缘</w:t>
      </w:r>
      <w:r>
        <w:rPr>
          <w:color w:val="auto"/>
        </w:rPr>
        <w:t>；</w:t>
      </w:r>
      <w:r>
        <w:rPr>
          <w:rFonts w:hint="eastAsia"/>
          <w:color w:val="auto"/>
          <w:lang w:val="en-US" w:eastAsia="zh-CN"/>
        </w:rPr>
        <w:t>4</w:t>
      </w:r>
      <w:r>
        <w:rPr>
          <w:color w:val="auto"/>
        </w:rPr>
        <w:t>—</w:t>
      </w:r>
      <w:r>
        <w:rPr>
          <w:rFonts w:hint="eastAsia"/>
          <w:color w:val="auto"/>
          <w:lang w:val="en-US" w:eastAsia="zh-CN"/>
        </w:rPr>
        <w:t>连接板</w:t>
      </w:r>
      <w:r>
        <w:rPr>
          <w:color w:val="auto"/>
        </w:rPr>
        <w:t>；</w:t>
      </w:r>
    </w:p>
    <w:p w14:paraId="1F6BE8AA">
      <w:pPr>
        <w:pStyle w:val="45"/>
        <w:rPr>
          <w:rFonts w:hint="eastAsia"/>
          <w:color w:val="auto"/>
          <w:lang w:val="en-US" w:eastAsia="zh-CN"/>
        </w:rPr>
      </w:pPr>
      <w:r>
        <w:rPr>
          <w:rFonts w:hint="eastAsia"/>
          <w:color w:val="auto"/>
          <w:lang w:val="en-US" w:eastAsia="zh-CN"/>
        </w:rPr>
        <w:t>5</w:t>
      </w:r>
      <w:r>
        <w:rPr>
          <w:color w:val="auto"/>
        </w:rPr>
        <w:t>—</w:t>
      </w:r>
      <w:r>
        <w:rPr>
          <w:rFonts w:hint="eastAsia"/>
          <w:color w:val="auto"/>
          <w:lang w:val="en-US" w:eastAsia="zh-CN"/>
        </w:rPr>
        <w:t>螺栓孔</w:t>
      </w:r>
      <w:r>
        <w:rPr>
          <w:color w:val="auto"/>
        </w:rPr>
        <w:t>；</w:t>
      </w:r>
      <w:r>
        <w:rPr>
          <w:rFonts w:hint="eastAsia"/>
          <w:color w:val="auto"/>
          <w:lang w:val="en-US" w:eastAsia="zh-CN"/>
        </w:rPr>
        <w:t>6</w:t>
      </w:r>
      <w:r>
        <w:rPr>
          <w:color w:val="auto"/>
        </w:rPr>
        <w:t>—</w:t>
      </w:r>
      <w:r>
        <w:rPr>
          <w:rFonts w:hint="eastAsia"/>
          <w:color w:val="auto"/>
          <w:lang w:val="en-US" w:eastAsia="zh-CN"/>
        </w:rPr>
        <w:t>锚板</w:t>
      </w:r>
      <w:r>
        <w:rPr>
          <w:color w:val="auto"/>
        </w:rPr>
        <w:t>；</w:t>
      </w:r>
      <w:r>
        <w:rPr>
          <w:rFonts w:hint="eastAsia"/>
          <w:color w:val="auto"/>
          <w:lang w:val="en-US" w:eastAsia="zh-CN"/>
        </w:rPr>
        <w:t>7</w:t>
      </w:r>
      <w:r>
        <w:rPr>
          <w:color w:val="auto"/>
        </w:rPr>
        <w:t>—</w:t>
      </w:r>
      <w:r>
        <w:rPr>
          <w:rFonts w:hint="eastAsia"/>
          <w:color w:val="auto"/>
          <w:lang w:val="en-US" w:eastAsia="zh-CN"/>
        </w:rPr>
        <w:t>抗剪栓钉/抗剪锚筋</w:t>
      </w:r>
    </w:p>
    <w:p w14:paraId="7DC28CF2">
      <w:pPr>
        <w:pStyle w:val="45"/>
        <w:rPr>
          <w:rFonts w:hint="eastAsia" w:ascii="Times New Roman" w:hAnsi="Times New Roman" w:cs="Times New Roman"/>
          <w:color w:val="000000"/>
          <w:sz w:val="24"/>
          <w:szCs w:val="24"/>
          <w:shd w:val="clear" w:color="auto" w:fill="FFFFFF"/>
          <w:lang w:val="en-US" w:eastAsia="zh-CN"/>
        </w:rPr>
      </w:pPr>
      <w:r>
        <w:rPr>
          <w:rFonts w:hint="eastAsia"/>
          <w:color w:val="auto"/>
        </w:rPr>
        <w:t>图</w:t>
      </w:r>
      <w:r>
        <w:rPr>
          <w:rFonts w:hint="eastAsia"/>
          <w:color w:val="auto"/>
          <w:lang w:val="en-US" w:eastAsia="zh-CN"/>
        </w:rPr>
        <w:t>3</w:t>
      </w:r>
      <w:r>
        <w:rPr>
          <w:color w:val="auto"/>
        </w:rPr>
        <w:t xml:space="preserve"> </w:t>
      </w:r>
      <w:r>
        <w:rPr>
          <w:rFonts w:hint="eastAsia"/>
          <w:color w:val="auto"/>
        </w:rPr>
        <w:t xml:space="preserve"> </w:t>
      </w:r>
      <w:r>
        <w:rPr>
          <w:rFonts w:hint="eastAsia"/>
          <w:color w:val="auto"/>
          <w:lang w:val="en-US" w:eastAsia="zh-CN"/>
        </w:rPr>
        <w:t>C型柱侧钢组件构造</w:t>
      </w:r>
      <w:r>
        <w:rPr>
          <w:rFonts w:hint="eastAsia"/>
          <w:color w:val="auto"/>
        </w:rPr>
        <w:t>示意</w:t>
      </w:r>
    </w:p>
    <w:p w14:paraId="42155D4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color w:val="000000"/>
          <w:sz w:val="24"/>
          <w:szCs w:val="24"/>
          <w:shd w:val="clear" w:color="auto" w:fill="FFFFFF"/>
          <w:lang w:val="en-US" w:eastAsia="zh-CN"/>
        </w:rPr>
      </w:pPr>
      <w:r>
        <w:rPr>
          <w:rFonts w:hint="eastAsia" w:ascii="Times New Roman" w:hAnsi="Times New Roman" w:cs="Times New Roman"/>
          <w:b/>
          <w:bCs/>
          <w:color w:val="000000"/>
          <w:sz w:val="24"/>
          <w:szCs w:val="24"/>
          <w:shd w:val="clear" w:color="auto" w:fill="FFFFFF"/>
          <w:lang w:val="en-US" w:eastAsia="zh-CN"/>
        </w:rPr>
        <w:t xml:space="preserve">2.1.6 </w:t>
      </w:r>
      <w:r>
        <w:rPr>
          <w:rFonts w:hint="eastAsia" w:ascii="Times New Roman" w:hAnsi="Times New Roman" w:cs="Times New Roman"/>
          <w:color w:val="000000"/>
          <w:sz w:val="24"/>
          <w:szCs w:val="24"/>
          <w:shd w:val="clear" w:color="auto" w:fill="FFFFFF"/>
          <w:lang w:val="en-US" w:eastAsia="zh-CN"/>
        </w:rPr>
        <w:t>柱端钢组件包括整体式和分体式两种。整体式柱端钢组件一般由四面封闭的侧板和底板焊接组成，类似矩形钢管形式</w:t>
      </w:r>
      <w:r>
        <w:rPr>
          <w:rFonts w:hint="eastAsia" w:cs="Times New Roman"/>
          <w:color w:val="000000"/>
          <w:sz w:val="24"/>
          <w:szCs w:val="24"/>
          <w:shd w:val="clear" w:color="auto" w:fill="FFFFFF"/>
          <w:lang w:val="en-US" w:eastAsia="zh-CN"/>
        </w:rPr>
        <w:t>，</w:t>
      </w:r>
      <w:r>
        <w:rPr>
          <w:rFonts w:hint="eastAsia"/>
          <w:lang w:val="en-US" w:eastAsia="zh-CN"/>
        </w:rPr>
        <w:t>典型</w:t>
      </w:r>
      <w:r>
        <w:rPr>
          <w:rFonts w:hint="eastAsia" w:ascii="Times New Roman" w:hAnsi="Times New Roman" w:cs="Times New Roman"/>
          <w:color w:val="000000"/>
          <w:sz w:val="24"/>
          <w:szCs w:val="24"/>
          <w:shd w:val="clear" w:color="auto" w:fill="FFFFFF"/>
          <w:lang w:val="en-US" w:eastAsia="zh-CN"/>
        </w:rPr>
        <w:t>整体式柱端钢组件</w:t>
      </w:r>
      <w:r>
        <w:rPr>
          <w:rFonts w:hint="eastAsia"/>
          <w:lang w:val="en-US" w:eastAsia="zh-CN"/>
        </w:rPr>
        <w:t>的构造如图4所示</w:t>
      </w:r>
      <w:r>
        <w:rPr>
          <w:rFonts w:hint="eastAsia" w:ascii="Times New Roman" w:hAnsi="Times New Roman" w:cs="Times New Roman"/>
          <w:color w:val="000000"/>
          <w:sz w:val="24"/>
          <w:szCs w:val="24"/>
          <w:shd w:val="clear" w:color="auto" w:fill="FFFFFF"/>
          <w:lang w:val="en-US" w:eastAsia="zh-CN"/>
        </w:rPr>
        <w:t>。分体式钢组件一般由小块的侧板和底板焊接组成，各分体式钢组件之间相互独立</w:t>
      </w:r>
      <w:r>
        <w:rPr>
          <w:rFonts w:hint="eastAsia" w:cs="Times New Roman"/>
          <w:color w:val="000000"/>
          <w:sz w:val="24"/>
          <w:szCs w:val="24"/>
          <w:shd w:val="clear" w:color="auto" w:fill="FFFFFF"/>
          <w:lang w:val="en-US" w:eastAsia="zh-CN"/>
        </w:rPr>
        <w:t>，</w:t>
      </w:r>
      <w:r>
        <w:rPr>
          <w:rFonts w:hint="eastAsia"/>
          <w:lang w:val="en-US" w:eastAsia="zh-CN"/>
        </w:rPr>
        <w:t>典型分体</w:t>
      </w:r>
      <w:r>
        <w:rPr>
          <w:rFonts w:hint="eastAsia" w:ascii="Times New Roman" w:hAnsi="Times New Roman" w:cs="Times New Roman"/>
          <w:color w:val="000000"/>
          <w:sz w:val="24"/>
          <w:szCs w:val="24"/>
          <w:shd w:val="clear" w:color="auto" w:fill="FFFFFF"/>
          <w:lang w:val="en-US" w:eastAsia="zh-CN"/>
        </w:rPr>
        <w:t>式柱端钢组件</w:t>
      </w:r>
      <w:r>
        <w:rPr>
          <w:rFonts w:hint="eastAsia"/>
          <w:lang w:val="en-US" w:eastAsia="zh-CN"/>
        </w:rPr>
        <w:t>的构造如图5所示</w:t>
      </w:r>
      <w:r>
        <w:rPr>
          <w:rFonts w:hint="eastAsia" w:ascii="Times New Roman" w:hAnsi="Times New Roman" w:cs="Times New Roman"/>
          <w:color w:val="000000"/>
          <w:sz w:val="24"/>
          <w:szCs w:val="24"/>
          <w:shd w:val="clear" w:color="auto" w:fill="FFFFFF"/>
          <w:lang w:val="en-US" w:eastAsia="zh-CN"/>
        </w:rPr>
        <w:t>。</w:t>
      </w:r>
    </w:p>
    <w:p w14:paraId="4861174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1864360" cy="2667635"/>
            <wp:effectExtent l="0" t="0" r="2540" b="18415"/>
            <wp:docPr id="3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4"/>
                    <pic:cNvPicPr>
                      <a:picLocks noChangeAspect="1"/>
                    </pic:cNvPicPr>
                  </pic:nvPicPr>
                  <pic:blipFill>
                    <a:blip r:embed="rId359"/>
                    <a:stretch>
                      <a:fillRect/>
                    </a:stretch>
                  </pic:blipFill>
                  <pic:spPr>
                    <a:xfrm>
                      <a:off x="0" y="0"/>
                      <a:ext cx="1864360" cy="26676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09090" cy="1593850"/>
            <wp:effectExtent l="0" t="0" r="10160" b="6350"/>
            <wp:docPr id="7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5"/>
                    <pic:cNvPicPr>
                      <a:picLocks noChangeAspect="1"/>
                    </pic:cNvPicPr>
                  </pic:nvPicPr>
                  <pic:blipFill>
                    <a:blip r:embed="rId360"/>
                    <a:stretch>
                      <a:fillRect/>
                    </a:stretch>
                  </pic:blipFill>
                  <pic:spPr>
                    <a:xfrm>
                      <a:off x="0" y="0"/>
                      <a:ext cx="1609090" cy="1593850"/>
                    </a:xfrm>
                    <a:prstGeom prst="rect">
                      <a:avLst/>
                    </a:prstGeom>
                    <a:noFill/>
                    <a:ln>
                      <a:noFill/>
                    </a:ln>
                  </pic:spPr>
                </pic:pic>
              </a:graphicData>
            </a:graphic>
          </wp:inline>
        </w:drawing>
      </w:r>
    </w:p>
    <w:p w14:paraId="5F857916">
      <w:pPr>
        <w:pStyle w:val="45"/>
        <w:rPr>
          <w:rFonts w:hint="eastAsia"/>
          <w:color w:val="auto"/>
          <w:lang w:val="en-US" w:eastAsia="zh-CN"/>
        </w:rPr>
      </w:pPr>
      <w:r>
        <w:rPr>
          <w:color w:val="auto"/>
        </w:rPr>
        <w:t>1—</w:t>
      </w:r>
      <w:r>
        <w:rPr>
          <w:rFonts w:hint="eastAsia"/>
          <w:color w:val="auto"/>
          <w:lang w:val="en-US" w:eastAsia="zh-CN"/>
        </w:rPr>
        <w:t>混凝土柱身</w:t>
      </w:r>
      <w:r>
        <w:rPr>
          <w:color w:val="auto"/>
        </w:rPr>
        <w:t>；2—</w:t>
      </w:r>
      <w:r>
        <w:rPr>
          <w:rFonts w:hint="eastAsia"/>
          <w:color w:val="auto"/>
        </w:rPr>
        <w:t>侧板</w:t>
      </w:r>
      <w:r>
        <w:rPr>
          <w:color w:val="auto"/>
        </w:rPr>
        <w:t>；</w:t>
      </w:r>
      <w:r>
        <w:rPr>
          <w:rFonts w:hint="eastAsia"/>
          <w:color w:val="auto"/>
          <w:lang w:val="en-US" w:eastAsia="zh-CN"/>
        </w:rPr>
        <w:t>3</w:t>
      </w:r>
      <w:r>
        <w:rPr>
          <w:color w:val="auto"/>
        </w:rPr>
        <w:t>—</w:t>
      </w:r>
      <w:r>
        <w:rPr>
          <w:rFonts w:hint="eastAsia"/>
          <w:color w:val="auto"/>
          <w:lang w:val="en-US" w:eastAsia="zh-CN"/>
        </w:rPr>
        <w:t>加劲肋</w:t>
      </w:r>
      <w:r>
        <w:rPr>
          <w:color w:val="auto"/>
        </w:rPr>
        <w:t>；</w:t>
      </w:r>
      <w:r>
        <w:rPr>
          <w:rFonts w:hint="eastAsia"/>
          <w:color w:val="auto"/>
          <w:lang w:val="en-US" w:eastAsia="zh-CN"/>
        </w:rPr>
        <w:t>4</w:t>
      </w:r>
      <w:r>
        <w:rPr>
          <w:color w:val="auto"/>
        </w:rPr>
        <w:t>—</w:t>
      </w:r>
      <w:r>
        <w:rPr>
          <w:rFonts w:hint="eastAsia"/>
          <w:color w:val="auto"/>
          <w:lang w:val="en-US" w:eastAsia="zh-CN"/>
        </w:rPr>
        <w:t>底</w:t>
      </w:r>
      <w:r>
        <w:rPr>
          <w:rFonts w:hint="eastAsia"/>
          <w:lang w:val="en-US" w:eastAsia="zh-CN"/>
        </w:rPr>
        <w:t>板</w:t>
      </w:r>
      <w:r>
        <w:rPr>
          <w:color w:val="auto"/>
        </w:rPr>
        <w:t>；</w:t>
      </w:r>
      <w:r>
        <w:rPr>
          <w:rFonts w:hint="eastAsia"/>
          <w:color w:val="auto"/>
          <w:lang w:val="en-US" w:eastAsia="zh-CN"/>
        </w:rPr>
        <w:t>5</w:t>
      </w:r>
      <w:r>
        <w:rPr>
          <w:color w:val="auto"/>
        </w:rPr>
        <w:t>—</w:t>
      </w:r>
      <w:r>
        <w:rPr>
          <w:rFonts w:hint="eastAsia"/>
          <w:color w:val="auto"/>
          <w:lang w:val="en-US" w:eastAsia="zh-CN"/>
        </w:rPr>
        <w:t>螺栓孔；6</w:t>
      </w:r>
      <w:r>
        <w:rPr>
          <w:color w:val="auto"/>
        </w:rPr>
        <w:t>—</w:t>
      </w:r>
      <w:r>
        <w:rPr>
          <w:rFonts w:hint="eastAsia"/>
          <w:color w:val="auto"/>
          <w:lang w:val="en-US" w:eastAsia="zh-CN"/>
        </w:rPr>
        <w:t>抗剪键</w:t>
      </w:r>
    </w:p>
    <w:p w14:paraId="45A22706">
      <w:pPr>
        <w:pStyle w:val="45"/>
        <w:rPr>
          <w:rFonts w:hint="eastAsia"/>
          <w:color w:val="auto"/>
        </w:rPr>
      </w:pPr>
      <w:r>
        <w:rPr>
          <w:rFonts w:hint="eastAsia"/>
          <w:color w:val="auto"/>
        </w:rPr>
        <w:t>图</w:t>
      </w:r>
      <w:r>
        <w:rPr>
          <w:rFonts w:hint="eastAsia"/>
          <w:color w:val="auto"/>
          <w:lang w:val="en-US" w:eastAsia="zh-CN"/>
        </w:rPr>
        <w:t>4</w:t>
      </w:r>
      <w:r>
        <w:rPr>
          <w:color w:val="auto"/>
        </w:rPr>
        <w:t xml:space="preserve"> </w:t>
      </w:r>
      <w:r>
        <w:rPr>
          <w:rFonts w:hint="eastAsia"/>
          <w:color w:val="auto"/>
        </w:rPr>
        <w:t xml:space="preserve"> </w:t>
      </w:r>
      <w:r>
        <w:rPr>
          <w:rFonts w:hint="eastAsia"/>
          <w:color w:val="auto"/>
          <w:lang w:val="en-US" w:eastAsia="zh-CN"/>
        </w:rPr>
        <w:t>整体式柱端钢组件构造</w:t>
      </w:r>
      <w:r>
        <w:rPr>
          <w:rFonts w:hint="eastAsia"/>
          <w:color w:val="auto"/>
        </w:rPr>
        <w:t>示意</w:t>
      </w:r>
    </w:p>
    <w:p w14:paraId="7440135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pPr>
    </w:p>
    <w:p w14:paraId="3AACC2A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1682115" cy="2266950"/>
            <wp:effectExtent l="0" t="0" r="13335" b="0"/>
            <wp:docPr id="7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8"/>
                    <pic:cNvPicPr>
                      <a:picLocks noChangeAspect="1"/>
                    </pic:cNvPicPr>
                  </pic:nvPicPr>
                  <pic:blipFill>
                    <a:blip r:embed="rId361"/>
                    <a:stretch>
                      <a:fillRect/>
                    </a:stretch>
                  </pic:blipFill>
                  <pic:spPr>
                    <a:xfrm>
                      <a:off x="0" y="0"/>
                      <a:ext cx="1682115" cy="2266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71600" cy="1466215"/>
            <wp:effectExtent l="0" t="0" r="0" b="635"/>
            <wp:docPr id="75"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9"/>
                    <pic:cNvPicPr>
                      <a:picLocks noChangeAspect="1"/>
                    </pic:cNvPicPr>
                  </pic:nvPicPr>
                  <pic:blipFill>
                    <a:blip r:embed="rId362"/>
                    <a:stretch>
                      <a:fillRect/>
                    </a:stretch>
                  </pic:blipFill>
                  <pic:spPr>
                    <a:xfrm>
                      <a:off x="0" y="0"/>
                      <a:ext cx="1371600" cy="1466215"/>
                    </a:xfrm>
                    <a:prstGeom prst="rect">
                      <a:avLst/>
                    </a:prstGeom>
                    <a:noFill/>
                    <a:ln>
                      <a:noFill/>
                    </a:ln>
                  </pic:spPr>
                </pic:pic>
              </a:graphicData>
            </a:graphic>
          </wp:inline>
        </w:drawing>
      </w:r>
    </w:p>
    <w:p w14:paraId="6E635541">
      <w:pPr>
        <w:pStyle w:val="45"/>
        <w:rPr>
          <w:rFonts w:hint="eastAsia" w:eastAsia="黑体"/>
          <w:color w:val="auto"/>
          <w:lang w:val="en-US" w:eastAsia="zh-CN"/>
        </w:rPr>
      </w:pPr>
      <w:r>
        <w:rPr>
          <w:color w:val="auto"/>
        </w:rPr>
        <w:t>1—</w:t>
      </w:r>
      <w:r>
        <w:rPr>
          <w:rFonts w:hint="eastAsia"/>
          <w:color w:val="auto"/>
          <w:lang w:val="en-US" w:eastAsia="zh-CN"/>
        </w:rPr>
        <w:t>混凝土柱身</w:t>
      </w:r>
      <w:r>
        <w:rPr>
          <w:color w:val="auto"/>
        </w:rPr>
        <w:t>；2—</w:t>
      </w:r>
      <w:r>
        <w:rPr>
          <w:rFonts w:hint="eastAsia"/>
          <w:color w:val="auto"/>
        </w:rPr>
        <w:t>侧板</w:t>
      </w:r>
      <w:r>
        <w:rPr>
          <w:color w:val="auto"/>
        </w:rPr>
        <w:t>；</w:t>
      </w:r>
      <w:r>
        <w:rPr>
          <w:rFonts w:hint="eastAsia"/>
          <w:color w:val="auto"/>
          <w:lang w:val="en-US" w:eastAsia="zh-CN"/>
        </w:rPr>
        <w:t>3</w:t>
      </w:r>
      <w:r>
        <w:rPr>
          <w:color w:val="auto"/>
        </w:rPr>
        <w:t>—</w:t>
      </w:r>
      <w:r>
        <w:rPr>
          <w:rFonts w:hint="eastAsia"/>
          <w:color w:val="auto"/>
          <w:lang w:val="en-US" w:eastAsia="zh-CN"/>
        </w:rPr>
        <w:t>顶板</w:t>
      </w:r>
      <w:r>
        <w:rPr>
          <w:color w:val="auto"/>
        </w:rPr>
        <w:t>；</w:t>
      </w:r>
      <w:r>
        <w:rPr>
          <w:rFonts w:hint="eastAsia"/>
          <w:color w:val="auto"/>
          <w:lang w:val="en-US" w:eastAsia="zh-CN"/>
        </w:rPr>
        <w:t>4</w:t>
      </w:r>
      <w:r>
        <w:rPr>
          <w:color w:val="auto"/>
        </w:rPr>
        <w:t>—</w:t>
      </w:r>
      <w:r>
        <w:rPr>
          <w:rFonts w:hint="eastAsia"/>
          <w:color w:val="auto"/>
          <w:lang w:val="en-US" w:eastAsia="zh-CN"/>
        </w:rPr>
        <w:t>底</w:t>
      </w:r>
      <w:r>
        <w:rPr>
          <w:rFonts w:hint="eastAsia"/>
          <w:lang w:val="en-US" w:eastAsia="zh-CN"/>
        </w:rPr>
        <w:t>板</w:t>
      </w:r>
      <w:r>
        <w:rPr>
          <w:color w:val="auto"/>
        </w:rPr>
        <w:t>；</w:t>
      </w:r>
      <w:r>
        <w:rPr>
          <w:rFonts w:hint="eastAsia"/>
          <w:color w:val="auto"/>
          <w:lang w:val="en-US" w:eastAsia="zh-CN"/>
        </w:rPr>
        <w:t>5</w:t>
      </w:r>
      <w:r>
        <w:rPr>
          <w:color w:val="auto"/>
        </w:rPr>
        <w:t>—</w:t>
      </w:r>
      <w:r>
        <w:rPr>
          <w:rFonts w:hint="eastAsia"/>
          <w:color w:val="auto"/>
          <w:lang w:val="en-US" w:eastAsia="zh-CN"/>
        </w:rPr>
        <w:t>螺栓孔</w:t>
      </w:r>
    </w:p>
    <w:p w14:paraId="40AE49F8">
      <w:pPr>
        <w:pStyle w:val="45"/>
        <w:rPr>
          <w:rFonts w:hint="eastAsia"/>
          <w:lang w:val="en-US" w:eastAsia="zh-CN"/>
        </w:rPr>
      </w:pPr>
      <w:r>
        <w:rPr>
          <w:rFonts w:hint="eastAsia"/>
          <w:color w:val="auto"/>
        </w:rPr>
        <w:t>图</w:t>
      </w:r>
      <w:r>
        <w:rPr>
          <w:rFonts w:hint="eastAsia"/>
          <w:color w:val="auto"/>
          <w:lang w:val="en-US" w:eastAsia="zh-CN"/>
        </w:rPr>
        <w:t>5</w:t>
      </w:r>
      <w:r>
        <w:rPr>
          <w:color w:val="auto"/>
        </w:rPr>
        <w:t xml:space="preserve"> </w:t>
      </w:r>
      <w:r>
        <w:rPr>
          <w:rFonts w:hint="eastAsia"/>
          <w:color w:val="auto"/>
        </w:rPr>
        <w:t xml:space="preserve"> </w:t>
      </w:r>
      <w:r>
        <w:rPr>
          <w:rFonts w:hint="eastAsia"/>
          <w:color w:val="auto"/>
          <w:lang w:val="en-US" w:eastAsia="zh-CN"/>
        </w:rPr>
        <w:t>分体式柱端钢组件构造</w:t>
      </w:r>
      <w:r>
        <w:rPr>
          <w:rFonts w:hint="eastAsia"/>
          <w:color w:val="auto"/>
        </w:rPr>
        <w:t>示意</w:t>
      </w:r>
    </w:p>
    <w:p w14:paraId="1BF4B25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color w:val="000000"/>
          <w:sz w:val="24"/>
          <w:szCs w:val="24"/>
          <w:shd w:val="clear" w:color="auto" w:fill="FFFFFF"/>
          <w:lang w:val="en-US" w:eastAsia="zh-CN"/>
        </w:rPr>
      </w:pPr>
      <w:r>
        <w:rPr>
          <w:rFonts w:hint="eastAsia" w:ascii="Times New Roman" w:hAnsi="Times New Roman" w:cs="Times New Roman"/>
          <w:b/>
          <w:bCs/>
          <w:color w:val="000000"/>
          <w:sz w:val="24"/>
          <w:szCs w:val="24"/>
          <w:shd w:val="clear" w:color="auto" w:fill="FFFFFF"/>
          <w:lang w:val="en-US" w:eastAsia="zh-CN"/>
        </w:rPr>
        <w:t xml:space="preserve">2.1.7 </w:t>
      </w:r>
      <w:r>
        <w:rPr>
          <w:rFonts w:hint="eastAsia" w:ascii="Times New Roman" w:hAnsi="Times New Roman" w:cs="Times New Roman"/>
          <w:color w:val="000000"/>
          <w:sz w:val="24"/>
          <w:szCs w:val="24"/>
          <w:shd w:val="clear" w:color="auto" w:fill="FFFFFF"/>
          <w:lang w:val="en-US" w:eastAsia="zh-CN"/>
        </w:rPr>
        <w:t>A型梁柱连接中，预制梁设置梁端钢组件，预制柱设置节点域钢组件，二者之间采用栓焊连接</w:t>
      </w:r>
      <w:r>
        <w:rPr>
          <w:rFonts w:hint="eastAsia" w:cs="Times New Roman"/>
          <w:color w:val="000000"/>
          <w:sz w:val="24"/>
          <w:szCs w:val="24"/>
          <w:shd w:val="clear" w:color="auto" w:fill="FFFFFF"/>
          <w:lang w:val="en-US" w:eastAsia="zh-CN"/>
        </w:rPr>
        <w:t>，</w:t>
      </w:r>
      <w:r>
        <w:rPr>
          <w:rFonts w:hint="eastAsia"/>
          <w:lang w:val="en-US" w:eastAsia="zh-CN"/>
        </w:rPr>
        <w:t>典型构造如图6所示</w:t>
      </w:r>
      <w:r>
        <w:rPr>
          <w:rFonts w:hint="eastAsia" w:ascii="Times New Roman" w:hAnsi="Times New Roman" w:cs="Times New Roman"/>
          <w:color w:val="000000"/>
          <w:sz w:val="24"/>
          <w:szCs w:val="24"/>
          <w:shd w:val="clear" w:color="auto" w:fill="FFFFFF"/>
          <w:lang w:val="en-US" w:eastAsia="zh-CN"/>
        </w:rPr>
        <w:t>。</w:t>
      </w:r>
    </w:p>
    <w:p w14:paraId="3B955792">
      <w:pPr>
        <w:pStyle w:val="45"/>
        <w:rPr>
          <w:rFonts w:ascii="Times New Roman" w:hAnsi="Times New Roman" w:cs="Times New Roman"/>
          <w:color w:val="auto"/>
        </w:rPr>
      </w:pPr>
      <w:r>
        <w:drawing>
          <wp:inline distT="0" distB="0" distL="114300" distR="114300">
            <wp:extent cx="3223260" cy="2879725"/>
            <wp:effectExtent l="0" t="0" r="15240" b="15875"/>
            <wp:docPr id="7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2"/>
                    <pic:cNvPicPr>
                      <a:picLocks noChangeAspect="1"/>
                    </pic:cNvPicPr>
                  </pic:nvPicPr>
                  <pic:blipFill>
                    <a:blip r:embed="rId363"/>
                    <a:stretch>
                      <a:fillRect/>
                    </a:stretch>
                  </pic:blipFill>
                  <pic:spPr>
                    <a:xfrm>
                      <a:off x="0" y="0"/>
                      <a:ext cx="3223260" cy="2879725"/>
                    </a:xfrm>
                    <a:prstGeom prst="rect">
                      <a:avLst/>
                    </a:prstGeom>
                    <a:noFill/>
                    <a:ln>
                      <a:noFill/>
                    </a:ln>
                  </pic:spPr>
                </pic:pic>
              </a:graphicData>
            </a:graphic>
          </wp:inline>
        </w:drawing>
      </w:r>
    </w:p>
    <w:p w14:paraId="79656A4E">
      <w:pPr>
        <w:pStyle w:val="45"/>
        <w:rPr>
          <w:rFonts w:hint="eastAsia" w:ascii="Times New Roman" w:hAnsi="Times New Roman" w:cs="Times New Roman"/>
          <w:color w:val="auto"/>
          <w:lang w:val="en-US" w:eastAsia="zh-CN"/>
        </w:rPr>
      </w:pPr>
      <w:r>
        <w:rPr>
          <w:rFonts w:ascii="Times New Roman" w:hAnsi="Times New Roman" w:cs="Times New Roman"/>
          <w:color w:val="auto"/>
        </w:rPr>
        <w:t>1—</w:t>
      </w:r>
      <w:r>
        <w:rPr>
          <w:rFonts w:hint="eastAsia" w:cs="Times New Roman"/>
          <w:color w:val="auto"/>
          <w:lang w:val="en-US" w:eastAsia="zh-CN"/>
        </w:rPr>
        <w:t>混凝土</w:t>
      </w:r>
      <w:r>
        <w:rPr>
          <w:rFonts w:hint="eastAsia" w:ascii="Times New Roman" w:hAnsi="Times New Roman" w:cs="Times New Roman"/>
          <w:color w:val="auto"/>
          <w:lang w:val="en-US" w:eastAsia="zh-CN"/>
        </w:rPr>
        <w:t>柱</w:t>
      </w:r>
      <w:r>
        <w:rPr>
          <w:rFonts w:hint="eastAsia" w:cs="Times New Roman"/>
          <w:color w:val="auto"/>
          <w:lang w:val="en-US" w:eastAsia="zh-CN"/>
        </w:rPr>
        <w:t>身</w:t>
      </w:r>
      <w:r>
        <w:rPr>
          <w:rFonts w:ascii="Times New Roman" w:hAnsi="Times New Roman" w:cs="Times New Roman"/>
          <w:color w:val="auto"/>
        </w:rPr>
        <w:t>；2—</w:t>
      </w:r>
      <w:r>
        <w:rPr>
          <w:rFonts w:hint="eastAsia" w:cs="Times New Roman"/>
          <w:color w:val="auto"/>
          <w:lang w:val="en-US" w:eastAsia="zh-CN"/>
        </w:rPr>
        <w:t>混凝土</w:t>
      </w:r>
      <w:r>
        <w:rPr>
          <w:rFonts w:hint="eastAsia" w:ascii="Times New Roman" w:hAnsi="Times New Roman" w:cs="Times New Roman"/>
          <w:color w:val="auto"/>
          <w:lang w:val="en-US" w:eastAsia="zh-CN"/>
        </w:rPr>
        <w:t>梁</w:t>
      </w:r>
      <w:r>
        <w:rPr>
          <w:rFonts w:hint="eastAsia" w:cs="Times New Roman"/>
          <w:color w:val="auto"/>
          <w:lang w:val="en-US" w:eastAsia="zh-CN"/>
        </w:rPr>
        <w:t>身</w:t>
      </w:r>
      <w:r>
        <w:rPr>
          <w:rFonts w:hint="eastAsia" w:ascii="Times New Roman" w:hAnsi="Times New Roman" w:cs="Times New Roman"/>
          <w:color w:val="auto"/>
        </w:rPr>
        <w:t>；3</w:t>
      </w:r>
      <w:r>
        <w:rPr>
          <w:rFonts w:ascii="Times New Roman" w:hAnsi="Times New Roman" w:cs="Times New Roman"/>
          <w:color w:val="auto"/>
        </w:rPr>
        <w:t>—</w:t>
      </w:r>
      <w:r>
        <w:rPr>
          <w:rFonts w:hint="eastAsia"/>
          <w:lang w:val="en-US" w:eastAsia="zh-CN"/>
        </w:rPr>
        <w:t>A型</w:t>
      </w:r>
      <w:r>
        <w:rPr>
          <w:rFonts w:hint="eastAsia"/>
        </w:rPr>
        <w:t>梁端钢</w:t>
      </w:r>
      <w:r>
        <w:rPr>
          <w:rFonts w:hint="eastAsia"/>
          <w:lang w:val="en-US" w:eastAsia="zh-CN"/>
        </w:rPr>
        <w:t>组</w:t>
      </w:r>
      <w:r>
        <w:rPr>
          <w:rFonts w:hint="eastAsia"/>
        </w:rPr>
        <w:t>件</w:t>
      </w:r>
      <w:r>
        <w:rPr>
          <w:rFonts w:hint="eastAsia" w:ascii="Times New Roman" w:hAnsi="Times New Roman" w:cs="Times New Roman"/>
          <w:color w:val="auto"/>
        </w:rPr>
        <w:t>；4</w:t>
      </w:r>
      <w:r>
        <w:rPr>
          <w:rFonts w:ascii="Times New Roman" w:hAnsi="Times New Roman" w:cs="Times New Roman"/>
          <w:color w:val="auto"/>
        </w:rPr>
        <w:t>—</w:t>
      </w:r>
      <w:r>
        <w:rPr>
          <w:rFonts w:hint="eastAsia" w:ascii="Times New Roman" w:hAnsi="Times New Roman" w:cs="Times New Roman"/>
          <w:color w:val="auto"/>
          <w:lang w:val="en-US" w:eastAsia="zh-CN"/>
        </w:rPr>
        <w:t>焊缝</w:t>
      </w:r>
      <w:r>
        <w:rPr>
          <w:rFonts w:ascii="Times New Roman" w:hAnsi="Times New Roman" w:cs="Times New Roman"/>
          <w:color w:val="auto"/>
        </w:rPr>
        <w:t>；</w:t>
      </w:r>
      <w:r>
        <w:rPr>
          <w:rFonts w:hint="eastAsia" w:ascii="Times New Roman" w:hAnsi="Times New Roman" w:cs="Times New Roman"/>
          <w:color w:val="auto"/>
          <w:lang w:val="en-US" w:eastAsia="zh-CN"/>
        </w:rPr>
        <w:t>5</w:t>
      </w:r>
      <w:r>
        <w:rPr>
          <w:rFonts w:ascii="Times New Roman" w:hAnsi="Times New Roman" w:cs="Times New Roman"/>
          <w:color w:val="auto"/>
        </w:rPr>
        <w:t>—</w:t>
      </w:r>
      <w:r>
        <w:rPr>
          <w:rFonts w:hint="eastAsia"/>
          <w:lang w:val="en-US" w:eastAsia="zh-CN"/>
        </w:rPr>
        <w:t>节点域</w:t>
      </w:r>
      <w:r>
        <w:rPr>
          <w:rFonts w:hint="eastAsia"/>
        </w:rPr>
        <w:t>钢</w:t>
      </w:r>
      <w:r>
        <w:rPr>
          <w:rFonts w:hint="eastAsia"/>
          <w:lang w:val="en-US" w:eastAsia="zh-CN"/>
        </w:rPr>
        <w:t>组</w:t>
      </w:r>
      <w:r>
        <w:rPr>
          <w:rFonts w:hint="eastAsia"/>
        </w:rPr>
        <w:t>件</w:t>
      </w:r>
      <w:r>
        <w:rPr>
          <w:rFonts w:ascii="Times New Roman" w:hAnsi="Times New Roman" w:cs="Times New Roman"/>
          <w:color w:val="auto"/>
        </w:rPr>
        <w:t>；</w:t>
      </w:r>
      <w:r>
        <w:rPr>
          <w:rFonts w:hint="eastAsia" w:ascii="Times New Roman" w:hAnsi="Times New Roman" w:cs="Times New Roman"/>
          <w:color w:val="auto"/>
          <w:lang w:val="en-US" w:eastAsia="zh-CN"/>
        </w:rPr>
        <w:t>6</w:t>
      </w:r>
      <w:r>
        <w:rPr>
          <w:rFonts w:ascii="Times New Roman" w:hAnsi="Times New Roman" w:cs="Times New Roman"/>
          <w:color w:val="auto"/>
        </w:rPr>
        <w:t>—</w:t>
      </w:r>
      <w:r>
        <w:rPr>
          <w:rFonts w:hint="eastAsia" w:ascii="Times New Roman" w:hAnsi="Times New Roman" w:cs="Times New Roman"/>
          <w:color w:val="auto"/>
          <w:lang w:val="en-US" w:eastAsia="zh-CN"/>
        </w:rPr>
        <w:t>螺栓</w:t>
      </w:r>
    </w:p>
    <w:p w14:paraId="34B2CFA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黑体"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图</w:t>
      </w:r>
      <w:r>
        <w:rPr>
          <w:rFonts w:hint="eastAsia" w:eastAsia="黑体" w:cs="Times New Roman"/>
          <w:color w:val="auto"/>
          <w:kern w:val="2"/>
          <w:sz w:val="21"/>
          <w:szCs w:val="21"/>
          <w:lang w:val="en-US" w:eastAsia="zh-CN" w:bidi="ar-SA"/>
        </w:rPr>
        <w:t>6</w:t>
      </w:r>
      <w:r>
        <w:rPr>
          <w:rFonts w:hint="eastAsia" w:ascii="Times New Roman" w:hAnsi="Times New Roman" w:eastAsia="黑体" w:cs="Times New Roman"/>
          <w:color w:val="auto"/>
          <w:kern w:val="2"/>
          <w:sz w:val="21"/>
          <w:szCs w:val="21"/>
          <w:lang w:val="en-US" w:eastAsia="zh-CN" w:bidi="ar-SA"/>
        </w:rPr>
        <w:t xml:space="preserve">  A型梁柱连接节点构造示意</w:t>
      </w:r>
    </w:p>
    <w:p w14:paraId="33113625">
      <w:pPr>
        <w:pStyle w:val="2"/>
        <w:ind w:left="0" w:leftChars="0" w:firstLine="0" w:firstLineChars="0"/>
        <w:rPr>
          <w:rFonts w:hint="eastAsia"/>
          <w:lang w:val="en-US" w:eastAsia="zh-CN"/>
        </w:rPr>
      </w:pPr>
    </w:p>
    <w:p w14:paraId="26E7670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color w:val="000000"/>
          <w:sz w:val="24"/>
          <w:szCs w:val="24"/>
          <w:shd w:val="clear" w:color="auto" w:fill="FFFFFF"/>
          <w:lang w:val="en-US" w:eastAsia="zh-CN"/>
        </w:rPr>
      </w:pPr>
      <w:r>
        <w:rPr>
          <w:rFonts w:hint="eastAsia" w:ascii="Times New Roman" w:hAnsi="Times New Roman" w:cs="Times New Roman"/>
          <w:b/>
          <w:bCs/>
          <w:color w:val="000000"/>
          <w:sz w:val="24"/>
          <w:szCs w:val="24"/>
          <w:shd w:val="clear" w:color="auto" w:fill="FFFFFF"/>
          <w:lang w:val="en-US" w:eastAsia="zh-CN"/>
        </w:rPr>
        <w:t>2.1.8 B</w:t>
      </w:r>
      <w:r>
        <w:rPr>
          <w:rFonts w:hint="eastAsia" w:ascii="Times New Roman" w:hAnsi="Times New Roman" w:cs="Times New Roman"/>
          <w:color w:val="000000"/>
          <w:sz w:val="24"/>
          <w:szCs w:val="24"/>
          <w:shd w:val="clear" w:color="auto" w:fill="FFFFFF"/>
          <w:lang w:val="en-US" w:eastAsia="zh-CN"/>
        </w:rPr>
        <w:t>型梁柱连接中，预制梁设置梁端钢组件，预制柱设置柱侧钢组件，二者之间采用栓焊连接</w:t>
      </w:r>
      <w:r>
        <w:rPr>
          <w:rFonts w:hint="eastAsia" w:cs="Times New Roman"/>
          <w:color w:val="000000"/>
          <w:sz w:val="24"/>
          <w:szCs w:val="24"/>
          <w:shd w:val="clear" w:color="auto" w:fill="FFFFFF"/>
          <w:lang w:val="en-US" w:eastAsia="zh-CN"/>
        </w:rPr>
        <w:t>，</w:t>
      </w:r>
      <w:r>
        <w:rPr>
          <w:rFonts w:hint="eastAsia"/>
          <w:lang w:val="en-US" w:eastAsia="zh-CN"/>
        </w:rPr>
        <w:t>典型构造如图7所示</w:t>
      </w:r>
      <w:r>
        <w:rPr>
          <w:rFonts w:hint="eastAsia" w:ascii="Times New Roman" w:hAnsi="Times New Roman" w:cs="Times New Roman"/>
          <w:color w:val="000000"/>
          <w:sz w:val="24"/>
          <w:szCs w:val="24"/>
          <w:shd w:val="clear" w:color="auto" w:fill="FFFFFF"/>
          <w:lang w:val="en-US" w:eastAsia="zh-CN"/>
        </w:rPr>
        <w:t>。</w:t>
      </w:r>
    </w:p>
    <w:p w14:paraId="6A1670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3327400" cy="2879725"/>
            <wp:effectExtent l="0" t="0" r="6350" b="15875"/>
            <wp:docPr id="7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3"/>
                    <pic:cNvPicPr>
                      <a:picLocks noChangeAspect="1"/>
                    </pic:cNvPicPr>
                  </pic:nvPicPr>
                  <pic:blipFill>
                    <a:blip r:embed="rId364"/>
                    <a:stretch>
                      <a:fillRect/>
                    </a:stretch>
                  </pic:blipFill>
                  <pic:spPr>
                    <a:xfrm>
                      <a:off x="0" y="0"/>
                      <a:ext cx="3327400" cy="2879725"/>
                    </a:xfrm>
                    <a:prstGeom prst="rect">
                      <a:avLst/>
                    </a:prstGeom>
                    <a:noFill/>
                    <a:ln>
                      <a:noFill/>
                    </a:ln>
                  </pic:spPr>
                </pic:pic>
              </a:graphicData>
            </a:graphic>
          </wp:inline>
        </w:drawing>
      </w:r>
    </w:p>
    <w:p w14:paraId="4F57DC8F">
      <w:pPr>
        <w:pStyle w:val="45"/>
        <w:rPr>
          <w:rFonts w:ascii="Times New Roman" w:hAnsi="Times New Roman" w:cs="Times New Roman"/>
          <w:color w:val="auto"/>
        </w:rPr>
      </w:pPr>
      <w:r>
        <w:rPr>
          <w:rFonts w:ascii="Times New Roman" w:hAnsi="Times New Roman" w:cs="Times New Roman"/>
          <w:color w:val="auto"/>
        </w:rPr>
        <w:t>1—</w:t>
      </w:r>
      <w:r>
        <w:rPr>
          <w:rFonts w:hint="eastAsia" w:cs="Times New Roman"/>
          <w:color w:val="auto"/>
          <w:lang w:val="en-US" w:eastAsia="zh-CN"/>
        </w:rPr>
        <w:t>混凝土</w:t>
      </w:r>
      <w:r>
        <w:rPr>
          <w:rFonts w:hint="eastAsia" w:ascii="Times New Roman" w:hAnsi="Times New Roman" w:cs="Times New Roman"/>
          <w:color w:val="auto"/>
          <w:lang w:val="en-US" w:eastAsia="zh-CN"/>
        </w:rPr>
        <w:t>柱</w:t>
      </w:r>
      <w:r>
        <w:rPr>
          <w:rFonts w:hint="eastAsia" w:cs="Times New Roman"/>
          <w:color w:val="auto"/>
          <w:lang w:val="en-US" w:eastAsia="zh-CN"/>
        </w:rPr>
        <w:t>身</w:t>
      </w:r>
      <w:r>
        <w:rPr>
          <w:rFonts w:ascii="Times New Roman" w:hAnsi="Times New Roman" w:cs="Times New Roman"/>
          <w:color w:val="auto"/>
        </w:rPr>
        <w:t>；2—</w:t>
      </w:r>
      <w:r>
        <w:rPr>
          <w:rFonts w:hint="eastAsia" w:cs="Times New Roman"/>
          <w:color w:val="auto"/>
          <w:lang w:val="en-US" w:eastAsia="zh-CN"/>
        </w:rPr>
        <w:t>混凝土</w:t>
      </w:r>
      <w:r>
        <w:rPr>
          <w:rFonts w:hint="eastAsia" w:ascii="Times New Roman" w:hAnsi="Times New Roman" w:cs="Times New Roman"/>
          <w:color w:val="auto"/>
          <w:lang w:val="en-US" w:eastAsia="zh-CN"/>
        </w:rPr>
        <w:t>梁</w:t>
      </w:r>
      <w:r>
        <w:rPr>
          <w:rFonts w:hint="eastAsia" w:cs="Times New Roman"/>
          <w:color w:val="auto"/>
          <w:lang w:val="en-US" w:eastAsia="zh-CN"/>
        </w:rPr>
        <w:t>身</w:t>
      </w:r>
      <w:r>
        <w:rPr>
          <w:rFonts w:hint="eastAsia" w:ascii="Times New Roman" w:hAnsi="Times New Roman" w:cs="Times New Roman"/>
          <w:color w:val="auto"/>
        </w:rPr>
        <w:t>；3</w:t>
      </w:r>
      <w:r>
        <w:rPr>
          <w:rFonts w:ascii="Times New Roman" w:hAnsi="Times New Roman" w:cs="Times New Roman"/>
          <w:color w:val="auto"/>
        </w:rPr>
        <w:t>—</w:t>
      </w:r>
      <w:r>
        <w:rPr>
          <w:rFonts w:hint="eastAsia"/>
          <w:lang w:val="en-US" w:eastAsia="zh-CN"/>
        </w:rPr>
        <w:t>B型</w:t>
      </w:r>
      <w:r>
        <w:rPr>
          <w:rFonts w:hint="eastAsia"/>
        </w:rPr>
        <w:t>梁端钢</w:t>
      </w:r>
      <w:r>
        <w:rPr>
          <w:rFonts w:hint="eastAsia"/>
          <w:lang w:val="en-US" w:eastAsia="zh-CN"/>
        </w:rPr>
        <w:t>组</w:t>
      </w:r>
      <w:r>
        <w:rPr>
          <w:rFonts w:hint="eastAsia"/>
        </w:rPr>
        <w:t>件</w:t>
      </w:r>
      <w:r>
        <w:rPr>
          <w:rFonts w:hint="eastAsia" w:ascii="Times New Roman" w:hAnsi="Times New Roman" w:cs="Times New Roman"/>
          <w:color w:val="auto"/>
        </w:rPr>
        <w:t>；4</w:t>
      </w:r>
      <w:r>
        <w:rPr>
          <w:rFonts w:ascii="Times New Roman" w:hAnsi="Times New Roman" w:cs="Times New Roman"/>
          <w:color w:val="auto"/>
        </w:rPr>
        <w:t>—</w:t>
      </w:r>
      <w:r>
        <w:rPr>
          <w:rFonts w:hint="eastAsia" w:ascii="Times New Roman" w:hAnsi="Times New Roman" w:cs="Times New Roman"/>
          <w:color w:val="auto"/>
          <w:lang w:val="en-US" w:eastAsia="zh-CN"/>
        </w:rPr>
        <w:t>焊缝</w:t>
      </w:r>
      <w:r>
        <w:rPr>
          <w:rFonts w:ascii="Times New Roman" w:hAnsi="Times New Roman" w:cs="Times New Roman"/>
          <w:color w:val="auto"/>
        </w:rPr>
        <w:t>；</w:t>
      </w:r>
    </w:p>
    <w:p w14:paraId="5F262998">
      <w:pPr>
        <w:pStyle w:val="45"/>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ascii="Times New Roman" w:hAnsi="Times New Roman" w:cs="Times New Roman"/>
          <w:color w:val="auto"/>
        </w:rPr>
        <w:t>—</w:t>
      </w:r>
      <w:r>
        <w:rPr>
          <w:rFonts w:hint="eastAsia" w:ascii="Times New Roman" w:hAnsi="Times New Roman" w:cs="Times New Roman"/>
          <w:color w:val="auto"/>
          <w:lang w:val="en-US" w:eastAsia="zh-CN"/>
        </w:rPr>
        <w:t>B型柱侧</w:t>
      </w:r>
      <w:r>
        <w:rPr>
          <w:rFonts w:hint="eastAsia"/>
        </w:rPr>
        <w:t>钢</w:t>
      </w:r>
      <w:r>
        <w:rPr>
          <w:rFonts w:hint="eastAsia"/>
          <w:lang w:val="en-US" w:eastAsia="zh-CN"/>
        </w:rPr>
        <w:t>组</w:t>
      </w:r>
      <w:r>
        <w:rPr>
          <w:rFonts w:hint="eastAsia"/>
        </w:rPr>
        <w:t>件</w:t>
      </w:r>
      <w:r>
        <w:rPr>
          <w:rFonts w:ascii="Times New Roman" w:hAnsi="Times New Roman" w:cs="Times New Roman"/>
          <w:color w:val="auto"/>
        </w:rPr>
        <w:t>；</w:t>
      </w:r>
      <w:r>
        <w:rPr>
          <w:rFonts w:hint="eastAsia" w:ascii="Times New Roman" w:hAnsi="Times New Roman" w:cs="Times New Roman"/>
          <w:color w:val="auto"/>
          <w:lang w:val="en-US" w:eastAsia="zh-CN"/>
        </w:rPr>
        <w:t>6</w:t>
      </w:r>
      <w:r>
        <w:rPr>
          <w:rFonts w:ascii="Times New Roman" w:hAnsi="Times New Roman" w:cs="Times New Roman"/>
          <w:color w:val="auto"/>
        </w:rPr>
        <w:t>—</w:t>
      </w:r>
      <w:r>
        <w:rPr>
          <w:rFonts w:hint="eastAsia" w:ascii="Times New Roman" w:hAnsi="Times New Roman" w:cs="Times New Roman"/>
          <w:color w:val="auto"/>
          <w:lang w:val="en-US" w:eastAsia="zh-CN"/>
        </w:rPr>
        <w:t>节点域连接钢筋</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7</w:t>
      </w:r>
      <w:r>
        <w:rPr>
          <w:rFonts w:ascii="Times New Roman" w:hAnsi="Times New Roman" w:cs="Times New Roman"/>
          <w:color w:val="auto"/>
        </w:rPr>
        <w:t>—</w:t>
      </w:r>
      <w:r>
        <w:rPr>
          <w:rFonts w:hint="eastAsia" w:ascii="Times New Roman" w:hAnsi="Times New Roman" w:cs="Times New Roman"/>
          <w:color w:val="auto"/>
          <w:lang w:val="en-US" w:eastAsia="zh-CN"/>
        </w:rPr>
        <w:t>螺栓</w:t>
      </w:r>
    </w:p>
    <w:p w14:paraId="1A05C74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黑体"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图</w:t>
      </w:r>
      <w:r>
        <w:rPr>
          <w:rFonts w:hint="eastAsia" w:eastAsia="黑体" w:cs="Times New Roman"/>
          <w:color w:val="auto"/>
          <w:kern w:val="2"/>
          <w:sz w:val="21"/>
          <w:szCs w:val="21"/>
          <w:lang w:val="en-US" w:eastAsia="zh-CN" w:bidi="ar-SA"/>
        </w:rPr>
        <w:t>7</w:t>
      </w:r>
      <w:r>
        <w:rPr>
          <w:rFonts w:hint="eastAsia" w:ascii="Times New Roman" w:hAnsi="Times New Roman" w:eastAsia="黑体" w:cs="Times New Roman"/>
          <w:color w:val="auto"/>
          <w:kern w:val="2"/>
          <w:sz w:val="21"/>
          <w:szCs w:val="21"/>
          <w:lang w:val="en-US" w:eastAsia="zh-CN" w:bidi="ar-SA"/>
        </w:rPr>
        <w:t xml:space="preserve">  B型梁柱连接节点构造示意</w:t>
      </w:r>
    </w:p>
    <w:p w14:paraId="1A94788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color w:val="000000"/>
          <w:sz w:val="24"/>
          <w:szCs w:val="24"/>
          <w:shd w:val="clear" w:color="auto" w:fill="FFFFFF"/>
          <w:lang w:val="en-US" w:eastAsia="zh-CN"/>
        </w:rPr>
      </w:pPr>
      <w:r>
        <w:rPr>
          <w:rFonts w:hint="eastAsia" w:ascii="Times New Roman" w:hAnsi="Times New Roman" w:cs="Times New Roman"/>
          <w:b/>
          <w:bCs/>
          <w:color w:val="000000"/>
          <w:sz w:val="24"/>
          <w:szCs w:val="24"/>
          <w:shd w:val="clear" w:color="auto" w:fill="FFFFFF"/>
          <w:lang w:val="en-US" w:eastAsia="zh-CN"/>
        </w:rPr>
        <w:t>2.1.9 C</w:t>
      </w:r>
      <w:r>
        <w:rPr>
          <w:rFonts w:hint="eastAsia" w:ascii="Times New Roman" w:hAnsi="Times New Roman" w:cs="Times New Roman"/>
          <w:color w:val="000000"/>
          <w:sz w:val="24"/>
          <w:szCs w:val="24"/>
          <w:shd w:val="clear" w:color="auto" w:fill="FFFFFF"/>
          <w:lang w:val="en-US" w:eastAsia="zh-CN"/>
        </w:rPr>
        <w:t>型梁柱连接中，预制梁设置梁端钢组件，预制柱设置柱侧钢组件，二者之间采用螺栓连接；同时梁纵向受力钢筋伸出混凝土梁身，与伸出柱侧的连接钢筋采用机械连接</w:t>
      </w:r>
      <w:r>
        <w:rPr>
          <w:rFonts w:hint="eastAsia" w:cs="Times New Roman"/>
          <w:color w:val="000000"/>
          <w:sz w:val="24"/>
          <w:szCs w:val="24"/>
          <w:shd w:val="clear" w:color="auto" w:fill="FFFFFF"/>
          <w:lang w:val="en-US" w:eastAsia="zh-CN"/>
        </w:rPr>
        <w:t>，</w:t>
      </w:r>
      <w:r>
        <w:rPr>
          <w:rFonts w:hint="eastAsia"/>
          <w:lang w:val="en-US" w:eastAsia="zh-CN"/>
        </w:rPr>
        <w:t>典型构造如图8所示</w:t>
      </w:r>
      <w:r>
        <w:rPr>
          <w:rFonts w:hint="eastAsia" w:ascii="Times New Roman" w:hAnsi="Times New Roman" w:cs="Times New Roman"/>
          <w:color w:val="000000"/>
          <w:sz w:val="24"/>
          <w:szCs w:val="24"/>
          <w:shd w:val="clear" w:color="auto" w:fill="FFFFFF"/>
          <w:lang w:val="en-US" w:eastAsia="zh-CN"/>
        </w:rPr>
        <w:t>。</w:t>
      </w:r>
    </w:p>
    <w:p w14:paraId="32E545E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3181985" cy="2879725"/>
            <wp:effectExtent l="0" t="0" r="18415" b="15875"/>
            <wp:docPr id="78"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2"/>
                    <pic:cNvPicPr>
                      <a:picLocks noChangeAspect="1"/>
                    </pic:cNvPicPr>
                  </pic:nvPicPr>
                  <pic:blipFill>
                    <a:blip r:embed="rId365"/>
                    <a:stretch>
                      <a:fillRect/>
                    </a:stretch>
                  </pic:blipFill>
                  <pic:spPr>
                    <a:xfrm>
                      <a:off x="0" y="0"/>
                      <a:ext cx="3181985" cy="2879725"/>
                    </a:xfrm>
                    <a:prstGeom prst="rect">
                      <a:avLst/>
                    </a:prstGeom>
                    <a:noFill/>
                    <a:ln>
                      <a:noFill/>
                    </a:ln>
                  </pic:spPr>
                </pic:pic>
              </a:graphicData>
            </a:graphic>
          </wp:inline>
        </w:drawing>
      </w:r>
    </w:p>
    <w:p w14:paraId="55B99358">
      <w:pPr>
        <w:pStyle w:val="45"/>
        <w:rPr>
          <w:rFonts w:ascii="Times New Roman" w:hAnsi="Times New Roman" w:cs="Times New Roman"/>
          <w:color w:val="auto"/>
        </w:rPr>
      </w:pPr>
      <w:r>
        <w:rPr>
          <w:rFonts w:ascii="Times New Roman" w:hAnsi="Times New Roman" w:cs="Times New Roman"/>
          <w:color w:val="auto"/>
        </w:rPr>
        <w:t>1—</w:t>
      </w:r>
      <w:r>
        <w:rPr>
          <w:rFonts w:hint="eastAsia" w:cs="Times New Roman"/>
          <w:color w:val="auto"/>
          <w:lang w:val="en-US" w:eastAsia="zh-CN"/>
        </w:rPr>
        <w:t>混凝土</w:t>
      </w:r>
      <w:r>
        <w:rPr>
          <w:rFonts w:hint="eastAsia" w:ascii="Times New Roman" w:hAnsi="Times New Roman" w:cs="Times New Roman"/>
          <w:color w:val="auto"/>
          <w:lang w:val="en-US" w:eastAsia="zh-CN"/>
        </w:rPr>
        <w:t>柱</w:t>
      </w:r>
      <w:r>
        <w:rPr>
          <w:rFonts w:hint="eastAsia" w:cs="Times New Roman"/>
          <w:color w:val="auto"/>
          <w:lang w:val="en-US" w:eastAsia="zh-CN"/>
        </w:rPr>
        <w:t>身</w:t>
      </w:r>
      <w:r>
        <w:rPr>
          <w:rFonts w:ascii="Times New Roman" w:hAnsi="Times New Roman" w:cs="Times New Roman"/>
          <w:color w:val="auto"/>
        </w:rPr>
        <w:t>；2—</w:t>
      </w:r>
      <w:r>
        <w:rPr>
          <w:rFonts w:hint="eastAsia" w:cs="Times New Roman"/>
          <w:color w:val="auto"/>
          <w:lang w:val="en-US" w:eastAsia="zh-CN"/>
        </w:rPr>
        <w:t>混凝土</w:t>
      </w:r>
      <w:r>
        <w:rPr>
          <w:rFonts w:hint="eastAsia" w:ascii="Times New Roman" w:hAnsi="Times New Roman" w:cs="Times New Roman"/>
          <w:color w:val="auto"/>
          <w:lang w:val="en-US" w:eastAsia="zh-CN"/>
        </w:rPr>
        <w:t>梁</w:t>
      </w:r>
      <w:r>
        <w:rPr>
          <w:rFonts w:hint="eastAsia" w:cs="Times New Roman"/>
          <w:color w:val="auto"/>
          <w:lang w:val="en-US" w:eastAsia="zh-CN"/>
        </w:rPr>
        <w:t>身</w:t>
      </w:r>
      <w:r>
        <w:rPr>
          <w:rFonts w:hint="eastAsia" w:ascii="Times New Roman" w:hAnsi="Times New Roman" w:cs="Times New Roman"/>
          <w:color w:val="auto"/>
        </w:rPr>
        <w:t>；3</w:t>
      </w:r>
      <w:r>
        <w:rPr>
          <w:rFonts w:ascii="Times New Roman" w:hAnsi="Times New Roman" w:cs="Times New Roman"/>
          <w:color w:val="auto"/>
        </w:rPr>
        <w:t>—</w:t>
      </w:r>
      <w:r>
        <w:rPr>
          <w:rFonts w:hint="eastAsia"/>
          <w:lang w:val="en-US" w:eastAsia="zh-CN"/>
        </w:rPr>
        <w:t>C型</w:t>
      </w:r>
      <w:r>
        <w:rPr>
          <w:rFonts w:hint="eastAsia"/>
        </w:rPr>
        <w:t>梁端钢</w:t>
      </w:r>
      <w:r>
        <w:rPr>
          <w:rFonts w:hint="eastAsia"/>
          <w:lang w:val="en-US" w:eastAsia="zh-CN"/>
        </w:rPr>
        <w:t>组</w:t>
      </w:r>
      <w:r>
        <w:rPr>
          <w:rFonts w:hint="eastAsia"/>
        </w:rPr>
        <w:t>件</w:t>
      </w:r>
      <w:r>
        <w:rPr>
          <w:rFonts w:hint="eastAsia" w:ascii="Times New Roman" w:hAnsi="Times New Roman" w:cs="Times New Roman"/>
          <w:color w:val="auto"/>
        </w:rPr>
        <w:t>；4</w:t>
      </w:r>
      <w:r>
        <w:rPr>
          <w:rFonts w:ascii="Times New Roman" w:hAnsi="Times New Roman" w:cs="Times New Roman"/>
          <w:color w:val="auto"/>
        </w:rPr>
        <w:t>—</w:t>
      </w:r>
      <w:r>
        <w:rPr>
          <w:rFonts w:hint="eastAsia" w:ascii="Times New Roman" w:hAnsi="Times New Roman" w:cs="Times New Roman"/>
          <w:color w:val="auto"/>
          <w:lang w:val="en-US" w:eastAsia="zh-CN"/>
        </w:rPr>
        <w:t>节点域连接钢筋</w:t>
      </w:r>
      <w:r>
        <w:rPr>
          <w:rFonts w:ascii="Times New Roman" w:hAnsi="Times New Roman" w:cs="Times New Roman"/>
          <w:color w:val="auto"/>
        </w:rPr>
        <w:t>；</w:t>
      </w:r>
    </w:p>
    <w:p w14:paraId="1601A26E">
      <w:pPr>
        <w:pStyle w:val="45"/>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ascii="Times New Roman" w:hAnsi="Times New Roman" w:cs="Times New Roman"/>
          <w:color w:val="auto"/>
        </w:rPr>
        <w:t>—</w:t>
      </w:r>
      <w:r>
        <w:rPr>
          <w:rFonts w:hint="eastAsia" w:cs="Times New Roman"/>
          <w:color w:val="auto"/>
          <w:lang w:val="en-US" w:eastAsia="zh-CN"/>
        </w:rPr>
        <w:t>C</w:t>
      </w:r>
      <w:r>
        <w:rPr>
          <w:rFonts w:hint="eastAsia" w:ascii="Times New Roman" w:hAnsi="Times New Roman" w:cs="Times New Roman"/>
          <w:color w:val="auto"/>
          <w:lang w:val="en-US" w:eastAsia="zh-CN"/>
        </w:rPr>
        <w:t>型柱侧</w:t>
      </w:r>
      <w:r>
        <w:rPr>
          <w:rFonts w:hint="eastAsia"/>
        </w:rPr>
        <w:t>钢</w:t>
      </w:r>
      <w:r>
        <w:rPr>
          <w:rFonts w:hint="eastAsia"/>
          <w:lang w:val="en-US" w:eastAsia="zh-CN"/>
        </w:rPr>
        <w:t>组</w:t>
      </w:r>
      <w:r>
        <w:rPr>
          <w:rFonts w:hint="eastAsia"/>
        </w:rPr>
        <w:t>件</w:t>
      </w:r>
      <w:r>
        <w:rPr>
          <w:rFonts w:ascii="Times New Roman" w:hAnsi="Times New Roman" w:cs="Times New Roman"/>
          <w:color w:val="auto"/>
        </w:rPr>
        <w:t>；</w:t>
      </w:r>
      <w:r>
        <w:rPr>
          <w:rFonts w:hint="eastAsia" w:ascii="Times New Roman" w:hAnsi="Times New Roman" w:cs="Times New Roman"/>
          <w:color w:val="auto"/>
          <w:lang w:val="en-US" w:eastAsia="zh-CN"/>
        </w:rPr>
        <w:t>6</w:t>
      </w:r>
      <w:r>
        <w:rPr>
          <w:rFonts w:ascii="Times New Roman" w:hAnsi="Times New Roman" w:cs="Times New Roman"/>
          <w:color w:val="auto"/>
        </w:rPr>
        <w:t>—</w:t>
      </w:r>
      <w:r>
        <w:rPr>
          <w:rFonts w:hint="eastAsia" w:cs="Times New Roman"/>
          <w:color w:val="auto"/>
          <w:lang w:val="en-US" w:eastAsia="zh-CN"/>
        </w:rPr>
        <w:t>机械连接</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7</w:t>
      </w:r>
      <w:r>
        <w:rPr>
          <w:rFonts w:ascii="Times New Roman" w:hAnsi="Times New Roman" w:cs="Times New Roman"/>
          <w:color w:val="auto"/>
        </w:rPr>
        <w:t>—</w:t>
      </w:r>
      <w:r>
        <w:rPr>
          <w:rFonts w:hint="eastAsia" w:ascii="Times New Roman" w:hAnsi="Times New Roman" w:cs="Times New Roman"/>
          <w:color w:val="auto"/>
          <w:lang w:val="en-US" w:eastAsia="zh-CN"/>
        </w:rPr>
        <w:t>螺栓</w:t>
      </w:r>
    </w:p>
    <w:p w14:paraId="2C372F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黑体"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图</w:t>
      </w:r>
      <w:r>
        <w:rPr>
          <w:rFonts w:hint="eastAsia" w:eastAsia="黑体" w:cs="Times New Roman"/>
          <w:color w:val="auto"/>
          <w:kern w:val="2"/>
          <w:sz w:val="21"/>
          <w:szCs w:val="21"/>
          <w:lang w:val="en-US" w:eastAsia="zh-CN" w:bidi="ar-SA"/>
        </w:rPr>
        <w:t>8</w:t>
      </w:r>
      <w:r>
        <w:rPr>
          <w:rFonts w:hint="eastAsia" w:ascii="Times New Roman" w:hAnsi="Times New Roman" w:eastAsia="黑体" w:cs="Times New Roman"/>
          <w:color w:val="auto"/>
          <w:kern w:val="2"/>
          <w:sz w:val="21"/>
          <w:szCs w:val="21"/>
          <w:lang w:val="en-US" w:eastAsia="zh-CN" w:bidi="ar-SA"/>
        </w:rPr>
        <w:t xml:space="preserve">  C型梁柱连接节点构造示意</w:t>
      </w:r>
    </w:p>
    <w:p w14:paraId="7F822849">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cs="Times New Roman"/>
          <w:color w:val="000000"/>
          <w:sz w:val="24"/>
          <w:szCs w:val="24"/>
          <w:shd w:val="clear" w:color="auto" w:fill="FFFFFF"/>
          <w:lang w:val="en-US" w:eastAsia="zh-CN"/>
        </w:rPr>
      </w:pPr>
      <w:r>
        <w:rPr>
          <w:rFonts w:hint="eastAsia" w:ascii="Times New Roman" w:hAnsi="Times New Roman" w:cs="Times New Roman"/>
          <w:b/>
          <w:bCs/>
          <w:color w:val="000000"/>
          <w:sz w:val="24"/>
          <w:szCs w:val="24"/>
          <w:shd w:val="clear" w:color="auto" w:fill="FFFFFF"/>
          <w:lang w:val="en-US" w:eastAsia="zh-CN"/>
        </w:rPr>
        <w:t xml:space="preserve">2.1.10 </w:t>
      </w:r>
      <w:r>
        <w:rPr>
          <w:rFonts w:hint="eastAsia" w:ascii="Times New Roman" w:hAnsi="Times New Roman" w:cs="Times New Roman"/>
          <w:color w:val="000000"/>
          <w:sz w:val="24"/>
          <w:szCs w:val="24"/>
          <w:shd w:val="clear" w:color="auto" w:fill="FFFFFF"/>
          <w:lang w:val="en-US" w:eastAsia="zh-CN"/>
        </w:rPr>
        <w:t>钢组件螺栓连接可以用于预制柱与基础连接、上下节预制柱连接、预制柱与现浇柱连接，预留连接杆需伸出基础或柱顶。</w:t>
      </w:r>
    </w:p>
    <w:p w14:paraId="3E6ED8DD">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lang w:val="en-US" w:eastAsia="zh-CN"/>
        </w:rPr>
      </w:pPr>
      <w:r>
        <w:rPr>
          <w:rFonts w:hint="eastAsia" w:ascii="Times New Roman" w:hAnsi="Times New Roman" w:cs="Times New Roman"/>
          <w:b/>
          <w:bCs/>
          <w:color w:val="000000"/>
          <w:sz w:val="24"/>
          <w:szCs w:val="24"/>
          <w:shd w:val="clear" w:color="auto" w:fill="FFFFFF"/>
          <w:lang w:val="en-US" w:eastAsia="zh-CN"/>
        </w:rPr>
        <w:t xml:space="preserve">2.1.11 </w:t>
      </w:r>
      <w:r>
        <w:rPr>
          <w:rFonts w:hint="eastAsia" w:ascii="Times New Roman" w:hAnsi="Times New Roman" w:cs="Times New Roman"/>
          <w:color w:val="000000"/>
          <w:sz w:val="24"/>
          <w:szCs w:val="24"/>
          <w:shd w:val="clear" w:color="auto" w:fill="FFFFFF"/>
          <w:lang w:val="en-US" w:eastAsia="zh-CN"/>
        </w:rPr>
        <w:t>钢组件灌浆连接一般仅用于上下节预制柱的连接。</w:t>
      </w:r>
    </w:p>
    <w:p w14:paraId="0ABEE37B">
      <w:pPr>
        <w:pStyle w:val="41"/>
        <w:numPr>
          <w:ilvl w:val="1"/>
          <w:numId w:val="0"/>
        </w:numPr>
        <w:spacing w:before="312" w:after="312"/>
        <w:ind w:leftChars="0"/>
        <w:jc w:val="center"/>
        <w:rPr>
          <w:rFonts w:hint="default" w:ascii="Times New Roman" w:hAnsi="Times New Roman" w:eastAsia="宋体" w:cs="Times New Roman"/>
          <w:lang w:val="en-US" w:eastAsia="zh-CN"/>
        </w:rPr>
      </w:pPr>
      <w:bookmarkStart w:id="174" w:name="_Toc12833"/>
      <w:bookmarkStart w:id="175" w:name="_Toc3517"/>
      <w:bookmarkStart w:id="176" w:name="_Toc27633"/>
      <w:bookmarkStart w:id="177" w:name="_Toc2103"/>
      <w:r>
        <w:rPr>
          <w:rFonts w:hint="eastAsia" w:ascii="Times New Roman" w:hAnsi="Times New Roman" w:eastAsia="宋体" w:cs="Times New Roman"/>
          <w:lang w:val="en-US" w:eastAsia="zh-CN"/>
        </w:rPr>
        <w:t>2.2 符号</w:t>
      </w:r>
      <w:bookmarkEnd w:id="174"/>
      <w:bookmarkEnd w:id="175"/>
      <w:bookmarkEnd w:id="176"/>
      <w:bookmarkEnd w:id="177"/>
    </w:p>
    <w:p w14:paraId="0D23F870">
      <w:pPr>
        <w:pStyle w:val="49"/>
        <w:ind w:firstLine="480" w:firstLineChars="200"/>
        <w:rPr>
          <w:rFonts w:hint="default" w:ascii="Times New Roman" w:hAnsi="Times New Roman" w:cs="Times New Roman"/>
          <w:color w:val="000000"/>
          <w:sz w:val="24"/>
          <w:szCs w:val="24"/>
        </w:rPr>
      </w:pPr>
      <w:r>
        <w:rPr>
          <w:rFonts w:hint="eastAsia"/>
          <w:color w:val="auto"/>
        </w:rPr>
        <w:t>本节参考现行国家标准《工程结构设计通用符号标准》GB/T 50132和有关设计标准，并结合本规程具体情况规定了涉及的符号及其含义。</w:t>
      </w:r>
    </w:p>
    <w:p w14:paraId="7E4BC6F8">
      <w:pPr>
        <w:pStyle w:val="2"/>
        <w:ind w:left="0" w:leftChars="0" w:firstLine="0" w:firstLineChars="0"/>
        <w:rPr>
          <w:rFonts w:hint="eastAsia" w:ascii="Times New Roman" w:hAnsi="Times New Roman" w:cs="Times New Roman"/>
          <w:color w:val="000000"/>
          <w:sz w:val="24"/>
          <w:szCs w:val="24"/>
          <w:shd w:val="clear" w:color="auto" w:fill="FFFFFF"/>
          <w:lang w:val="en-US" w:eastAsia="zh-CN"/>
        </w:rPr>
      </w:pPr>
    </w:p>
    <w:p w14:paraId="0B932B00">
      <w:pPr>
        <w:pStyle w:val="2"/>
        <w:rPr>
          <w:rFonts w:hint="eastAsia"/>
          <w:lang w:val="en-US" w:eastAsia="zh-CN"/>
        </w:rPr>
      </w:pPr>
    </w:p>
    <w:p w14:paraId="2FA8ABF8">
      <w:pPr>
        <w:pStyle w:val="2"/>
        <w:rPr>
          <w:rFonts w:hint="default"/>
          <w:lang w:val="en-US" w:eastAsia="zh-CN"/>
        </w:rPr>
      </w:pPr>
    </w:p>
    <w:p w14:paraId="4F0476E5">
      <w:pPr>
        <w:pStyle w:val="2"/>
        <w:rPr>
          <w:rFonts w:hint="default"/>
          <w:lang w:val="en-US" w:eastAsia="zh-CN"/>
        </w:rPr>
      </w:pPr>
    </w:p>
    <w:p w14:paraId="2F42C18E">
      <w:pPr>
        <w:spacing w:line="360" w:lineRule="exact"/>
        <w:jc w:val="left"/>
        <w:rPr>
          <w:rFonts w:hint="default" w:ascii="Times New Roman" w:hAnsi="Times New Roman" w:cs="Times New Roman"/>
          <w:color w:val="000000"/>
          <w:sz w:val="21"/>
          <w:szCs w:val="21"/>
        </w:rPr>
        <w:sectPr>
          <w:footerReference r:id="rId17" w:type="default"/>
          <w:pgSz w:w="11906" w:h="16838"/>
          <w:pgMar w:top="1440" w:right="1803" w:bottom="1440" w:left="1803" w:header="851" w:footer="992" w:gutter="0"/>
          <w:pgNumType w:fmt="decimal"/>
          <w:cols w:space="720" w:num="1"/>
          <w:docGrid w:type="lines" w:linePitch="340" w:charSpace="0"/>
        </w:sectPr>
      </w:pPr>
    </w:p>
    <w:p w14:paraId="7A1C0CD2">
      <w:pPr>
        <w:pStyle w:val="110"/>
        <w:spacing w:before="170" w:beforeLines="50" w:after="170" w:afterLines="50" w:line="360" w:lineRule="exact"/>
        <w:ind w:left="0" w:leftChars="0" w:firstLine="0" w:firstLineChars="0"/>
        <w:jc w:val="center"/>
        <w:rPr>
          <w:rFonts w:hint="default" w:ascii="Times New Roman" w:hAnsi="Times New Roman" w:eastAsia="宋体" w:cs="Times New Roman"/>
          <w:b/>
          <w:kern w:val="2"/>
          <w:sz w:val="28"/>
          <w:szCs w:val="20"/>
          <w:lang w:val="en-US" w:eastAsia="zh-CN" w:bidi="ar-SA"/>
        </w:rPr>
      </w:pPr>
      <w:bookmarkStart w:id="178" w:name="_Toc19426"/>
      <w:bookmarkStart w:id="179" w:name="_Toc476904652"/>
      <w:bookmarkStart w:id="180" w:name="_Toc25088"/>
      <w:bookmarkStart w:id="181" w:name="_Toc2693"/>
      <w:bookmarkStart w:id="182" w:name="_Toc14048"/>
      <w:bookmarkStart w:id="183" w:name="_Toc11584"/>
      <w:bookmarkStart w:id="184" w:name="_Toc468445349"/>
      <w:bookmarkStart w:id="185" w:name="_Toc681"/>
      <w:bookmarkStart w:id="186" w:name="_Toc18683"/>
      <w:bookmarkStart w:id="187" w:name="_Toc468383694"/>
      <w:bookmarkStart w:id="188" w:name="_Toc468444625"/>
      <w:bookmarkStart w:id="189" w:name="_Toc468383436"/>
      <w:bookmarkStart w:id="190" w:name="_Toc477178400"/>
      <w:bookmarkStart w:id="191" w:name="_Toc16181"/>
      <w:bookmarkStart w:id="192" w:name="_Toc24687"/>
      <w:bookmarkStart w:id="193" w:name="_Toc27127"/>
      <w:bookmarkStart w:id="194" w:name="_Toc22310"/>
      <w:bookmarkStart w:id="195" w:name="_Toc468383747"/>
      <w:bookmarkStart w:id="196" w:name="_Toc468445280"/>
      <w:bookmarkStart w:id="197" w:name="_Toc32266"/>
      <w:bookmarkStart w:id="198" w:name="_Toc26179"/>
      <w:bookmarkStart w:id="199" w:name="_Toc12547"/>
      <w:bookmarkStart w:id="200" w:name="_Toc29830"/>
      <w:bookmarkStart w:id="201" w:name="_Toc32563"/>
      <w:bookmarkStart w:id="202" w:name="_Toc20945"/>
      <w:bookmarkStart w:id="203" w:name="_Toc20163"/>
      <w:bookmarkStart w:id="204" w:name="_Toc15955"/>
      <w:bookmarkStart w:id="205" w:name="_Toc7880"/>
      <w:bookmarkStart w:id="206" w:name="_Toc31892"/>
      <w:bookmarkStart w:id="207" w:name="_Toc2564"/>
      <w:r>
        <w:rPr>
          <w:rFonts w:hint="default" w:ascii="Times New Roman" w:hAnsi="Times New Roman" w:eastAsia="宋体" w:cs="Times New Roman"/>
          <w:b/>
          <w:kern w:val="2"/>
          <w:sz w:val="28"/>
          <w:szCs w:val="20"/>
          <w:lang w:val="en-US" w:eastAsia="zh-CN" w:bidi="ar-SA"/>
        </w:rPr>
        <w:t xml:space="preserve">3  </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rFonts w:hint="eastAsia" w:cs="Times New Roman"/>
          <w:b/>
          <w:kern w:val="2"/>
          <w:sz w:val="28"/>
          <w:szCs w:val="20"/>
          <w:lang w:val="en-US" w:eastAsia="zh-CN" w:bidi="ar-SA"/>
        </w:rPr>
        <w:t>材料</w:t>
      </w:r>
      <w:bookmarkEnd w:id="200"/>
      <w:bookmarkEnd w:id="201"/>
      <w:bookmarkEnd w:id="202"/>
      <w:bookmarkEnd w:id="203"/>
      <w:bookmarkEnd w:id="204"/>
      <w:bookmarkEnd w:id="205"/>
      <w:bookmarkEnd w:id="206"/>
      <w:bookmarkEnd w:id="207"/>
    </w:p>
    <w:p w14:paraId="588ABD1D">
      <w:pPr>
        <w:pStyle w:val="49"/>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color w:val="auto"/>
          <w:sz w:val="24"/>
          <w:szCs w:val="24"/>
          <w:lang w:val="en-US" w:eastAsia="zh-CN"/>
        </w:rPr>
      </w:pPr>
      <w:r>
        <w:rPr>
          <w:rFonts w:hint="default" w:ascii="Times New Roman" w:hAnsi="Times New Roman" w:cs="Times New Roman"/>
          <w:b/>
          <w:color w:val="000000"/>
          <w:sz w:val="24"/>
          <w:szCs w:val="24"/>
        </w:rPr>
        <w:t>3.</w:t>
      </w:r>
      <w:r>
        <w:rPr>
          <w:rFonts w:hint="eastAsia" w:cs="Times New Roman"/>
          <w:b/>
          <w:color w:val="000000"/>
          <w:sz w:val="24"/>
          <w:szCs w:val="24"/>
          <w:lang w:val="en-US" w:eastAsia="zh-CN"/>
        </w:rPr>
        <w:t>0</w:t>
      </w:r>
      <w:r>
        <w:rPr>
          <w:rFonts w:hint="default" w:ascii="Times New Roman" w:hAnsi="Times New Roman" w:cs="Times New Roman"/>
          <w:b/>
          <w:color w:val="000000"/>
          <w:sz w:val="24"/>
          <w:szCs w:val="24"/>
        </w:rPr>
        <w:t xml:space="preserve">.1 </w:t>
      </w:r>
      <w:r>
        <w:rPr>
          <w:rFonts w:hint="eastAsia"/>
          <w:color w:val="auto"/>
          <w:sz w:val="24"/>
          <w:szCs w:val="24"/>
          <w:lang w:val="en-US" w:eastAsia="zh-CN"/>
        </w:rPr>
        <w:t>钢组件框架结构所采用的混凝土的各项指标需严格控制，具体要求需符合现行国家标准《混凝土结构设计标准》GB/T 50010的规定。预制构件混凝土的最低强度等级、节点和接缝处的后浇混凝土强度等级参照了现行行业标准《装配式混凝土结构技术规程》JGJ 1的有关规定。</w:t>
      </w:r>
    </w:p>
    <w:p w14:paraId="4AF5BC4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3.</w:t>
      </w:r>
      <w:r>
        <w:rPr>
          <w:rFonts w:hint="eastAsia" w:cs="Times New Roman"/>
          <w:b/>
          <w:color w:val="auto"/>
          <w:sz w:val="24"/>
          <w:szCs w:val="24"/>
          <w:lang w:val="en-US" w:eastAsia="zh-CN"/>
        </w:rPr>
        <w:t>0</w:t>
      </w:r>
      <w:r>
        <w:rPr>
          <w:rFonts w:hint="default" w:ascii="Times New Roman" w:hAnsi="Times New Roman" w:cs="Times New Roman"/>
          <w:b/>
          <w:color w:val="auto"/>
          <w:sz w:val="24"/>
          <w:szCs w:val="24"/>
        </w:rPr>
        <w:t xml:space="preserve">.2 </w:t>
      </w:r>
      <w:r>
        <w:rPr>
          <w:rFonts w:hint="eastAsia"/>
          <w:color w:val="auto"/>
          <w:lang w:val="en-US" w:eastAsia="zh-CN"/>
        </w:rPr>
        <w:t>钢组件框架结构所采用的钢筋的各项指标需严格控制，具体要求需符合现行国家标准《混凝土结构设计标准》GB/T 50010的规定。预制构件中配置的受力钢筋尽可能采用强度高、延性和可焊性较好的HRB400、HRB500热轧带肋钢筋，拉筋、分布筋等构造钢筋的牌号可以适当降低。</w:t>
      </w:r>
    </w:p>
    <w:p w14:paraId="0C07BB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szCs w:val="24"/>
          <w:shd w:val="clear" w:color="auto" w:fill="FFFFFF"/>
        </w:rPr>
      </w:pPr>
      <w:r>
        <w:rPr>
          <w:rFonts w:hint="default" w:ascii="Times New Roman" w:hAnsi="Times New Roman" w:cs="Times New Roman"/>
          <w:b/>
          <w:bCs/>
          <w:color w:val="auto"/>
          <w:sz w:val="24"/>
          <w:szCs w:val="24"/>
          <w:shd w:val="clear" w:color="auto" w:fill="FFFFFF"/>
        </w:rPr>
        <w:t>3.</w:t>
      </w:r>
      <w:r>
        <w:rPr>
          <w:rFonts w:hint="eastAsia" w:cs="Times New Roman"/>
          <w:b/>
          <w:bCs/>
          <w:color w:val="auto"/>
          <w:sz w:val="24"/>
          <w:szCs w:val="24"/>
          <w:shd w:val="clear" w:color="auto" w:fill="FFFFFF"/>
          <w:lang w:val="en-US" w:eastAsia="zh-CN"/>
        </w:rPr>
        <w:t>0</w:t>
      </w:r>
      <w:r>
        <w:rPr>
          <w:rFonts w:hint="default" w:ascii="Times New Roman" w:hAnsi="Times New Roman" w:cs="Times New Roman"/>
          <w:b/>
          <w:bCs/>
          <w:color w:val="auto"/>
          <w:sz w:val="24"/>
          <w:szCs w:val="24"/>
          <w:shd w:val="clear" w:color="auto" w:fill="FFFFFF"/>
        </w:rPr>
        <w:t xml:space="preserve">.3 </w:t>
      </w:r>
      <w:r>
        <w:rPr>
          <w:rFonts w:hint="eastAsia"/>
          <w:color w:val="auto"/>
          <w:lang w:val="en-US" w:eastAsia="zh-CN"/>
        </w:rPr>
        <w:t>参照《混凝土结构通用规范》GB 55008，对于抗震等级为一、二、三级的框架梁、柱的纵向受力钢筋，需采用牌号带“E”的热轧带肋钢筋</w:t>
      </w:r>
      <w:r>
        <w:rPr>
          <w:rFonts w:hint="default" w:ascii="Times New Roman" w:hAnsi="Times New Roman" w:cs="Times New Roman"/>
          <w:color w:val="auto"/>
          <w:sz w:val="24"/>
          <w:szCs w:val="24"/>
          <w:shd w:val="clear" w:color="auto" w:fill="FFFFFF"/>
        </w:rPr>
        <w:t>。</w:t>
      </w:r>
    </w:p>
    <w:p w14:paraId="739CD2A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lang w:val="en-US" w:eastAsia="zh-CN"/>
        </w:rPr>
      </w:pPr>
      <w:r>
        <w:rPr>
          <w:rFonts w:hint="default" w:ascii="Times New Roman" w:hAnsi="Times New Roman" w:cs="Times New Roman"/>
          <w:b/>
          <w:color w:val="auto"/>
          <w:sz w:val="24"/>
          <w:szCs w:val="24"/>
        </w:rPr>
        <w:t>3.</w:t>
      </w:r>
      <w:r>
        <w:rPr>
          <w:rFonts w:hint="eastAsia" w:cs="Times New Roman"/>
          <w:b/>
          <w:color w:val="auto"/>
          <w:sz w:val="24"/>
          <w:szCs w:val="24"/>
          <w:lang w:val="en-US" w:eastAsia="zh-CN"/>
        </w:rPr>
        <w:t>0</w:t>
      </w:r>
      <w:r>
        <w:rPr>
          <w:rFonts w:hint="default" w:ascii="Times New Roman" w:hAnsi="Times New Roman" w:cs="Times New Roman"/>
          <w:b/>
          <w:color w:val="auto"/>
          <w:sz w:val="24"/>
          <w:szCs w:val="24"/>
        </w:rPr>
        <w:t>.4</w:t>
      </w:r>
      <w:r>
        <w:rPr>
          <w:rFonts w:hint="default" w:ascii="Times New Roman" w:hAnsi="Times New Roman" w:cs="Times New Roman"/>
          <w:color w:val="auto"/>
          <w:sz w:val="24"/>
          <w:szCs w:val="24"/>
        </w:rPr>
        <w:t xml:space="preserve"> </w:t>
      </w:r>
      <w:r>
        <w:rPr>
          <w:rFonts w:hint="eastAsia"/>
          <w:color w:val="auto"/>
          <w:lang w:val="en-US" w:eastAsia="zh-CN"/>
        </w:rPr>
        <w:t>钢组件一般由钢板焊接形成，钢板一般采用Q355B钢。</w:t>
      </w:r>
    </w:p>
    <w:p w14:paraId="7DDE7184">
      <w:pPr>
        <w:pStyle w:val="49"/>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color w:val="auto"/>
          <w:lang w:val="en-US" w:eastAsia="zh-CN"/>
        </w:rPr>
      </w:pPr>
      <w:bookmarkStart w:id="208" w:name="OLE_LINK9"/>
      <w:r>
        <w:rPr>
          <w:rFonts w:hint="default" w:ascii="Times New Roman" w:hAnsi="Times New Roman" w:cs="Times New Roman"/>
          <w:b/>
          <w:color w:val="auto"/>
          <w:sz w:val="24"/>
          <w:szCs w:val="24"/>
        </w:rPr>
        <w:t>3.</w:t>
      </w:r>
      <w:r>
        <w:rPr>
          <w:rFonts w:hint="eastAsia" w:cs="Times New Roman"/>
          <w:b/>
          <w:color w:val="auto"/>
          <w:sz w:val="24"/>
          <w:szCs w:val="24"/>
          <w:lang w:val="en-US" w:eastAsia="zh-CN"/>
        </w:rPr>
        <w:t>0</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5</w:t>
      </w:r>
      <w:r>
        <w:rPr>
          <w:rFonts w:hint="default" w:ascii="Times New Roman" w:hAnsi="Times New Roman" w:cs="Times New Roman"/>
          <w:color w:val="auto"/>
          <w:sz w:val="24"/>
          <w:szCs w:val="24"/>
        </w:rPr>
        <w:t xml:space="preserve"> </w:t>
      </w:r>
      <w:r>
        <w:rPr>
          <w:rFonts w:hint="eastAsia"/>
          <w:color w:val="auto"/>
          <w:lang w:val="en-US" w:eastAsia="zh-CN"/>
        </w:rPr>
        <w:t>本条根据相关研究和工程经验，给出了钢组件螺栓连接采用的各种形式的预留连接杆、接缝内外螺母及垫圈的形式和性能等级</w:t>
      </w:r>
      <w:bookmarkEnd w:id="208"/>
      <w:r>
        <w:rPr>
          <w:rFonts w:hint="eastAsia"/>
          <w:color w:val="auto"/>
          <w:lang w:val="en-US" w:eastAsia="zh-CN"/>
        </w:rPr>
        <w:t>要求。</w:t>
      </w:r>
    </w:p>
    <w:p w14:paraId="4F67FD12">
      <w:pPr>
        <w:pStyle w:val="49"/>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color w:val="auto"/>
          <w:lang w:val="en-US" w:eastAsia="zh-CN"/>
        </w:rPr>
      </w:pPr>
      <w:r>
        <w:rPr>
          <w:rFonts w:hint="default" w:ascii="Times New Roman" w:hAnsi="Times New Roman" w:cs="Times New Roman"/>
          <w:b/>
          <w:color w:val="auto"/>
          <w:sz w:val="24"/>
          <w:szCs w:val="24"/>
        </w:rPr>
        <w:t>3.</w:t>
      </w:r>
      <w:r>
        <w:rPr>
          <w:rFonts w:hint="eastAsia" w:cs="Times New Roman"/>
          <w:b/>
          <w:color w:val="auto"/>
          <w:sz w:val="24"/>
          <w:szCs w:val="24"/>
          <w:lang w:val="en-US" w:eastAsia="zh-CN"/>
        </w:rPr>
        <w:t>0</w:t>
      </w:r>
      <w:r>
        <w:rPr>
          <w:rFonts w:hint="default" w:ascii="Times New Roman" w:hAnsi="Times New Roman" w:cs="Times New Roman"/>
          <w:b/>
          <w:color w:val="auto"/>
          <w:sz w:val="24"/>
          <w:szCs w:val="24"/>
        </w:rPr>
        <w:t>.</w:t>
      </w:r>
      <w:r>
        <w:rPr>
          <w:rFonts w:hint="eastAsia" w:ascii="Times New Roman" w:hAnsi="Times New Roman" w:cs="Times New Roman"/>
          <w:b/>
          <w:color w:val="auto"/>
          <w:sz w:val="24"/>
          <w:szCs w:val="24"/>
          <w:lang w:val="en-US" w:eastAsia="zh-CN"/>
        </w:rPr>
        <w:t>6</w:t>
      </w:r>
      <w:r>
        <w:rPr>
          <w:rFonts w:hint="default" w:ascii="Times New Roman" w:hAnsi="Times New Roman" w:cs="Times New Roman"/>
          <w:color w:val="auto"/>
          <w:sz w:val="24"/>
          <w:szCs w:val="24"/>
        </w:rPr>
        <w:t xml:space="preserve"> </w:t>
      </w:r>
      <w:r>
        <w:rPr>
          <w:rFonts w:hint="eastAsia"/>
          <w:color w:val="auto"/>
          <w:lang w:val="en-US" w:eastAsia="zh-CN"/>
        </w:rPr>
        <w:t>本条所规定的螺栓主要用于梁端钢组件与柱侧钢组件、节点域钢组件的螺栓连接，以及钢组件灌浆连接。</w:t>
      </w:r>
    </w:p>
    <w:p w14:paraId="583E7B6B">
      <w:pPr>
        <w:pStyle w:val="49"/>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b/>
          <w:bCs/>
          <w:color w:val="auto"/>
          <w:lang w:val="en-US" w:eastAsia="zh-CN"/>
        </w:rPr>
      </w:pPr>
      <w:r>
        <w:rPr>
          <w:rFonts w:hint="eastAsia"/>
          <w:b/>
          <w:bCs/>
          <w:color w:val="auto"/>
          <w:lang w:val="en-US" w:eastAsia="zh-CN"/>
        </w:rPr>
        <w:t xml:space="preserve">3.0.9 </w:t>
      </w:r>
      <w:r>
        <w:rPr>
          <w:rFonts w:hint="eastAsia" w:ascii="Times New Roman" w:hAnsi="Times New Roman" w:cs="Times New Roman"/>
          <w:color w:val="auto"/>
          <w:lang w:val="en-US" w:eastAsia="zh-CN"/>
        </w:rPr>
        <w:t>钢筋机械连接主要用于本规程中的C型梁柱连接，所用连接件可以采用挤压套筒、螺纹组合连接件、挤压组合连接件等。</w:t>
      </w:r>
    </w:p>
    <w:p w14:paraId="20CE7394">
      <w:pPr>
        <w:pStyle w:val="49"/>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ascii="Times New Roman" w:hAnsi="Times New Roman" w:cs="Times New Roman"/>
          <w:color w:val="000000"/>
          <w:sz w:val="21"/>
          <w:szCs w:val="21"/>
        </w:rPr>
      </w:pPr>
      <w:r>
        <w:rPr>
          <w:rFonts w:hint="default" w:ascii="Times New Roman" w:hAnsi="Times New Roman" w:cs="Times New Roman"/>
          <w:b/>
          <w:color w:val="auto"/>
          <w:sz w:val="24"/>
          <w:szCs w:val="24"/>
        </w:rPr>
        <w:t>3.</w:t>
      </w:r>
      <w:r>
        <w:rPr>
          <w:rFonts w:hint="eastAsia" w:cs="Times New Roman"/>
          <w:b/>
          <w:color w:val="auto"/>
          <w:sz w:val="24"/>
          <w:szCs w:val="24"/>
          <w:lang w:val="en-US" w:eastAsia="zh-CN"/>
        </w:rPr>
        <w:t>0.10</w:t>
      </w:r>
      <w:r>
        <w:rPr>
          <w:rFonts w:hint="default" w:ascii="Times New Roman" w:hAnsi="Times New Roman" w:cs="Times New Roman"/>
          <w:color w:val="auto"/>
          <w:sz w:val="24"/>
          <w:szCs w:val="24"/>
        </w:rPr>
        <w:t xml:space="preserve"> </w:t>
      </w:r>
      <w:r>
        <w:rPr>
          <w:rFonts w:hint="eastAsia"/>
          <w:color w:val="auto"/>
          <w:lang w:val="en-US" w:eastAsia="zh-CN"/>
        </w:rPr>
        <w:t>本条根据相关研究和工程经验，给出了灌浆料抗压强度的最低要求。为与构件混凝土强度等级进行对比，灌浆料抗压强度标准试件采用尺寸为100m</w:t>
      </w:r>
      <w:r>
        <w:rPr>
          <w:rFonts w:hint="default" w:ascii="Times New Roman" w:hAnsi="Times New Roman" w:cs="Times New Roman"/>
          <w:color w:val="auto"/>
          <w:lang w:val="en-US" w:eastAsia="zh-CN"/>
        </w:rPr>
        <w:t>m×</w:t>
      </w: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0mm×</w:t>
      </w:r>
      <w:r>
        <w:rPr>
          <w:rFonts w:hint="eastAsia"/>
          <w:color w:val="auto"/>
          <w:lang w:val="en-US" w:eastAsia="zh-CN"/>
        </w:rPr>
        <w:t>100mm的立方体，抗压强度的检验按现行国家标准《混凝土物理力学性能试验方法标准》GB/T 50081的有关规定执行。</w:t>
      </w:r>
      <w:r>
        <w:rPr>
          <w:rFonts w:hint="default" w:ascii="Times New Roman" w:hAnsi="Times New Roman" w:cs="Times New Roman"/>
          <w:color w:val="000000"/>
          <w:sz w:val="21"/>
          <w:szCs w:val="21"/>
        </w:rPr>
        <w:t xml:space="preserve"> </w:t>
      </w:r>
    </w:p>
    <w:p w14:paraId="42F1422C">
      <w:pPr>
        <w:spacing w:line="500" w:lineRule="exact"/>
        <w:ind w:firstLine="411" w:firstLineChars="196"/>
        <w:rPr>
          <w:rFonts w:hint="default" w:ascii="Times New Roman" w:hAnsi="Times New Roman" w:cs="Times New Roman"/>
          <w:color w:val="000000"/>
          <w:sz w:val="21"/>
          <w:szCs w:val="21"/>
        </w:rPr>
        <w:sectPr>
          <w:pgSz w:w="11906" w:h="16838"/>
          <w:pgMar w:top="1440" w:right="1803" w:bottom="1440" w:left="1803" w:header="851" w:footer="992" w:gutter="0"/>
          <w:pgNumType w:fmt="decimal"/>
          <w:cols w:space="720" w:num="1"/>
          <w:docGrid w:type="lines" w:linePitch="340" w:charSpace="0"/>
        </w:sectPr>
      </w:pPr>
    </w:p>
    <w:p w14:paraId="2C5A598C">
      <w:pPr>
        <w:pStyle w:val="110"/>
        <w:keepNext/>
        <w:keepLines/>
        <w:pageBreakBefore w:val="0"/>
        <w:widowControl w:val="0"/>
        <w:kinsoku/>
        <w:wordWrap/>
        <w:overflowPunct/>
        <w:topLinePunct w:val="0"/>
        <w:autoSpaceDE/>
        <w:autoSpaceDN/>
        <w:bidi w:val="0"/>
        <w:adjustRightInd w:val="0"/>
        <w:snapToGrid w:val="0"/>
        <w:spacing w:before="170" w:beforeLines="50" w:after="170" w:afterLines="50" w:line="360" w:lineRule="exact"/>
        <w:ind w:left="0" w:leftChars="0" w:firstLine="0" w:firstLineChars="0"/>
        <w:jc w:val="center"/>
        <w:textAlignment w:val="auto"/>
        <w:rPr>
          <w:rFonts w:hint="default" w:ascii="Times New Roman" w:hAnsi="Times New Roman" w:eastAsia="宋体" w:cs="Times New Roman"/>
          <w:b/>
          <w:kern w:val="2"/>
          <w:sz w:val="28"/>
          <w:szCs w:val="20"/>
          <w:lang w:val="en-US" w:eastAsia="zh-CN" w:bidi="ar-SA"/>
        </w:rPr>
      </w:pPr>
      <w:bookmarkStart w:id="209" w:name="_Toc9873"/>
      <w:bookmarkStart w:id="210" w:name="_Toc13790"/>
      <w:bookmarkStart w:id="211" w:name="_Toc31699"/>
      <w:bookmarkStart w:id="212" w:name="_Toc25475"/>
      <w:bookmarkStart w:id="213" w:name="_Toc31444"/>
      <w:bookmarkStart w:id="214" w:name="_Toc11979"/>
      <w:bookmarkStart w:id="215" w:name="_Toc23540"/>
      <w:bookmarkStart w:id="216" w:name="_Toc25746"/>
      <w:bookmarkStart w:id="217" w:name="_Toc19056"/>
      <w:bookmarkStart w:id="218" w:name="_Toc21314"/>
      <w:bookmarkStart w:id="219" w:name="_Toc4675"/>
      <w:bookmarkStart w:id="220" w:name="_Toc28636"/>
      <w:bookmarkStart w:id="221" w:name="_Toc28407"/>
      <w:bookmarkStart w:id="222" w:name="_Toc26039"/>
      <w:bookmarkStart w:id="223" w:name="_Toc21199"/>
      <w:bookmarkStart w:id="224" w:name="_Toc9338"/>
      <w:bookmarkStart w:id="225" w:name="_Toc24035"/>
      <w:bookmarkStart w:id="226" w:name="_Toc20954"/>
      <w:bookmarkStart w:id="227" w:name="_Toc16740"/>
      <w:bookmarkStart w:id="228" w:name="_Toc17585"/>
      <w:bookmarkStart w:id="229" w:name="_Toc1444"/>
      <w:bookmarkStart w:id="230" w:name="_Toc26388"/>
      <w:r>
        <w:rPr>
          <w:rFonts w:hint="default" w:ascii="Times New Roman" w:hAnsi="Times New Roman" w:eastAsia="宋体" w:cs="Times New Roman"/>
          <w:b/>
          <w:kern w:val="2"/>
          <w:sz w:val="28"/>
          <w:szCs w:val="20"/>
          <w:lang w:val="en-US" w:eastAsia="zh-CN" w:bidi="ar-SA"/>
        </w:rPr>
        <w:t xml:space="preserve">4  </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hint="eastAsia" w:cs="Times New Roman"/>
          <w:b/>
          <w:kern w:val="2"/>
          <w:sz w:val="28"/>
          <w:szCs w:val="20"/>
          <w:lang w:val="en-US" w:eastAsia="zh-CN" w:bidi="ar-SA"/>
        </w:rPr>
        <w:t>设计基本规定</w:t>
      </w:r>
      <w:bookmarkEnd w:id="223"/>
      <w:bookmarkEnd w:id="224"/>
      <w:bookmarkEnd w:id="225"/>
      <w:bookmarkEnd w:id="226"/>
      <w:bookmarkEnd w:id="227"/>
      <w:bookmarkEnd w:id="228"/>
      <w:bookmarkEnd w:id="229"/>
      <w:bookmarkEnd w:id="230"/>
    </w:p>
    <w:p w14:paraId="49647E2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eastAsia="宋体"/>
          <w:color w:val="auto"/>
          <w:highlight w:val="none"/>
          <w:lang w:val="en-US" w:eastAsia="zh-CN"/>
        </w:rPr>
      </w:pPr>
      <w:r>
        <w:rPr>
          <w:rFonts w:hint="default" w:ascii="Times New Roman" w:hAnsi="Times New Roman" w:cs="Times New Roman"/>
          <w:b/>
          <w:color w:val="auto"/>
          <w:sz w:val="24"/>
          <w:szCs w:val="24"/>
          <w:highlight w:val="none"/>
        </w:rPr>
        <w:t>4.</w:t>
      </w:r>
      <w:r>
        <w:rPr>
          <w:rFonts w:hint="eastAsia" w:cs="Times New Roman"/>
          <w:b/>
          <w:color w:val="auto"/>
          <w:sz w:val="24"/>
          <w:szCs w:val="24"/>
          <w:highlight w:val="none"/>
          <w:lang w:val="en-US" w:eastAsia="zh-CN"/>
        </w:rPr>
        <w:t>0</w:t>
      </w:r>
      <w:r>
        <w:rPr>
          <w:rFonts w:hint="default" w:ascii="Times New Roman" w:hAnsi="Times New Roman" w:cs="Times New Roman"/>
          <w:b/>
          <w:color w:val="auto"/>
          <w:sz w:val="24"/>
          <w:szCs w:val="24"/>
          <w:highlight w:val="none"/>
        </w:rPr>
        <w:t xml:space="preserve">.1 </w:t>
      </w:r>
      <w:r>
        <w:rPr>
          <w:rFonts w:hint="eastAsia" w:cs="Times New Roman"/>
          <w:b w:val="0"/>
          <w:bCs/>
          <w:color w:val="auto"/>
          <w:sz w:val="24"/>
          <w:szCs w:val="24"/>
          <w:highlight w:val="none"/>
          <w:lang w:val="en-US" w:eastAsia="zh-CN"/>
        </w:rPr>
        <w:t>采用钢组件框架结构的建筑应按装配式建筑进行设计，相比非装配式建筑，应注重系统化、集成化设计。模数和模数协调是实现装配式建筑标准化设计的重要基础，涉及装配式建筑产业链上的各个环节。少规格、多组合是装配式建筑设计的重要原则，减少部品部件的规格种类及提高部品部件模板的重复使用率，有利于部品部件的制作与施工，有利于提高生产速度和工人的劳动效率，从而降低造价。</w:t>
      </w:r>
    </w:p>
    <w:p w14:paraId="5390C67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color w:val="auto"/>
          <w:highlight w:val="none"/>
          <w:lang w:val="en-US" w:eastAsia="zh-CN"/>
        </w:rPr>
      </w:pPr>
      <w:r>
        <w:rPr>
          <w:rFonts w:hint="eastAsia"/>
          <w:b/>
          <w:bCs/>
          <w:color w:val="auto"/>
          <w:highlight w:val="none"/>
          <w:lang w:val="en-US" w:eastAsia="zh-CN"/>
        </w:rPr>
        <w:t>4.0.2</w:t>
      </w:r>
      <w:r>
        <w:rPr>
          <w:rFonts w:hint="eastAsia"/>
          <w:color w:val="auto"/>
          <w:highlight w:val="none"/>
          <w:lang w:val="en-US" w:eastAsia="zh-CN"/>
        </w:rPr>
        <w:t xml:space="preserve"> 本条规定了钢组件框架结构中构件和连接节点可采用形式，并明确要求各类连接节点均不应先于被连接构件破坏，以保证结构构件的受力性能和结构整体抗震性能。</w:t>
      </w:r>
    </w:p>
    <w:p w14:paraId="445980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b w:val="0"/>
          <w:bCs w:val="0"/>
          <w:color w:val="auto"/>
          <w:highlight w:val="none"/>
          <w:lang w:val="en-US" w:eastAsia="zh-CN"/>
        </w:rPr>
      </w:pPr>
      <w:r>
        <w:rPr>
          <w:rFonts w:hint="eastAsia"/>
          <w:b/>
          <w:bCs/>
          <w:color w:val="auto"/>
          <w:highlight w:val="none"/>
          <w:lang w:val="en-US" w:eastAsia="zh-CN"/>
        </w:rPr>
        <w:t xml:space="preserve">4.0.3 </w:t>
      </w:r>
      <w:r>
        <w:rPr>
          <w:rFonts w:hint="eastAsia"/>
          <w:b w:val="0"/>
          <w:bCs w:val="0"/>
          <w:color w:val="auto"/>
          <w:highlight w:val="none"/>
          <w:lang w:val="en-US" w:eastAsia="zh-CN"/>
        </w:rPr>
        <w:t>本条规定了钢组件框架结构的楼盖设计原则。为了实现结构全部免支撑施工，应优先采用可实现免支撑的楼板。对于主次梁连接，优先采用铰接连接。</w:t>
      </w:r>
    </w:p>
    <w:p w14:paraId="77DB274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b/>
          <w:bCs/>
          <w:color w:val="auto"/>
          <w:highlight w:val="none"/>
          <w:lang w:val="en-US" w:eastAsia="zh-CN"/>
        </w:rPr>
        <w:t>4.0.4</w:t>
      </w:r>
      <w:r>
        <w:rPr>
          <w:rFonts w:hint="eastAsia"/>
          <w:color w:val="auto"/>
          <w:highlight w:val="none"/>
          <w:lang w:val="en-US" w:eastAsia="zh-CN"/>
        </w:rPr>
        <w:t xml:space="preserve"> 钢</w:t>
      </w:r>
      <w:r>
        <w:rPr>
          <w:rFonts w:hint="eastAsia"/>
          <w:color w:val="auto"/>
          <w:highlight w:val="none"/>
          <w:lang w:eastAsia="zh-CN"/>
        </w:rPr>
        <w:t>组件框架结构作</w:t>
      </w:r>
      <w:r>
        <w:rPr>
          <w:rFonts w:hint="eastAsia"/>
          <w:color w:val="auto"/>
          <w:highlight w:val="none"/>
        </w:rPr>
        <w:t>为装配整体式</w:t>
      </w:r>
      <w:r>
        <w:rPr>
          <w:rFonts w:hint="eastAsia"/>
          <w:color w:val="auto"/>
          <w:highlight w:val="none"/>
          <w:lang w:val="en-US" w:eastAsia="zh-CN"/>
        </w:rPr>
        <w:t>混凝土</w:t>
      </w:r>
      <w:r>
        <w:rPr>
          <w:rFonts w:hint="eastAsia"/>
          <w:color w:val="auto"/>
          <w:highlight w:val="none"/>
        </w:rPr>
        <w:t>框架结构</w:t>
      </w:r>
      <w:r>
        <w:rPr>
          <w:rFonts w:hint="eastAsia"/>
          <w:color w:val="auto"/>
          <w:highlight w:val="none"/>
          <w:lang w:val="en-US" w:eastAsia="zh-CN"/>
        </w:rPr>
        <w:t>中的一类</w:t>
      </w:r>
      <w:r>
        <w:rPr>
          <w:rFonts w:hint="eastAsia"/>
          <w:color w:val="auto"/>
          <w:highlight w:val="none"/>
          <w:lang w:eastAsia="zh-CN"/>
        </w:rPr>
        <w:t>，</w:t>
      </w:r>
      <w:r>
        <w:rPr>
          <w:rFonts w:hint="eastAsia"/>
          <w:color w:val="auto"/>
          <w:highlight w:val="none"/>
        </w:rPr>
        <w:t>其最大适用高度</w:t>
      </w:r>
      <w:r>
        <w:rPr>
          <w:rFonts w:hint="eastAsia"/>
          <w:color w:val="auto"/>
          <w:highlight w:val="none"/>
          <w:lang w:val="en-US" w:eastAsia="zh-CN"/>
        </w:rPr>
        <w:t>可以</w:t>
      </w:r>
      <w:r>
        <w:rPr>
          <w:rFonts w:hint="eastAsia"/>
          <w:color w:val="auto"/>
          <w:highlight w:val="none"/>
        </w:rPr>
        <w:t>参照现行行业标准《装配式混凝土结构技术规程》JGJ 1对装配整体式框架结构房屋的规定取值。</w:t>
      </w:r>
      <w:r>
        <w:rPr>
          <w:rFonts w:hint="eastAsia"/>
          <w:color w:val="auto"/>
          <w:highlight w:val="none"/>
          <w:lang w:val="en-US" w:eastAsia="zh-CN"/>
        </w:rPr>
        <w:t>异形柱钢组件框架结构的最大适用高度参考了现行行业标准《混凝土异形柱结构技术规程》JGJ 149。</w:t>
      </w:r>
    </w:p>
    <w:p w14:paraId="641FA320">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color w:val="auto"/>
          <w:highlight w:val="none"/>
          <w:lang w:eastAsia="zh-CN"/>
        </w:rPr>
      </w:pPr>
      <w:r>
        <w:rPr>
          <w:rFonts w:hint="default" w:ascii="Times New Roman" w:hAnsi="Times New Roman" w:cs="Times New Roman"/>
          <w:b/>
          <w:color w:val="auto"/>
          <w:sz w:val="24"/>
          <w:szCs w:val="24"/>
          <w:highlight w:val="none"/>
        </w:rPr>
        <w:t>4.</w:t>
      </w:r>
      <w:r>
        <w:rPr>
          <w:rFonts w:hint="eastAsia" w:cs="Times New Roman"/>
          <w:b/>
          <w:color w:val="auto"/>
          <w:sz w:val="24"/>
          <w:szCs w:val="24"/>
          <w:highlight w:val="none"/>
          <w:lang w:val="en-US" w:eastAsia="zh-CN"/>
        </w:rPr>
        <w:t>0.5</w:t>
      </w:r>
      <w:r>
        <w:rPr>
          <w:rFonts w:hint="default" w:ascii="Times New Roman" w:hAnsi="Times New Roman" w:cs="Times New Roman"/>
          <w:b/>
          <w:color w:val="auto"/>
          <w:sz w:val="24"/>
          <w:szCs w:val="24"/>
          <w:highlight w:val="none"/>
        </w:rPr>
        <w:t xml:space="preserve"> </w:t>
      </w:r>
      <w:r>
        <w:rPr>
          <w:rFonts w:hint="eastAsia"/>
          <w:color w:val="auto"/>
          <w:highlight w:val="none"/>
        </w:rPr>
        <w:t>高层</w:t>
      </w:r>
      <w:r>
        <w:rPr>
          <w:rFonts w:hint="eastAsia"/>
          <w:color w:val="auto"/>
          <w:highlight w:val="none"/>
          <w:lang w:val="en-US" w:eastAsia="zh-CN"/>
        </w:rPr>
        <w:t>矩形柱</w:t>
      </w:r>
      <w:r>
        <w:rPr>
          <w:rFonts w:hint="eastAsia"/>
          <w:color w:val="auto"/>
          <w:highlight w:val="none"/>
          <w:lang w:eastAsia="zh-CN"/>
        </w:rPr>
        <w:t>钢组件框架结构</w:t>
      </w:r>
      <w:r>
        <w:rPr>
          <w:rFonts w:hint="eastAsia"/>
          <w:color w:val="auto"/>
          <w:highlight w:val="none"/>
        </w:rPr>
        <w:t>的高宽比限值与高层</w:t>
      </w:r>
      <w:r>
        <w:rPr>
          <w:rFonts w:hint="eastAsia"/>
          <w:color w:val="auto"/>
          <w:highlight w:val="none"/>
          <w:lang w:val="en-US" w:eastAsia="zh-CN"/>
        </w:rPr>
        <w:t>现浇</w:t>
      </w:r>
      <w:r>
        <w:rPr>
          <w:rFonts w:hint="eastAsia"/>
          <w:color w:val="auto"/>
          <w:highlight w:val="none"/>
        </w:rPr>
        <w:t>混凝土</w:t>
      </w:r>
      <w:r>
        <w:rPr>
          <w:rFonts w:hint="eastAsia"/>
          <w:color w:val="auto"/>
          <w:highlight w:val="none"/>
          <w:lang w:val="en-US" w:eastAsia="zh-CN"/>
        </w:rPr>
        <w:t>框架</w:t>
      </w:r>
      <w:r>
        <w:rPr>
          <w:rFonts w:hint="eastAsia"/>
          <w:color w:val="auto"/>
          <w:highlight w:val="none"/>
        </w:rPr>
        <w:t>结构相同，</w:t>
      </w:r>
      <w:r>
        <w:rPr>
          <w:rFonts w:hint="eastAsia"/>
          <w:color w:val="auto"/>
          <w:highlight w:val="none"/>
          <w:lang w:val="en-US" w:eastAsia="zh-CN"/>
        </w:rPr>
        <w:t>异形柱钢组件框架结构的高宽比限值参考了现行行业标准《混凝土异形柱结构技术规程》JGJ 149</w:t>
      </w:r>
      <w:r>
        <w:rPr>
          <w:rFonts w:hint="eastAsia"/>
          <w:color w:val="auto"/>
          <w:highlight w:val="none"/>
          <w:lang w:eastAsia="zh-CN"/>
        </w:rPr>
        <w:t>。</w:t>
      </w:r>
    </w:p>
    <w:p w14:paraId="176E593E">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color w:val="auto"/>
          <w:sz w:val="24"/>
          <w:szCs w:val="24"/>
          <w:highlight w:val="none"/>
        </w:rPr>
        <w:t>4.</w:t>
      </w:r>
      <w:r>
        <w:rPr>
          <w:rFonts w:hint="eastAsia" w:cs="Times New Roman"/>
          <w:b/>
          <w:color w:val="auto"/>
          <w:sz w:val="24"/>
          <w:szCs w:val="24"/>
          <w:highlight w:val="none"/>
          <w:lang w:val="en-US" w:eastAsia="zh-CN"/>
        </w:rPr>
        <w:t>0.6</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color w:val="auto"/>
          <w:highlight w:val="none"/>
          <w:lang w:val="en-US" w:eastAsia="zh-CN"/>
        </w:rPr>
        <w:t>矩形柱</w:t>
      </w:r>
      <w:r>
        <w:rPr>
          <w:rFonts w:hint="eastAsia" w:ascii="Times New Roman" w:hAnsi="Times New Roman" w:cs="Times New Roman"/>
          <w:color w:val="auto"/>
          <w:highlight w:val="none"/>
          <w:lang w:eastAsia="zh-CN"/>
        </w:rPr>
        <w:t>钢组件</w:t>
      </w:r>
      <w:r>
        <w:rPr>
          <w:rFonts w:hint="eastAsia"/>
          <w:color w:val="auto"/>
          <w:highlight w:val="none"/>
          <w:lang w:eastAsia="zh-CN"/>
        </w:rPr>
        <w:t>框架结构</w:t>
      </w:r>
      <w:r>
        <w:rPr>
          <w:rFonts w:hint="eastAsia"/>
          <w:color w:val="auto"/>
          <w:highlight w:val="none"/>
        </w:rPr>
        <w:t>的抗震等级与</w:t>
      </w:r>
      <w:r>
        <w:rPr>
          <w:rFonts w:hint="eastAsia"/>
          <w:color w:val="auto"/>
          <w:highlight w:val="none"/>
          <w:lang w:val="en-US" w:eastAsia="zh-CN"/>
        </w:rPr>
        <w:t>现浇</w:t>
      </w:r>
      <w:r>
        <w:rPr>
          <w:rFonts w:hint="eastAsia"/>
          <w:color w:val="auto"/>
          <w:highlight w:val="none"/>
        </w:rPr>
        <w:t>混凝土框架结构相同，本条参考了国家现行标准</w:t>
      </w:r>
      <w:r>
        <w:rPr>
          <w:rFonts w:hint="eastAsia"/>
          <w:color w:val="auto"/>
          <w:highlight w:val="none"/>
          <w:lang w:eastAsia="zh-CN"/>
        </w:rPr>
        <w:t>《建筑抗震设计标准》GB/T 50011</w:t>
      </w:r>
      <w:r>
        <w:rPr>
          <w:rFonts w:hint="eastAsia"/>
          <w:color w:val="auto"/>
          <w:highlight w:val="none"/>
        </w:rPr>
        <w:t>和《高层建筑混凝土结构技术规程》JGJ 3对钢筋混凝土框架结构的规定。</w:t>
      </w:r>
      <w:r>
        <w:rPr>
          <w:rFonts w:hint="eastAsia"/>
          <w:color w:val="auto"/>
          <w:highlight w:val="none"/>
          <w:lang w:val="en-US" w:eastAsia="zh-CN"/>
        </w:rPr>
        <w:t>异形柱钢组件框架结构的抗震等级参考了现行行业标准《混凝土异形柱结构技术规程》JGJ 149。</w:t>
      </w:r>
    </w:p>
    <w:p w14:paraId="6A7A361D">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default" w:ascii="Times New Roman" w:hAnsi="Times New Roman" w:cs="Times New Roman"/>
          <w:b/>
          <w:color w:val="auto"/>
          <w:sz w:val="24"/>
          <w:szCs w:val="24"/>
          <w:highlight w:val="none"/>
        </w:rPr>
        <w:t>4.</w:t>
      </w:r>
      <w:r>
        <w:rPr>
          <w:rFonts w:hint="eastAsia" w:cs="Times New Roman"/>
          <w:b/>
          <w:color w:val="auto"/>
          <w:sz w:val="24"/>
          <w:szCs w:val="24"/>
          <w:highlight w:val="none"/>
          <w:lang w:val="en-US" w:eastAsia="zh-CN"/>
        </w:rPr>
        <w:t>0.8</w:t>
      </w:r>
      <w:r>
        <w:rPr>
          <w:rFonts w:hint="default" w:ascii="Times New Roman" w:hAnsi="Times New Roman" w:cs="Times New Roman"/>
          <w:b/>
          <w:color w:val="auto"/>
          <w:sz w:val="24"/>
          <w:szCs w:val="24"/>
          <w:highlight w:val="none"/>
        </w:rPr>
        <w:t xml:space="preserve"> </w:t>
      </w:r>
      <w:r>
        <w:rPr>
          <w:rFonts w:hint="eastAsia"/>
          <w:color w:val="auto"/>
          <w:highlight w:val="none"/>
          <w:lang w:eastAsia="zh-CN"/>
        </w:rPr>
        <w:t>钢组件框架结构</w:t>
      </w:r>
      <w:r>
        <w:rPr>
          <w:rFonts w:hint="eastAsia"/>
          <w:color w:val="auto"/>
          <w:highlight w:val="none"/>
        </w:rPr>
        <w:t>的防震缝宽度取值</w:t>
      </w:r>
      <w:r>
        <w:rPr>
          <w:rFonts w:hint="eastAsia"/>
          <w:color w:val="auto"/>
          <w:highlight w:val="none"/>
          <w:lang w:val="en-US" w:eastAsia="zh-CN"/>
        </w:rPr>
        <w:t>同现浇</w:t>
      </w:r>
      <w:r>
        <w:rPr>
          <w:rFonts w:hint="eastAsia"/>
          <w:color w:val="auto"/>
          <w:highlight w:val="none"/>
        </w:rPr>
        <w:t>混凝土框架结构，</w:t>
      </w:r>
      <w:r>
        <w:rPr>
          <w:rFonts w:hint="eastAsia"/>
          <w:color w:val="auto"/>
          <w:highlight w:val="none"/>
          <w:lang w:val="en-US" w:eastAsia="zh-CN"/>
        </w:rPr>
        <w:t>本条参考了</w:t>
      </w:r>
      <w:r>
        <w:rPr>
          <w:rFonts w:hint="eastAsia"/>
          <w:color w:val="auto"/>
          <w:highlight w:val="none"/>
        </w:rPr>
        <w:t>国家现行标准</w:t>
      </w:r>
      <w:r>
        <w:rPr>
          <w:rFonts w:hint="eastAsia"/>
          <w:color w:val="auto"/>
          <w:highlight w:val="none"/>
          <w:lang w:eastAsia="zh-CN"/>
        </w:rPr>
        <w:t>《建筑抗震设计标准》GB/T 50011</w:t>
      </w:r>
      <w:r>
        <w:rPr>
          <w:rFonts w:hint="eastAsia"/>
          <w:color w:val="auto"/>
          <w:highlight w:val="none"/>
        </w:rPr>
        <w:t>和《高层建筑混凝土结构技术规程》JGJ 3对钢筋混凝土框架结构的规定。</w:t>
      </w:r>
    </w:p>
    <w:p w14:paraId="036D0716">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highlight w:val="none"/>
          <w:lang w:val="en-US" w:eastAsia="zh-CN"/>
        </w:rPr>
      </w:pPr>
      <w:r>
        <w:rPr>
          <w:rFonts w:hint="eastAsia"/>
          <w:b/>
          <w:bCs/>
          <w:color w:val="auto"/>
          <w:highlight w:val="none"/>
          <w:lang w:val="en-US" w:eastAsia="zh-CN"/>
        </w:rPr>
        <w:t>4.0.9</w:t>
      </w:r>
      <w:r>
        <w:rPr>
          <w:rFonts w:hint="eastAsia"/>
          <w:color w:val="auto"/>
          <w:highlight w:val="none"/>
          <w:lang w:val="en-US" w:eastAsia="zh-CN"/>
        </w:rPr>
        <w:t xml:space="preserve"> 本条参考了国家现行标准《建筑抗震设计标准》GB/T 50011、《混凝土异形柱结构技术规程》JGJ 149和《构筑物抗震设计规范》GB 50191的有关规定。</w:t>
      </w:r>
    </w:p>
    <w:p w14:paraId="2DAD36C8">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highlight w:val="none"/>
          <w:lang w:val="en-US" w:eastAsia="zh-CN"/>
        </w:rPr>
      </w:pPr>
      <w:r>
        <w:rPr>
          <w:rFonts w:hint="eastAsia"/>
          <w:b/>
          <w:bCs/>
          <w:color w:val="auto"/>
          <w:highlight w:val="none"/>
          <w:lang w:val="en-US" w:eastAsia="zh-CN"/>
        </w:rPr>
        <w:t>4.0.10</w:t>
      </w:r>
      <w:r>
        <w:rPr>
          <w:rFonts w:hint="eastAsia"/>
          <w:color w:val="auto"/>
          <w:highlight w:val="none"/>
          <w:lang w:val="en-US" w:eastAsia="zh-CN"/>
        </w:rPr>
        <w:t xml:space="preserve"> 非承重外围护墙、内隔墙为钢组件框架结构建筑的重要组成部分，其做法影响着建筑使用功能，同时也影响主体结构的受力性能。本条主要参照装配式建筑的设计要求规定了外围护墙和内隔墙的技术原则。</w:t>
      </w:r>
    </w:p>
    <w:p w14:paraId="76D5997B">
      <w:pPr>
        <w:pStyle w:val="3"/>
        <w:keepNext/>
        <w:keepLines/>
        <w:pageBreakBefore w:val="0"/>
        <w:widowControl w:val="0"/>
        <w:kinsoku/>
        <w:wordWrap/>
        <w:overflowPunct/>
        <w:topLinePunct w:val="0"/>
        <w:autoSpaceDE/>
        <w:autoSpaceDN/>
        <w:bidi w:val="0"/>
        <w:adjustRightInd w:val="0"/>
        <w:snapToGrid w:val="0"/>
        <w:spacing w:before="170" w:beforeLines="50" w:after="170" w:afterLines="50" w:line="360" w:lineRule="exact"/>
        <w:ind w:left="0" w:leftChars="0" w:firstLine="0" w:firstLineChars="0"/>
        <w:jc w:val="center"/>
        <w:textAlignment w:val="auto"/>
        <w:rPr>
          <w:rFonts w:hint="default" w:ascii="Times New Roman" w:hAnsi="Times New Roman" w:eastAsia="宋体" w:cs="Times New Roman"/>
          <w:b/>
          <w:kern w:val="2"/>
          <w:sz w:val="28"/>
          <w:szCs w:val="20"/>
          <w:lang w:val="en-US" w:eastAsia="zh-CN" w:bidi="ar-SA"/>
        </w:rPr>
      </w:pPr>
      <w:r>
        <w:rPr>
          <w:rFonts w:hint="default" w:ascii="Times New Roman" w:hAnsi="Times New Roman" w:cs="Times New Roman"/>
          <w:color w:val="000000"/>
          <w:sz w:val="21"/>
          <w:szCs w:val="21"/>
        </w:rPr>
        <w:br w:type="page"/>
      </w:r>
      <w:bookmarkStart w:id="231" w:name="_Toc21311"/>
      <w:bookmarkStart w:id="232" w:name="_Toc11666"/>
      <w:bookmarkStart w:id="233" w:name="_Toc19189"/>
      <w:bookmarkStart w:id="234" w:name="_Toc20881"/>
      <w:bookmarkStart w:id="235" w:name="_Toc9846"/>
      <w:bookmarkStart w:id="236" w:name="_Toc29759"/>
      <w:bookmarkStart w:id="237" w:name="_Toc20986"/>
      <w:bookmarkStart w:id="238" w:name="_Toc29569"/>
      <w:bookmarkStart w:id="239" w:name="_Toc15585"/>
      <w:bookmarkStart w:id="240" w:name="_Toc24302"/>
      <w:bookmarkStart w:id="241" w:name="_Toc26695"/>
      <w:bookmarkStart w:id="242" w:name="_Toc19816"/>
      <w:bookmarkStart w:id="243" w:name="_Toc10076"/>
      <w:r>
        <w:rPr>
          <w:rFonts w:hint="default" w:ascii="Times New Roman" w:hAnsi="Times New Roman" w:eastAsia="宋体" w:cs="Times New Roman"/>
          <w:b/>
          <w:kern w:val="2"/>
          <w:sz w:val="28"/>
          <w:szCs w:val="20"/>
          <w:lang w:val="en-US" w:eastAsia="zh-CN" w:bidi="ar-SA"/>
        </w:rPr>
        <w:t xml:space="preserve">5  </w:t>
      </w:r>
      <w:r>
        <w:rPr>
          <w:rFonts w:hint="eastAsia" w:ascii="Times New Roman" w:hAnsi="Times New Roman" w:cs="Times New Roman"/>
          <w:b/>
          <w:kern w:val="2"/>
          <w:sz w:val="28"/>
          <w:szCs w:val="20"/>
          <w:lang w:val="en-US" w:eastAsia="zh-CN" w:bidi="ar-SA"/>
        </w:rPr>
        <w:t>结构分析与构件设计</w:t>
      </w:r>
      <w:bookmarkEnd w:id="231"/>
      <w:bookmarkEnd w:id="232"/>
      <w:bookmarkEnd w:id="233"/>
      <w:bookmarkEnd w:id="234"/>
      <w:bookmarkEnd w:id="235"/>
      <w:bookmarkEnd w:id="236"/>
      <w:bookmarkEnd w:id="237"/>
    </w:p>
    <w:p w14:paraId="35D1D07F">
      <w:pPr>
        <w:pStyle w:val="41"/>
        <w:numPr>
          <w:ilvl w:val="1"/>
          <w:numId w:val="0"/>
        </w:numPr>
        <w:spacing w:before="312" w:after="312"/>
        <w:ind w:leftChars="0"/>
        <w:jc w:val="center"/>
        <w:rPr>
          <w:rFonts w:hint="default"/>
          <w:lang w:val="en-US"/>
        </w:rPr>
      </w:pPr>
      <w:bookmarkStart w:id="244" w:name="_Toc5666"/>
      <w:bookmarkStart w:id="245" w:name="_Toc23457"/>
      <w:bookmarkStart w:id="246" w:name="_Toc25308"/>
      <w:bookmarkStart w:id="247" w:name="_Toc30778"/>
      <w:bookmarkStart w:id="248" w:name="_Toc14178"/>
      <w:bookmarkStart w:id="249" w:name="_Toc2241"/>
      <w:bookmarkStart w:id="250" w:name="_Toc28291"/>
      <w:r>
        <w:rPr>
          <w:rFonts w:hint="eastAsia"/>
          <w:lang w:val="en-US" w:eastAsia="zh-CN"/>
        </w:rPr>
        <w:t>5.1 结构分析</w:t>
      </w:r>
      <w:bookmarkEnd w:id="244"/>
      <w:bookmarkEnd w:id="245"/>
      <w:bookmarkEnd w:id="246"/>
      <w:bookmarkEnd w:id="247"/>
      <w:bookmarkEnd w:id="248"/>
      <w:bookmarkEnd w:id="249"/>
      <w:bookmarkEnd w:id="250"/>
    </w:p>
    <w:bookmarkEnd w:id="238"/>
    <w:p w14:paraId="54633BB3">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rPr>
      </w:pPr>
      <w:r>
        <w:rPr>
          <w:rFonts w:hint="eastAsia" w:ascii="Times New Roman" w:hAnsi="Times New Roman" w:cs="Times New Roman"/>
          <w:b/>
          <w:color w:val="000000"/>
          <w:sz w:val="24"/>
          <w:szCs w:val="24"/>
          <w:lang w:val="en-US" w:eastAsia="zh-CN"/>
        </w:rPr>
        <w:t>5.1.2</w:t>
      </w:r>
      <w:r>
        <w:rPr>
          <w:rFonts w:hint="default" w:ascii="Times New Roman" w:hAnsi="Times New Roman" w:cs="Times New Roman"/>
          <w:b/>
          <w:color w:val="000000"/>
          <w:sz w:val="24"/>
          <w:szCs w:val="24"/>
        </w:rPr>
        <w:t xml:space="preserve"> </w:t>
      </w:r>
      <w:r>
        <w:rPr>
          <w:rFonts w:hint="eastAsia"/>
          <w:color w:val="auto"/>
          <w:lang w:eastAsia="zh-CN"/>
        </w:rPr>
        <w:t>根据试验研究</w:t>
      </w:r>
      <w:r>
        <w:rPr>
          <w:rFonts w:hint="eastAsia"/>
          <w:color w:val="auto"/>
          <w:lang w:val="en-US" w:eastAsia="zh-CN"/>
        </w:rPr>
        <w:t>和理论分析</w:t>
      </w:r>
      <w:r>
        <w:rPr>
          <w:rFonts w:hint="eastAsia"/>
          <w:color w:val="auto"/>
          <w:lang w:eastAsia="zh-CN"/>
        </w:rPr>
        <w:t>结果，</w:t>
      </w:r>
      <w:r>
        <w:rPr>
          <w:rFonts w:hint="eastAsia"/>
          <w:color w:val="auto"/>
          <w:lang w:val="en-US" w:eastAsia="zh-CN"/>
        </w:rPr>
        <w:t>采用</w:t>
      </w:r>
      <w:r>
        <w:rPr>
          <w:rFonts w:hint="eastAsia"/>
          <w:color w:val="auto"/>
          <w:lang w:eastAsia="zh-CN"/>
        </w:rPr>
        <w:t>钢组件</w:t>
      </w:r>
      <w:r>
        <w:rPr>
          <w:rFonts w:hint="eastAsia"/>
          <w:color w:val="auto"/>
          <w:lang w:val="en-US" w:eastAsia="zh-CN"/>
        </w:rPr>
        <w:t>连接的装配式混凝土</w:t>
      </w:r>
      <w:r>
        <w:rPr>
          <w:rFonts w:hint="eastAsia"/>
          <w:color w:val="auto"/>
          <w:lang w:eastAsia="zh-CN"/>
        </w:rPr>
        <w:t>框架结构的</w:t>
      </w:r>
      <w:r>
        <w:rPr>
          <w:rFonts w:hint="eastAsia"/>
          <w:color w:val="auto"/>
          <w:lang w:val="en-US" w:eastAsia="zh-CN"/>
        </w:rPr>
        <w:t>构件及</w:t>
      </w:r>
      <w:r>
        <w:rPr>
          <w:rFonts w:hint="eastAsia"/>
          <w:color w:val="auto"/>
          <w:lang w:eastAsia="zh-CN"/>
        </w:rPr>
        <w:t>节点可实现受力性能等同现浇，故可采用与现浇结构相同的方法进行结构分析。在竖向荷载、风荷载以及多遇地震作用下，结构处于弹性状态，其内力和变形计算可采用弹性方法进行。</w:t>
      </w:r>
    </w:p>
    <w:p w14:paraId="6277F3BE">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szCs w:val="24"/>
          <w:lang w:val="en-US"/>
        </w:rPr>
      </w:pPr>
      <w:r>
        <w:rPr>
          <w:rFonts w:hint="eastAsia" w:ascii="Times New Roman" w:hAnsi="Times New Roman" w:cs="Times New Roman"/>
          <w:b/>
          <w:color w:val="auto"/>
          <w:sz w:val="24"/>
          <w:szCs w:val="24"/>
          <w:lang w:val="en-US" w:eastAsia="zh-CN"/>
        </w:rPr>
        <w:t>5.1</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3、5.1.4</w:t>
      </w:r>
      <w:r>
        <w:rPr>
          <w:rFonts w:hint="default" w:ascii="Times New Roman" w:hAnsi="Times New Roman" w:cs="Times New Roman"/>
          <w:b/>
          <w:color w:val="auto"/>
          <w:sz w:val="24"/>
          <w:szCs w:val="24"/>
        </w:rPr>
        <w:t xml:space="preserve"> </w:t>
      </w:r>
      <w:r>
        <w:rPr>
          <w:rFonts w:hint="eastAsia"/>
          <w:color w:val="auto"/>
          <w:lang w:eastAsia="zh-CN"/>
        </w:rPr>
        <w:t>这两条均参考</w:t>
      </w:r>
      <w:r>
        <w:rPr>
          <w:rFonts w:hint="eastAsia"/>
          <w:color w:val="auto"/>
          <w:lang w:val="en-US" w:eastAsia="zh-CN"/>
        </w:rPr>
        <w:t>了</w:t>
      </w:r>
      <w:r>
        <w:rPr>
          <w:rFonts w:hint="eastAsia"/>
          <w:color w:val="auto"/>
          <w:lang w:eastAsia="zh-CN"/>
        </w:rPr>
        <w:t>现行行业标准《高层建筑混凝土结构技术规程》JGJ 3的相关规定。</w:t>
      </w:r>
      <w:r>
        <w:rPr>
          <w:rFonts w:hint="eastAsia"/>
          <w:color w:val="auto"/>
          <w:lang w:val="en-US" w:eastAsia="zh-CN"/>
        </w:rPr>
        <w:t>当采用全预制实心楼板，且预制板之间、预制板与预制梁之间采用配筋后浇带连接时，可以按装配整体式楼盖考虑。</w:t>
      </w:r>
    </w:p>
    <w:p w14:paraId="2A784A5A">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Times New Roman" w:hAnsi="Times New Roman" w:cs="Times New Roman"/>
          <w:b/>
          <w:color w:val="auto"/>
          <w:sz w:val="24"/>
          <w:szCs w:val="24"/>
          <w:lang w:val="en-US" w:eastAsia="zh-CN"/>
        </w:rPr>
        <w:t>5.1</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5</w:t>
      </w:r>
      <w:r>
        <w:rPr>
          <w:rFonts w:hint="default" w:ascii="Times New Roman" w:hAnsi="Times New Roman" w:cs="Times New Roman"/>
          <w:b/>
          <w:color w:val="auto"/>
          <w:sz w:val="24"/>
          <w:szCs w:val="24"/>
        </w:rPr>
        <w:t xml:space="preserve"> </w:t>
      </w:r>
      <w:r>
        <w:rPr>
          <w:rFonts w:hint="eastAsia"/>
          <w:color w:val="auto"/>
          <w:lang w:val="en-US" w:eastAsia="zh-CN"/>
        </w:rPr>
        <w:t>本条参考了现行国家标准《装配式</w:t>
      </w:r>
      <w:bookmarkStart w:id="399" w:name="_GoBack"/>
      <w:bookmarkEnd w:id="399"/>
      <w:r>
        <w:rPr>
          <w:rFonts w:hint="eastAsia"/>
          <w:color w:val="auto"/>
          <w:lang w:val="en-US" w:eastAsia="zh-CN"/>
        </w:rPr>
        <w:t>混凝土建筑技术标准》GB/T 51231中关于采用轻质墙板时框架结构周期折减系数的规定。</w:t>
      </w:r>
    </w:p>
    <w:p w14:paraId="3C37E1F5">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b/>
          <w:bCs/>
          <w:color w:val="auto"/>
          <w:lang w:val="en-US" w:eastAsia="zh-CN"/>
        </w:rPr>
        <w:t>5.1.6、5.1.7</w:t>
      </w:r>
      <w:r>
        <w:rPr>
          <w:rFonts w:hint="eastAsia"/>
          <w:color w:val="auto"/>
          <w:lang w:val="en-US" w:eastAsia="zh-CN"/>
        </w:rPr>
        <w:t xml:space="preserve"> 钢组件框架结构的整体性能与现浇结构基本一致，这两条参考了国家现行标准《建筑抗震设计标准》GB/T 50011、《高层建筑混凝土结构技术规程》JGJ 3和《混凝土异形柱结构技术规程》JGJ 149的有关规定。</w:t>
      </w:r>
    </w:p>
    <w:p w14:paraId="4B5CD5B9">
      <w:pPr>
        <w:pStyle w:val="41"/>
        <w:numPr>
          <w:ilvl w:val="1"/>
          <w:numId w:val="0"/>
        </w:numPr>
        <w:spacing w:before="312" w:after="312"/>
        <w:ind w:leftChars="0"/>
        <w:jc w:val="center"/>
        <w:rPr>
          <w:rFonts w:hint="default"/>
          <w:lang w:val="en-US"/>
        </w:rPr>
      </w:pPr>
      <w:bookmarkStart w:id="251" w:name="_Toc5407"/>
      <w:bookmarkStart w:id="252" w:name="_Toc29657"/>
      <w:bookmarkStart w:id="253" w:name="_Toc915"/>
      <w:bookmarkStart w:id="254" w:name="_Toc20436"/>
      <w:bookmarkStart w:id="255" w:name="_Toc32067"/>
      <w:bookmarkStart w:id="256" w:name="_Toc11360"/>
      <w:bookmarkStart w:id="257" w:name="_Toc16120"/>
      <w:r>
        <w:rPr>
          <w:rFonts w:hint="eastAsia"/>
          <w:lang w:val="en-US" w:eastAsia="zh-CN"/>
        </w:rPr>
        <w:t>5.2 构件与钢组件设计</w:t>
      </w:r>
      <w:bookmarkEnd w:id="251"/>
      <w:bookmarkEnd w:id="252"/>
      <w:bookmarkEnd w:id="253"/>
      <w:bookmarkEnd w:id="254"/>
      <w:bookmarkEnd w:id="255"/>
      <w:bookmarkEnd w:id="256"/>
      <w:bookmarkEnd w:id="257"/>
    </w:p>
    <w:p w14:paraId="3DED0AB9">
      <w:pPr>
        <w:pStyle w:val="41"/>
        <w:numPr>
          <w:ilvl w:val="1"/>
          <w:numId w:val="0"/>
        </w:numPr>
        <w:spacing w:before="312" w:after="312"/>
        <w:ind w:leftChars="0"/>
        <w:jc w:val="center"/>
        <w:rPr>
          <w:rFonts w:hint="default" w:ascii="Times New Roman" w:hAnsi="Times New Roman" w:eastAsia="宋体" w:cs="Times New Roman"/>
          <w:color w:val="auto"/>
          <w:lang w:val="en-US" w:eastAsia="zh-CN"/>
        </w:rPr>
      </w:pPr>
      <w:bookmarkStart w:id="258" w:name="_Toc14531"/>
      <w:bookmarkStart w:id="259" w:name="_Toc20093"/>
      <w:bookmarkStart w:id="260" w:name="_Toc16268"/>
      <w:bookmarkStart w:id="261" w:name="_Toc28130"/>
      <w:bookmarkStart w:id="262" w:name="_Toc13292"/>
      <w:bookmarkStart w:id="263" w:name="_Toc1691"/>
      <w:r>
        <w:rPr>
          <w:rFonts w:hint="eastAsia" w:ascii="Times New Roman" w:hAnsi="Times New Roman" w:eastAsia="宋体" w:cs="Times New Roman"/>
          <w:color w:val="auto"/>
          <w:lang w:val="en-US" w:eastAsia="zh-CN"/>
        </w:rPr>
        <w:t>Ⅰ  一般规定</w:t>
      </w:r>
      <w:bookmarkEnd w:id="258"/>
      <w:bookmarkEnd w:id="259"/>
      <w:bookmarkEnd w:id="260"/>
      <w:bookmarkEnd w:id="261"/>
      <w:bookmarkEnd w:id="262"/>
      <w:bookmarkEnd w:id="263"/>
    </w:p>
    <w:p w14:paraId="78DDC6F1">
      <w:pPr>
        <w:pStyle w:val="49"/>
        <w:bidi w:val="0"/>
        <w:rPr>
          <w:rFonts w:hint="eastAsia"/>
          <w:color w:val="auto"/>
        </w:rPr>
      </w:pPr>
      <w:r>
        <w:rPr>
          <w:rFonts w:hint="default" w:ascii="Times New Roman" w:hAnsi="Times New Roman" w:cs="Times New Roman"/>
          <w:b/>
          <w:color w:val="auto"/>
          <w:sz w:val="24"/>
          <w:szCs w:val="24"/>
        </w:rPr>
        <w:t>5.</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1</w:t>
      </w:r>
      <w:r>
        <w:rPr>
          <w:rFonts w:hint="default" w:ascii="Times New Roman" w:hAnsi="Times New Roman" w:cs="Times New Roman"/>
          <w:b/>
          <w:color w:val="auto"/>
          <w:sz w:val="24"/>
          <w:szCs w:val="24"/>
        </w:rPr>
        <w:t xml:space="preserve"> </w:t>
      </w:r>
      <w:r>
        <w:rPr>
          <w:rFonts w:hint="eastAsia"/>
          <w:color w:val="auto"/>
          <w:lang w:eastAsia="zh-CN"/>
        </w:rPr>
        <w:t>钢组件框架结构</w:t>
      </w:r>
      <w:r>
        <w:rPr>
          <w:rFonts w:hint="eastAsia"/>
          <w:color w:val="auto"/>
          <w:lang w:val="en-US" w:eastAsia="zh-CN"/>
        </w:rPr>
        <w:t>中对</w:t>
      </w:r>
      <w:r>
        <w:rPr>
          <w:rFonts w:hint="eastAsia"/>
          <w:color w:val="auto"/>
        </w:rPr>
        <w:t>预制梁、预制柱两</w:t>
      </w:r>
      <w:r>
        <w:rPr>
          <w:rFonts w:hint="eastAsia"/>
          <w:color w:val="auto"/>
          <w:lang w:val="en-US" w:eastAsia="zh-CN"/>
        </w:rPr>
        <w:t>类</w:t>
      </w:r>
      <w:r>
        <w:rPr>
          <w:rFonts w:hint="eastAsia"/>
          <w:color w:val="auto"/>
        </w:rPr>
        <w:t>极限状态的设计规定，与现行国家标准</w:t>
      </w:r>
      <w:r>
        <w:rPr>
          <w:rFonts w:hint="eastAsia"/>
          <w:color w:val="auto"/>
          <w:lang w:eastAsia="zh-CN"/>
        </w:rPr>
        <w:t>《混凝土结构设计标准》GB/T 50010</w:t>
      </w:r>
      <w:r>
        <w:rPr>
          <w:rFonts w:hint="eastAsia"/>
          <w:color w:val="auto"/>
        </w:rPr>
        <w:t>、</w:t>
      </w:r>
      <w:r>
        <w:rPr>
          <w:rFonts w:hint="eastAsia"/>
          <w:color w:val="auto"/>
          <w:lang w:eastAsia="zh-CN"/>
        </w:rPr>
        <w:t>《建筑抗震设计标准》GB/T 50011</w:t>
      </w:r>
      <w:r>
        <w:rPr>
          <w:rFonts w:hint="eastAsia"/>
          <w:color w:val="auto"/>
        </w:rPr>
        <w:t>一致</w:t>
      </w:r>
      <w:r>
        <w:rPr>
          <w:rFonts w:hint="eastAsia"/>
          <w:color w:val="auto"/>
          <w:lang w:eastAsia="zh-CN"/>
        </w:rPr>
        <w:t>，</w:t>
      </w:r>
      <w:r>
        <w:rPr>
          <w:rFonts w:hint="eastAsia"/>
          <w:color w:val="auto"/>
          <w:lang w:val="en-US" w:eastAsia="zh-CN"/>
        </w:rPr>
        <w:t>对制作、运输和堆放、安装等短暂设计状况的施工验算需符合现行国家标准《混凝土结构工程施工规范》GB 50666的有关规定</w:t>
      </w:r>
      <w:r>
        <w:rPr>
          <w:rFonts w:hint="eastAsia"/>
          <w:color w:val="auto"/>
        </w:rPr>
        <w:t>。</w:t>
      </w:r>
    </w:p>
    <w:p w14:paraId="211F37D8">
      <w:pPr>
        <w:pStyle w:val="49"/>
        <w:bidi w:val="0"/>
        <w:rPr>
          <w:rFonts w:hint="eastAsia"/>
          <w:color w:val="auto"/>
        </w:rPr>
      </w:pPr>
      <w:r>
        <w:rPr>
          <w:rFonts w:hint="default" w:ascii="Times New Roman" w:hAnsi="Times New Roman" w:cs="Times New Roman"/>
          <w:b/>
          <w:color w:val="auto"/>
          <w:sz w:val="24"/>
          <w:szCs w:val="24"/>
        </w:rPr>
        <w:t>5.</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 xml:space="preserve"> </w:t>
      </w:r>
      <w:r>
        <w:rPr>
          <w:rFonts w:hint="eastAsia"/>
          <w:color w:val="auto"/>
        </w:rPr>
        <w:t>预制梁</w:t>
      </w:r>
      <w:r>
        <w:rPr>
          <w:rFonts w:hint="eastAsia"/>
          <w:color w:val="auto"/>
          <w:lang w:eastAsia="zh-CN"/>
        </w:rPr>
        <w:t>、</w:t>
      </w:r>
      <w:r>
        <w:rPr>
          <w:rFonts w:hint="eastAsia"/>
          <w:color w:val="auto"/>
        </w:rPr>
        <w:t>预制柱及</w:t>
      </w:r>
      <w:r>
        <w:rPr>
          <w:rFonts w:hint="eastAsia"/>
          <w:color w:val="auto"/>
          <w:lang w:val="en-US" w:eastAsia="zh-CN"/>
        </w:rPr>
        <w:t>钢组件件的</w:t>
      </w:r>
      <w:r>
        <w:rPr>
          <w:rFonts w:hint="eastAsia"/>
          <w:color w:val="auto"/>
        </w:rPr>
        <w:t>承载力抗震调整系数参照现行国家标准</w:t>
      </w:r>
      <w:r>
        <w:rPr>
          <w:rFonts w:hint="eastAsia"/>
          <w:color w:val="auto"/>
          <w:lang w:eastAsia="zh-CN"/>
        </w:rPr>
        <w:t>《建筑抗震设计标准》GB/T 50011</w:t>
      </w:r>
      <w:r>
        <w:rPr>
          <w:rFonts w:hint="eastAsia"/>
          <w:color w:val="auto"/>
        </w:rPr>
        <w:t>的</w:t>
      </w:r>
      <w:r>
        <w:rPr>
          <w:rFonts w:hint="eastAsia"/>
          <w:color w:val="auto"/>
          <w:lang w:val="en-US" w:eastAsia="zh-CN"/>
        </w:rPr>
        <w:t>有关</w:t>
      </w:r>
      <w:r>
        <w:rPr>
          <w:rFonts w:hint="eastAsia"/>
          <w:color w:val="auto"/>
        </w:rPr>
        <w:t>规定确定。</w:t>
      </w:r>
    </w:p>
    <w:p w14:paraId="5E592127">
      <w:pPr>
        <w:pStyle w:val="49"/>
        <w:bidi w:val="0"/>
        <w:rPr>
          <w:rFonts w:hint="eastAsia" w:cs="Times New Roman"/>
          <w:color w:val="auto"/>
          <w:lang w:eastAsia="zh-CN"/>
        </w:rPr>
      </w:pPr>
      <w:r>
        <w:rPr>
          <w:rFonts w:hint="eastAsia" w:ascii="Times New Roman" w:hAnsi="Times New Roman" w:eastAsia="宋体" w:cs="Times New Roman"/>
          <w:b/>
          <w:color w:val="auto"/>
          <w:sz w:val="24"/>
          <w:szCs w:val="24"/>
          <w:lang w:val="en-US" w:eastAsia="zh-CN"/>
        </w:rPr>
        <w:t xml:space="preserve">5.2.3 </w:t>
      </w:r>
      <w:r>
        <w:rPr>
          <w:rFonts w:hint="eastAsia" w:cs="Times New Roman"/>
          <w:color w:val="auto"/>
          <w:lang w:val="en-US" w:eastAsia="zh-CN"/>
        </w:rPr>
        <w:t>钢组</w:t>
      </w:r>
      <w:r>
        <w:rPr>
          <w:rFonts w:hint="eastAsia" w:cs="Times New Roman"/>
          <w:color w:val="auto"/>
          <w:lang w:eastAsia="zh-CN"/>
        </w:rPr>
        <w:t>件</w:t>
      </w:r>
      <w:r>
        <w:rPr>
          <w:rFonts w:hint="eastAsia" w:ascii="Times New Roman" w:hAnsi="Times New Roman" w:eastAsia="宋体" w:cs="Times New Roman"/>
          <w:color w:val="auto"/>
        </w:rPr>
        <w:t>是将</w:t>
      </w:r>
      <w:r>
        <w:rPr>
          <w:rFonts w:hint="eastAsia" w:ascii="Times New Roman" w:hAnsi="Times New Roman" w:eastAsia="宋体" w:cs="Times New Roman"/>
          <w:color w:val="auto"/>
          <w:lang w:eastAsia="zh-CN"/>
        </w:rPr>
        <w:t>预制构件连接</w:t>
      </w:r>
      <w:r>
        <w:rPr>
          <w:rFonts w:hint="eastAsia" w:cs="Times New Roman"/>
          <w:color w:val="auto"/>
          <w:lang w:val="en-US" w:eastAsia="zh-CN"/>
        </w:rPr>
        <w:t>成为</w:t>
      </w:r>
      <w:r>
        <w:rPr>
          <w:rFonts w:hint="eastAsia" w:ascii="Times New Roman" w:hAnsi="Times New Roman" w:eastAsia="宋体" w:cs="Times New Roman"/>
          <w:color w:val="auto"/>
          <w:lang w:eastAsia="zh-CN"/>
        </w:rPr>
        <w:t>整体框架</w:t>
      </w:r>
      <w:r>
        <w:rPr>
          <w:rFonts w:hint="eastAsia" w:ascii="Times New Roman" w:hAnsi="Times New Roman" w:eastAsia="宋体" w:cs="Times New Roman"/>
          <w:color w:val="auto"/>
        </w:rPr>
        <w:t>的关键</w:t>
      </w:r>
      <w:r>
        <w:rPr>
          <w:rFonts w:hint="eastAsia"/>
          <w:color w:val="auto"/>
          <w:lang w:val="en-US" w:eastAsia="zh-CN"/>
        </w:rPr>
        <w:t>组件</w:t>
      </w:r>
      <w:r>
        <w:rPr>
          <w:rFonts w:hint="eastAsia" w:ascii="Times New Roman" w:hAnsi="Times New Roman" w:eastAsia="宋体" w:cs="Times New Roman"/>
          <w:color w:val="auto"/>
        </w:rPr>
        <w:t>，</w:t>
      </w:r>
      <w:r>
        <w:rPr>
          <w:rFonts w:hint="eastAsia" w:cs="Times New Roman"/>
          <w:color w:val="auto"/>
          <w:lang w:val="en-US" w:eastAsia="zh-CN"/>
        </w:rPr>
        <w:t>需要保证</w:t>
      </w:r>
      <w:r>
        <w:rPr>
          <w:rFonts w:hint="eastAsia"/>
          <w:color w:val="auto"/>
          <w:lang w:val="en-US" w:eastAsia="zh-CN"/>
        </w:rPr>
        <w:t>节点域钢组件中隔板与侧板，以及柱端钢组件中侧板与侧板、底板、顶板实现等强连接</w:t>
      </w:r>
      <w:r>
        <w:rPr>
          <w:rFonts w:hint="eastAsia" w:cs="Times New Roman"/>
          <w:color w:val="auto"/>
          <w:lang w:eastAsia="zh-CN"/>
        </w:rPr>
        <w:t>。</w:t>
      </w:r>
    </w:p>
    <w:p w14:paraId="77E39FA6">
      <w:pPr>
        <w:pStyle w:val="49"/>
        <w:bidi w:val="0"/>
        <w:rPr>
          <w:rFonts w:hint="eastAsia"/>
          <w:color w:val="auto"/>
        </w:rPr>
      </w:pPr>
      <w:r>
        <w:rPr>
          <w:rFonts w:hint="eastAsia" w:ascii="Times New Roman" w:hAnsi="Times New Roman" w:eastAsia="宋体" w:cs="Times New Roman"/>
          <w:b/>
          <w:color w:val="auto"/>
          <w:sz w:val="24"/>
          <w:szCs w:val="24"/>
          <w:lang w:val="en-US" w:eastAsia="zh-CN"/>
        </w:rPr>
        <w:t xml:space="preserve">5.2.4 </w:t>
      </w:r>
      <w:r>
        <w:rPr>
          <w:rFonts w:hint="eastAsia"/>
          <w:color w:val="auto"/>
        </w:rPr>
        <w:t>当预制</w:t>
      </w:r>
      <w:r>
        <w:rPr>
          <w:rFonts w:hint="eastAsia"/>
          <w:color w:val="auto"/>
          <w:lang w:val="en-US" w:eastAsia="zh-CN"/>
        </w:rPr>
        <w:t>梁、</w:t>
      </w:r>
      <w:r>
        <w:rPr>
          <w:rFonts w:hint="eastAsia"/>
          <w:color w:val="auto"/>
        </w:rPr>
        <w:t>预制柱混凝土保护层厚度大于50mm时，可以在保护层内采取增设钢筋网片等措施，防止保护层开裂及在受力过程中的剥离、脱落。</w:t>
      </w:r>
    </w:p>
    <w:p w14:paraId="33BFB2AC">
      <w:pPr>
        <w:pStyle w:val="41"/>
        <w:numPr>
          <w:ilvl w:val="1"/>
          <w:numId w:val="0"/>
        </w:numPr>
        <w:spacing w:before="312" w:after="312"/>
        <w:ind w:leftChars="0"/>
        <w:jc w:val="center"/>
        <w:rPr>
          <w:rFonts w:hint="default" w:ascii="Times New Roman" w:hAnsi="Times New Roman" w:eastAsia="宋体" w:cs="Times New Roman"/>
          <w:color w:val="auto"/>
          <w:lang w:val="en-US" w:eastAsia="zh-CN"/>
        </w:rPr>
      </w:pPr>
      <w:bookmarkStart w:id="264" w:name="_Toc16808"/>
      <w:bookmarkStart w:id="265" w:name="_Toc2762"/>
      <w:bookmarkStart w:id="266" w:name="_Toc21313"/>
      <w:bookmarkStart w:id="267" w:name="_Toc18350"/>
      <w:bookmarkStart w:id="268" w:name="_Toc17763"/>
      <w:bookmarkStart w:id="269" w:name="_Toc1581"/>
      <w:r>
        <w:rPr>
          <w:rFonts w:hint="eastAsia" w:ascii="Times New Roman" w:hAnsi="Times New Roman" w:eastAsia="宋体" w:cs="Times New Roman"/>
          <w:color w:val="auto"/>
          <w:lang w:val="en-US" w:eastAsia="zh-CN"/>
        </w:rPr>
        <w:t>Ⅱ  预制梁</w:t>
      </w:r>
      <w:bookmarkEnd w:id="264"/>
      <w:bookmarkEnd w:id="265"/>
      <w:bookmarkEnd w:id="266"/>
      <w:bookmarkEnd w:id="267"/>
      <w:bookmarkEnd w:id="268"/>
      <w:bookmarkEnd w:id="269"/>
    </w:p>
    <w:p w14:paraId="7F56BEEE">
      <w:pPr>
        <w:pStyle w:val="49"/>
        <w:bidi w:val="0"/>
        <w:rPr>
          <w:rFonts w:hint="eastAsia" w:eastAsia="宋体"/>
          <w:color w:val="auto"/>
          <w:sz w:val="24"/>
          <w:szCs w:val="24"/>
        </w:rPr>
      </w:pPr>
      <w:r>
        <w:rPr>
          <w:rFonts w:hint="eastAsia" w:ascii="Times New Roman" w:hAnsi="Times New Roman" w:eastAsia="宋体" w:cs="Times New Roman"/>
          <w:b/>
          <w:color w:val="auto"/>
          <w:sz w:val="24"/>
          <w:szCs w:val="24"/>
          <w:lang w:val="en-US" w:eastAsia="zh-CN"/>
        </w:rPr>
        <w:t xml:space="preserve">5.2.6 </w:t>
      </w:r>
      <w:r>
        <w:rPr>
          <w:rFonts w:hint="eastAsia" w:eastAsia="宋体"/>
          <w:color w:val="auto"/>
          <w:sz w:val="24"/>
          <w:szCs w:val="24"/>
        </w:rPr>
        <w:t>本规程中预制梁专指框架梁。</w:t>
      </w:r>
      <w:r>
        <w:rPr>
          <w:rFonts w:hint="eastAsia" w:eastAsia="宋体"/>
          <w:color w:val="auto"/>
          <w:sz w:val="24"/>
          <w:szCs w:val="24"/>
          <w:lang w:val="en-US" w:eastAsia="zh-CN"/>
        </w:rPr>
        <w:t>钢组件</w:t>
      </w:r>
      <w:r>
        <w:rPr>
          <w:rFonts w:hint="eastAsia" w:eastAsia="宋体"/>
          <w:color w:val="auto"/>
          <w:sz w:val="24"/>
          <w:szCs w:val="24"/>
        </w:rPr>
        <w:t>框架结构中的次梁可以采用传统预制梁，也可以在梁端设置钢</w:t>
      </w:r>
      <w:r>
        <w:rPr>
          <w:rFonts w:hint="eastAsia" w:eastAsia="宋体"/>
          <w:color w:val="auto"/>
          <w:sz w:val="24"/>
          <w:szCs w:val="24"/>
          <w:lang w:val="en-US" w:eastAsia="zh-CN"/>
        </w:rPr>
        <w:t>组</w:t>
      </w:r>
      <w:r>
        <w:rPr>
          <w:rFonts w:hint="eastAsia" w:eastAsia="宋体"/>
          <w:color w:val="auto"/>
          <w:sz w:val="24"/>
          <w:szCs w:val="24"/>
        </w:rPr>
        <w:t>件，但该钢</w:t>
      </w:r>
      <w:r>
        <w:rPr>
          <w:rFonts w:hint="eastAsia" w:eastAsia="宋体"/>
          <w:color w:val="auto"/>
          <w:sz w:val="24"/>
          <w:szCs w:val="24"/>
          <w:lang w:val="en-US" w:eastAsia="zh-CN"/>
        </w:rPr>
        <w:t>组</w:t>
      </w:r>
      <w:r>
        <w:rPr>
          <w:rFonts w:hint="eastAsia" w:eastAsia="宋体"/>
          <w:color w:val="auto"/>
          <w:sz w:val="24"/>
          <w:szCs w:val="24"/>
        </w:rPr>
        <w:t>件仅起连接作用，不同于本规程中预制梁的梁端钢</w:t>
      </w:r>
      <w:r>
        <w:rPr>
          <w:rFonts w:hint="eastAsia" w:eastAsia="宋体"/>
          <w:color w:val="auto"/>
          <w:sz w:val="24"/>
          <w:szCs w:val="24"/>
          <w:lang w:val="en-US" w:eastAsia="zh-CN"/>
        </w:rPr>
        <w:t>组</w:t>
      </w:r>
      <w:r>
        <w:rPr>
          <w:rFonts w:hint="eastAsia" w:eastAsia="宋体"/>
          <w:color w:val="auto"/>
          <w:sz w:val="24"/>
          <w:szCs w:val="24"/>
        </w:rPr>
        <w:t>件。</w:t>
      </w:r>
    </w:p>
    <w:p w14:paraId="4FEF7CF7">
      <w:pPr>
        <w:pStyle w:val="49"/>
        <w:rPr>
          <w:color w:val="auto"/>
        </w:rPr>
      </w:pPr>
      <w:r>
        <w:rPr>
          <w:rFonts w:hint="eastAsia" w:ascii="Times New Roman" w:hAnsi="Times New Roman" w:eastAsia="宋体" w:cs="Times New Roman"/>
          <w:b/>
          <w:color w:val="auto"/>
          <w:sz w:val="24"/>
          <w:szCs w:val="24"/>
          <w:lang w:val="en-US" w:eastAsia="zh-CN"/>
        </w:rPr>
        <w:t xml:space="preserve">5.2.7 </w:t>
      </w:r>
      <w:r>
        <w:rPr>
          <w:rFonts w:hint="eastAsia"/>
          <w:color w:val="auto"/>
        </w:rPr>
        <w:t>预制梁端部需预埋梁端</w:t>
      </w:r>
      <w:r>
        <w:rPr>
          <w:rFonts w:hint="eastAsia" w:eastAsia="宋体"/>
          <w:color w:val="auto"/>
          <w:sz w:val="24"/>
          <w:szCs w:val="24"/>
        </w:rPr>
        <w:t>钢</w:t>
      </w:r>
      <w:r>
        <w:rPr>
          <w:rFonts w:hint="eastAsia" w:eastAsia="宋体"/>
          <w:color w:val="auto"/>
          <w:sz w:val="24"/>
          <w:szCs w:val="24"/>
          <w:lang w:val="en-US" w:eastAsia="zh-CN"/>
        </w:rPr>
        <w:t>组</w:t>
      </w:r>
      <w:r>
        <w:rPr>
          <w:rFonts w:hint="eastAsia" w:eastAsia="宋体"/>
          <w:color w:val="auto"/>
          <w:sz w:val="24"/>
          <w:szCs w:val="24"/>
        </w:rPr>
        <w:t>件</w:t>
      </w:r>
      <w:r>
        <w:rPr>
          <w:rFonts w:hint="eastAsia"/>
          <w:color w:val="auto"/>
        </w:rPr>
        <w:t>，截面尺寸不宜过小，同时考虑构件加工便利性，混凝土梁身的最小截面尺寸以及高宽比限值比现行国家标准《建筑抗震设计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50011中的相关要求更加严格，且一般不采用扁梁；对于叠合梁，尚需参照现行行业标准《装配式混凝土结构技术规程》JGJ 1进行设计。当叠合梁的后浇混凝土层厚度小于150mm时，尽可能采用凹口截面预制梁。（图</w:t>
      </w:r>
      <w:r>
        <w:rPr>
          <w:rFonts w:hint="eastAsia"/>
          <w:color w:val="auto"/>
          <w:lang w:val="en-US" w:eastAsia="zh-CN"/>
        </w:rPr>
        <w:t>9</w:t>
      </w:r>
      <w:r>
        <w:rPr>
          <w:rFonts w:hint="eastAsia"/>
          <w:color w:val="auto"/>
        </w:rPr>
        <w:t>）</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80"/>
        <w:gridCol w:w="4536"/>
      </w:tblGrid>
      <w:tr w14:paraId="0F690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vAlign w:val="center"/>
          </w:tcPr>
          <w:p w14:paraId="7F228B8F">
            <w:pPr>
              <w:pStyle w:val="49"/>
              <w:jc w:val="center"/>
              <w:rPr>
                <w:color w:val="auto"/>
              </w:rPr>
            </w:pPr>
            <w:r>
              <w:rPr>
                <w:color w:val="auto"/>
              </w:rPr>
              <w:drawing>
                <wp:inline distT="0" distB="0" distL="114300" distR="114300">
                  <wp:extent cx="2199640" cy="1511935"/>
                  <wp:effectExtent l="0" t="0" r="10160" b="12065"/>
                  <wp:docPr id="63"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4"/>
                          <pic:cNvPicPr>
                            <a:picLocks noChangeAspect="1"/>
                          </pic:cNvPicPr>
                        </pic:nvPicPr>
                        <pic:blipFill>
                          <a:blip r:embed="rId366"/>
                          <a:stretch>
                            <a:fillRect/>
                          </a:stretch>
                        </pic:blipFill>
                        <pic:spPr>
                          <a:xfrm>
                            <a:off x="0" y="0"/>
                            <a:ext cx="2199640" cy="1511935"/>
                          </a:xfrm>
                          <a:prstGeom prst="rect">
                            <a:avLst/>
                          </a:prstGeom>
                          <a:noFill/>
                          <a:ln>
                            <a:noFill/>
                          </a:ln>
                        </pic:spPr>
                      </pic:pic>
                    </a:graphicData>
                  </a:graphic>
                </wp:inline>
              </w:drawing>
            </w:r>
          </w:p>
        </w:tc>
        <w:tc>
          <w:tcPr>
            <w:tcW w:w="4258" w:type="dxa"/>
            <w:vAlign w:val="center"/>
          </w:tcPr>
          <w:p w14:paraId="538D602B">
            <w:pPr>
              <w:pStyle w:val="49"/>
              <w:jc w:val="center"/>
              <w:rPr>
                <w:color w:val="auto"/>
              </w:rPr>
            </w:pPr>
            <w:r>
              <w:rPr>
                <w:color w:val="auto"/>
              </w:rPr>
              <w:drawing>
                <wp:inline distT="0" distB="0" distL="114300" distR="114300">
                  <wp:extent cx="2730500" cy="1583690"/>
                  <wp:effectExtent l="0" t="0" r="12700" b="16510"/>
                  <wp:docPr id="64"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6"/>
                          <pic:cNvPicPr>
                            <a:picLocks noChangeAspect="1"/>
                          </pic:cNvPicPr>
                        </pic:nvPicPr>
                        <pic:blipFill>
                          <a:blip r:embed="rId367"/>
                          <a:stretch>
                            <a:fillRect/>
                          </a:stretch>
                        </pic:blipFill>
                        <pic:spPr>
                          <a:xfrm>
                            <a:off x="0" y="0"/>
                            <a:ext cx="2730500" cy="1583690"/>
                          </a:xfrm>
                          <a:prstGeom prst="rect">
                            <a:avLst/>
                          </a:prstGeom>
                          <a:noFill/>
                          <a:ln>
                            <a:noFill/>
                          </a:ln>
                        </pic:spPr>
                      </pic:pic>
                    </a:graphicData>
                  </a:graphic>
                </wp:inline>
              </w:drawing>
            </w:r>
          </w:p>
        </w:tc>
      </w:tr>
      <w:tr w14:paraId="79B6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8" w:type="dxa"/>
            <w:vAlign w:val="center"/>
          </w:tcPr>
          <w:p w14:paraId="618676AD">
            <w:pPr>
              <w:pStyle w:val="49"/>
              <w:jc w:val="center"/>
              <w:rPr>
                <w:color w:val="auto"/>
              </w:rPr>
            </w:pPr>
            <w:r>
              <w:rPr>
                <w:rFonts w:hint="eastAsia"/>
                <w:color w:val="auto"/>
              </w:rPr>
              <w:t>（</w:t>
            </w:r>
            <w:r>
              <w:rPr>
                <w:color w:val="auto"/>
              </w:rPr>
              <w:t>a</w:t>
            </w:r>
            <w:r>
              <w:rPr>
                <w:rFonts w:hint="eastAsia"/>
                <w:color w:val="auto"/>
              </w:rPr>
              <w:t>）矩形截面预制梁</w:t>
            </w:r>
          </w:p>
        </w:tc>
        <w:tc>
          <w:tcPr>
            <w:tcW w:w="4258" w:type="dxa"/>
            <w:vAlign w:val="center"/>
          </w:tcPr>
          <w:p w14:paraId="49D4ACF9">
            <w:pPr>
              <w:pStyle w:val="49"/>
              <w:jc w:val="center"/>
              <w:rPr>
                <w:color w:val="auto"/>
              </w:rPr>
            </w:pPr>
            <w:r>
              <w:rPr>
                <w:rFonts w:hint="eastAsia"/>
                <w:color w:val="auto"/>
              </w:rPr>
              <w:t>（b）凹口截面预制梁</w:t>
            </w:r>
          </w:p>
        </w:tc>
      </w:tr>
    </w:tbl>
    <w:p w14:paraId="2CE1795F">
      <w:pPr>
        <w:pStyle w:val="45"/>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叠合层</w:t>
      </w:r>
      <w:r>
        <w:rPr>
          <w:rFonts w:ascii="Times New Roman" w:hAnsi="Times New Roman" w:cs="Times New Roman"/>
          <w:color w:val="auto"/>
        </w:rPr>
        <w:t>；2—</w:t>
      </w:r>
      <w:r>
        <w:rPr>
          <w:rFonts w:hint="eastAsia" w:ascii="Times New Roman" w:hAnsi="Times New Roman" w:cs="Times New Roman"/>
          <w:color w:val="auto"/>
        </w:rPr>
        <w:t>预制梁；3</w:t>
      </w:r>
      <w:r>
        <w:rPr>
          <w:rFonts w:ascii="Times New Roman" w:hAnsi="Times New Roman" w:cs="Times New Roman"/>
          <w:color w:val="auto"/>
        </w:rPr>
        <w:t>—</w:t>
      </w:r>
      <w:r>
        <w:rPr>
          <w:rFonts w:hint="eastAsia" w:ascii="Times New Roman" w:hAnsi="Times New Roman" w:cs="Times New Roman"/>
          <w:color w:val="auto"/>
        </w:rPr>
        <w:t>预制板</w:t>
      </w:r>
    </w:p>
    <w:p w14:paraId="3930A688">
      <w:pPr>
        <w:pStyle w:val="45"/>
        <w:rPr>
          <w:rFonts w:ascii="Times New Roman" w:hAnsi="Times New Roman" w:cs="Times New Roman"/>
          <w:color w:val="auto"/>
        </w:rPr>
      </w:pPr>
      <w:r>
        <w:rPr>
          <w:rFonts w:hint="eastAsia" w:ascii="Times New Roman" w:hAnsi="Times New Roman" w:cs="Times New Roman"/>
          <w:color w:val="auto"/>
        </w:rPr>
        <w:t>图</w:t>
      </w:r>
      <w:r>
        <w:rPr>
          <w:rFonts w:hint="eastAsia" w:cs="Times New Roman"/>
          <w:color w:val="auto"/>
          <w:lang w:val="en-US" w:eastAsia="zh-CN"/>
        </w:rPr>
        <w:t>9</w:t>
      </w:r>
      <w:r>
        <w:rPr>
          <w:rFonts w:ascii="Times New Roman" w:hAnsi="Times New Roman" w:cs="Times New Roman"/>
          <w:color w:val="auto"/>
        </w:rPr>
        <w:t xml:space="preserve"> </w:t>
      </w:r>
      <w:r>
        <w:rPr>
          <w:rFonts w:hint="eastAsia" w:ascii="Times New Roman" w:hAnsi="Times New Roman" w:cs="Times New Roman"/>
          <w:color w:val="auto"/>
        </w:rPr>
        <w:t xml:space="preserve"> 叠合梁截面示意</w:t>
      </w:r>
    </w:p>
    <w:p w14:paraId="5F746EFE">
      <w:pPr>
        <w:ind w:firstLine="0" w:firstLineChars="0"/>
        <w:jc w:val="left"/>
      </w:pPr>
      <w:r>
        <w:rPr>
          <w:rFonts w:hint="eastAsia" w:ascii="Times New Roman" w:hAnsi="Times New Roman" w:eastAsia="宋体" w:cs="Times New Roman"/>
          <w:b/>
          <w:color w:val="auto"/>
          <w:sz w:val="24"/>
          <w:szCs w:val="24"/>
          <w:lang w:val="en-US" w:eastAsia="zh-CN"/>
        </w:rPr>
        <w:t xml:space="preserve">5.2.8 </w:t>
      </w:r>
      <w:r>
        <w:rPr>
          <w:rFonts w:hint="eastAsia"/>
          <w:color w:val="auto"/>
          <w:szCs w:val="24"/>
        </w:rPr>
        <w:t>当预制梁顶纵向受力钢筋配筋量较大时，尽可能采用大直径钢筋，纵筋层数为两层时，可以分别与翼缘上下表面进行焊接连接。</w:t>
      </w:r>
      <w:r>
        <w:rPr>
          <w:rFonts w:hint="eastAsia"/>
          <w:color w:val="auto"/>
          <w:szCs w:val="24"/>
          <w:lang w:val="en-US" w:eastAsia="zh-CN"/>
        </w:rPr>
        <w:t>由于</w:t>
      </w:r>
      <w:r>
        <w:rPr>
          <w:rFonts w:hint="eastAsia"/>
          <w:color w:val="auto"/>
          <w:szCs w:val="24"/>
        </w:rPr>
        <w:t>梁端破坏发生在钢</w:t>
      </w:r>
      <w:r>
        <w:rPr>
          <w:rFonts w:hint="eastAsia"/>
          <w:color w:val="auto"/>
          <w:szCs w:val="24"/>
          <w:lang w:val="en-US" w:eastAsia="zh-CN"/>
        </w:rPr>
        <w:t>组</w:t>
      </w:r>
      <w:r>
        <w:rPr>
          <w:rFonts w:hint="eastAsia"/>
          <w:color w:val="auto"/>
          <w:szCs w:val="24"/>
        </w:rPr>
        <w:t>件</w:t>
      </w:r>
      <w:r>
        <w:rPr>
          <w:rFonts w:hint="eastAsia"/>
          <w:color w:val="auto"/>
          <w:szCs w:val="24"/>
          <w:lang w:val="en-US" w:eastAsia="zh-CN"/>
        </w:rPr>
        <w:t>埋入</w:t>
      </w:r>
      <w:r>
        <w:rPr>
          <w:rFonts w:hint="eastAsia"/>
          <w:color w:val="auto"/>
          <w:szCs w:val="24"/>
        </w:rPr>
        <w:t>混凝土梁身</w:t>
      </w:r>
      <w:r>
        <w:rPr>
          <w:rFonts w:hint="eastAsia"/>
          <w:color w:val="auto"/>
          <w:szCs w:val="24"/>
          <w:lang w:val="en-US" w:eastAsia="zh-CN"/>
        </w:rPr>
        <w:t>的端部</w:t>
      </w:r>
      <w:r>
        <w:rPr>
          <w:rFonts w:hint="eastAsia"/>
          <w:color w:val="auto"/>
          <w:szCs w:val="24"/>
        </w:rPr>
        <w:t>，箍筋加密区位置</w:t>
      </w:r>
      <w:r>
        <w:rPr>
          <w:rFonts w:hint="eastAsia"/>
          <w:color w:val="auto"/>
          <w:szCs w:val="24"/>
          <w:lang w:val="en-US" w:eastAsia="zh-CN"/>
        </w:rPr>
        <w:t>从</w:t>
      </w:r>
      <w:r>
        <w:rPr>
          <w:rFonts w:hint="eastAsia"/>
          <w:lang w:val="en-US" w:eastAsia="zh-CN"/>
        </w:rPr>
        <w:t>钢组件伸入梁身内的端部</w:t>
      </w:r>
      <w:r>
        <w:rPr>
          <w:rFonts w:hint="eastAsia" w:ascii="Times New Roman" w:hAnsi="Times New Roman" w:eastAsia="宋体" w:cs="Times New Roman"/>
          <w:color w:val="auto"/>
        </w:rPr>
        <w:t>开始起算</w:t>
      </w:r>
      <w:r>
        <w:rPr>
          <w:rFonts w:hint="eastAsia"/>
          <w:color w:val="auto"/>
          <w:szCs w:val="24"/>
        </w:rPr>
        <w:t>，可以保证足够长度的混凝土梁身斜截面受剪承载力混凝土梁身；梁端钢</w:t>
      </w:r>
      <w:r>
        <w:rPr>
          <w:rFonts w:hint="eastAsia"/>
          <w:color w:val="auto"/>
          <w:szCs w:val="24"/>
          <w:lang w:val="en-US" w:eastAsia="zh-CN"/>
        </w:rPr>
        <w:t>组</w:t>
      </w:r>
      <w:r>
        <w:rPr>
          <w:rFonts w:hint="eastAsia"/>
          <w:color w:val="auto"/>
          <w:szCs w:val="24"/>
        </w:rPr>
        <w:t>件与混凝土梁身的连接区域是预制梁的关键部位，此范围箍筋加密有利于保证纵向受力钢筋和钢连接件之间可靠传力</w:t>
      </w:r>
      <w:r>
        <w:rPr>
          <w:rFonts w:hint="eastAsia"/>
          <w:color w:val="auto"/>
          <w:szCs w:val="24"/>
          <w:lang w:eastAsia="zh-CN"/>
        </w:rPr>
        <w:t>，</w:t>
      </w:r>
      <w:r>
        <w:rPr>
          <w:rFonts w:hint="eastAsia"/>
          <w:color w:val="auto"/>
          <w:szCs w:val="24"/>
          <w:lang w:val="en-US" w:eastAsia="zh-CN"/>
        </w:rPr>
        <w:t>对于箍筋加强区的设计</w:t>
      </w:r>
      <w:r>
        <w:rPr>
          <w:rFonts w:hint="eastAsia"/>
          <w:color w:val="auto"/>
        </w:rPr>
        <w:t>参照现行</w:t>
      </w:r>
      <w:r>
        <w:rPr>
          <w:rFonts w:hint="eastAsia"/>
          <w:color w:val="auto"/>
          <w:lang w:val="en-US" w:eastAsia="zh-CN"/>
        </w:rPr>
        <w:t>地方</w:t>
      </w:r>
      <w:r>
        <w:rPr>
          <w:rFonts w:hint="eastAsia"/>
          <w:color w:val="auto"/>
        </w:rPr>
        <w:t>标准</w:t>
      </w:r>
      <w:r>
        <w:rPr>
          <w:rFonts w:hint="eastAsia"/>
        </w:rPr>
        <w:t>《装配式钢节点混凝土框架结构设计标准》DB13(J)T</w:t>
      </w:r>
      <w:r>
        <w:rPr>
          <w:rFonts w:hint="eastAsia"/>
          <w:lang w:val="en-US" w:eastAsia="zh-CN"/>
        </w:rPr>
        <w:t xml:space="preserve"> </w:t>
      </w:r>
      <w:r>
        <w:rPr>
          <w:rFonts w:hint="eastAsia"/>
        </w:rPr>
        <w:t>8336</w:t>
      </w:r>
      <w:r>
        <w:rPr>
          <w:rFonts w:hint="eastAsia"/>
          <w:color w:val="auto"/>
          <w:lang w:val="en-US" w:eastAsia="zh-CN"/>
        </w:rPr>
        <w:t>的有关规定</w:t>
      </w:r>
      <w:r>
        <w:rPr>
          <w:rFonts w:hint="eastAsia"/>
          <w:color w:val="auto"/>
          <w:szCs w:val="24"/>
        </w:rPr>
        <w:t>。</w:t>
      </w:r>
    </w:p>
    <w:p w14:paraId="0EDA795F">
      <w:pPr>
        <w:pStyle w:val="49"/>
        <w:bidi w:val="0"/>
        <w:rPr>
          <w:rFonts w:hint="eastAsia"/>
          <w:color w:val="auto"/>
        </w:rPr>
      </w:pPr>
      <w:r>
        <w:rPr>
          <w:rFonts w:hint="eastAsia" w:ascii="Times New Roman" w:hAnsi="Times New Roman" w:eastAsia="宋体" w:cs="Times New Roman"/>
          <w:b/>
          <w:color w:val="auto"/>
          <w:sz w:val="24"/>
          <w:szCs w:val="24"/>
          <w:lang w:val="en-US" w:eastAsia="zh-CN"/>
        </w:rPr>
        <w:t xml:space="preserve">5.2.9~5.2.10 </w:t>
      </w:r>
      <w:r>
        <w:rPr>
          <w:rFonts w:hint="eastAsia"/>
          <w:color w:val="auto"/>
        </w:rPr>
        <w:t>根据构件制作需要和相关研究，钢</w:t>
      </w:r>
      <w:r>
        <w:rPr>
          <w:rFonts w:hint="eastAsia"/>
          <w:color w:val="auto"/>
          <w:lang w:val="en-US" w:eastAsia="zh-CN"/>
        </w:rPr>
        <w:t>组</w:t>
      </w:r>
      <w:r>
        <w:rPr>
          <w:rFonts w:hint="eastAsia"/>
          <w:color w:val="auto"/>
        </w:rPr>
        <w:t>件上、下表面至混凝土表面的距离有一定要求，侧面至混凝土表面的距离可按照满足外侧箍筋保护层厚度要求确定。由于梁端破坏发生于</w:t>
      </w:r>
      <w:r>
        <w:rPr>
          <w:rFonts w:hint="eastAsia"/>
          <w:color w:val="auto"/>
          <w:szCs w:val="24"/>
        </w:rPr>
        <w:t>钢</w:t>
      </w:r>
      <w:r>
        <w:rPr>
          <w:rFonts w:hint="eastAsia"/>
          <w:color w:val="auto"/>
          <w:szCs w:val="24"/>
          <w:lang w:val="en-US" w:eastAsia="zh-CN"/>
        </w:rPr>
        <w:t>组</w:t>
      </w:r>
      <w:r>
        <w:rPr>
          <w:rFonts w:hint="eastAsia"/>
          <w:color w:val="auto"/>
          <w:szCs w:val="24"/>
        </w:rPr>
        <w:t>件</w:t>
      </w:r>
      <w:r>
        <w:rPr>
          <w:rFonts w:hint="eastAsia"/>
          <w:color w:val="auto"/>
          <w:szCs w:val="24"/>
          <w:lang w:val="en-US" w:eastAsia="zh-CN"/>
        </w:rPr>
        <w:t>埋入</w:t>
      </w:r>
      <w:r>
        <w:rPr>
          <w:rFonts w:hint="eastAsia"/>
          <w:color w:val="auto"/>
          <w:szCs w:val="24"/>
        </w:rPr>
        <w:t>混凝土梁身</w:t>
      </w:r>
      <w:r>
        <w:rPr>
          <w:rFonts w:hint="eastAsia"/>
          <w:color w:val="auto"/>
          <w:szCs w:val="24"/>
          <w:lang w:val="en-US" w:eastAsia="zh-CN"/>
        </w:rPr>
        <w:t>的端部（图10中</w:t>
      </w:r>
      <w:r>
        <w:rPr>
          <w:color w:val="auto"/>
        </w:rPr>
        <w:t>Ⅰ-Ⅰ</w:t>
      </w:r>
      <w:r>
        <w:rPr>
          <w:rFonts w:hint="eastAsia"/>
          <w:color w:val="auto"/>
          <w:szCs w:val="24"/>
          <w:lang w:val="en-US" w:eastAsia="zh-CN"/>
        </w:rPr>
        <w:t>截面）</w:t>
      </w:r>
      <w:r>
        <w:rPr>
          <w:rFonts w:hint="eastAsia"/>
          <w:color w:val="auto"/>
        </w:rPr>
        <w:t>，为保证钢</w:t>
      </w:r>
      <w:r>
        <w:rPr>
          <w:rFonts w:hint="eastAsia"/>
          <w:color w:val="auto"/>
          <w:lang w:val="en-US" w:eastAsia="zh-CN"/>
        </w:rPr>
        <w:t>组</w:t>
      </w:r>
      <w:r>
        <w:rPr>
          <w:rFonts w:hint="eastAsia"/>
          <w:color w:val="auto"/>
        </w:rPr>
        <w:t>件</w:t>
      </w:r>
      <w:r>
        <w:rPr>
          <w:rFonts w:hint="eastAsia"/>
          <w:color w:val="auto"/>
          <w:lang w:val="en-US" w:eastAsia="zh-CN"/>
        </w:rPr>
        <w:t>与混凝土梁身实现强连接，</w:t>
      </w:r>
      <w:r>
        <w:rPr>
          <w:rFonts w:hint="eastAsia"/>
          <w:color w:val="auto"/>
        </w:rPr>
        <w:t>钢</w:t>
      </w:r>
      <w:r>
        <w:rPr>
          <w:rFonts w:hint="eastAsia"/>
          <w:color w:val="auto"/>
          <w:lang w:val="en-US" w:eastAsia="zh-CN"/>
        </w:rPr>
        <w:t>组</w:t>
      </w:r>
      <w:r>
        <w:rPr>
          <w:rFonts w:hint="eastAsia"/>
          <w:color w:val="auto"/>
        </w:rPr>
        <w:t>件翼缘与腹板厚度不宜过薄</w:t>
      </w:r>
      <w:r>
        <w:rPr>
          <w:rFonts w:hint="eastAsia"/>
          <w:color w:val="auto"/>
          <w:lang w:eastAsia="zh-CN"/>
        </w:rPr>
        <w:t>，</w:t>
      </w:r>
      <w:r>
        <w:rPr>
          <w:rFonts w:hint="eastAsia"/>
          <w:color w:val="auto"/>
          <w:lang w:val="en-US" w:eastAsia="zh-CN"/>
        </w:rPr>
        <w:t>且</w:t>
      </w:r>
      <w:r>
        <w:rPr>
          <w:rFonts w:hint="eastAsia"/>
          <w:color w:val="auto"/>
        </w:rPr>
        <w:t>需</w:t>
      </w:r>
      <w:r>
        <w:rPr>
          <w:rFonts w:hint="eastAsia"/>
          <w:color w:val="auto"/>
          <w:lang w:val="en-US" w:eastAsia="zh-CN"/>
        </w:rPr>
        <w:t>保证一定的埋入长度，</w:t>
      </w:r>
      <w:r>
        <w:rPr>
          <w:rFonts w:hint="eastAsia"/>
          <w:color w:val="auto"/>
        </w:rPr>
        <w:t>在埋入范围的钢连接件腹板上设置抗剪栓钉，必要时还可开设洞口，以进一步增强连接。</w:t>
      </w:r>
    </w:p>
    <w:p w14:paraId="43A3BBF6">
      <w:pPr>
        <w:pStyle w:val="49"/>
        <w:bidi w:val="0"/>
        <w:jc w:val="center"/>
        <w:rPr>
          <w:rFonts w:hint="eastAsia"/>
          <w:color w:val="auto"/>
        </w:rPr>
      </w:pPr>
      <w:r>
        <w:drawing>
          <wp:inline distT="0" distB="0" distL="114300" distR="114300">
            <wp:extent cx="1497330" cy="1631315"/>
            <wp:effectExtent l="0" t="0" r="7620" b="6985"/>
            <wp:docPr id="6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6"/>
                    <pic:cNvPicPr>
                      <a:picLocks noChangeAspect="1"/>
                    </pic:cNvPicPr>
                  </pic:nvPicPr>
                  <pic:blipFill>
                    <a:blip r:embed="rId368"/>
                    <a:stretch>
                      <a:fillRect/>
                    </a:stretch>
                  </pic:blipFill>
                  <pic:spPr>
                    <a:xfrm>
                      <a:off x="0" y="0"/>
                      <a:ext cx="1497330" cy="1631315"/>
                    </a:xfrm>
                    <a:prstGeom prst="rect">
                      <a:avLst/>
                    </a:prstGeom>
                    <a:noFill/>
                    <a:ln>
                      <a:noFill/>
                    </a:ln>
                  </pic:spPr>
                </pic:pic>
              </a:graphicData>
            </a:graphic>
          </wp:inline>
        </w:drawing>
      </w:r>
    </w:p>
    <w:p w14:paraId="7B2F0C0A">
      <w:pPr>
        <w:pStyle w:val="45"/>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梁端钢组件</w:t>
      </w:r>
      <w:r>
        <w:rPr>
          <w:rFonts w:ascii="Times New Roman" w:hAnsi="Times New Roman" w:cs="Times New Roman"/>
          <w:color w:val="auto"/>
        </w:rPr>
        <w:t>；2—</w:t>
      </w:r>
      <w:r>
        <w:rPr>
          <w:rFonts w:hint="eastAsia" w:ascii="Times New Roman" w:hAnsi="Times New Roman" w:cs="Times New Roman"/>
          <w:color w:val="auto"/>
          <w:lang w:val="en-US" w:eastAsia="zh-CN"/>
        </w:rPr>
        <w:t>混凝土梁身</w:t>
      </w:r>
    </w:p>
    <w:p w14:paraId="5B499750">
      <w:pPr>
        <w:pStyle w:val="45"/>
        <w:rPr>
          <w:rFonts w:hint="eastAsia"/>
          <w:color w:val="auto"/>
        </w:rPr>
      </w:pPr>
      <w:r>
        <w:rPr>
          <w:rFonts w:hint="eastAsia" w:ascii="Times New Roman" w:hAnsi="Times New Roman" w:cs="Times New Roman"/>
          <w:color w:val="auto"/>
        </w:rPr>
        <w:t>图1</w:t>
      </w:r>
      <w:r>
        <w:rPr>
          <w:rFonts w:hint="eastAsia" w:cs="Times New Roman"/>
          <w:color w:val="auto"/>
          <w:lang w:val="en-US" w:eastAsia="zh-CN"/>
        </w:rPr>
        <w:t>0</w:t>
      </w:r>
      <w:r>
        <w:rPr>
          <w:rFonts w:ascii="Times New Roman" w:hAnsi="Times New Roman" w:cs="Times New Roman"/>
          <w:color w:val="auto"/>
        </w:rPr>
        <w:t xml:space="preserve"> </w:t>
      </w:r>
      <w:r>
        <w:rPr>
          <w:rFonts w:hint="eastAsia" w:ascii="Times New Roman" w:hAnsi="Times New Roman" w:cs="Times New Roman"/>
          <w:color w:val="auto"/>
        </w:rPr>
        <w:t xml:space="preserve"> </w:t>
      </w:r>
      <w:r>
        <w:rPr>
          <w:rFonts w:hint="eastAsia" w:ascii="Times New Roman" w:hAnsi="Times New Roman" w:cs="Times New Roman"/>
          <w:color w:val="auto"/>
          <w:lang w:val="en-US" w:eastAsia="zh-CN"/>
        </w:rPr>
        <w:t>破坏</w:t>
      </w:r>
      <w:r>
        <w:rPr>
          <w:rFonts w:hint="eastAsia" w:ascii="Times New Roman" w:hAnsi="Times New Roman" w:cs="Times New Roman"/>
          <w:color w:val="auto"/>
        </w:rPr>
        <w:t>截面示意</w:t>
      </w:r>
    </w:p>
    <w:p w14:paraId="30E3106B">
      <w:pPr>
        <w:pStyle w:val="49"/>
        <w:rPr>
          <w:rFonts w:hint="default" w:eastAsia="宋体"/>
          <w:color w:val="auto"/>
          <w:lang w:val="en-US" w:eastAsia="zh-CN"/>
        </w:rPr>
      </w:pPr>
      <w:r>
        <w:rPr>
          <w:rFonts w:hint="eastAsia" w:ascii="Times New Roman" w:hAnsi="Times New Roman" w:eastAsia="宋体" w:cs="Times New Roman"/>
          <w:b/>
          <w:color w:val="auto"/>
          <w:sz w:val="24"/>
          <w:szCs w:val="24"/>
          <w:lang w:val="en-US" w:eastAsia="zh-CN"/>
        </w:rPr>
        <w:t xml:space="preserve">5.2.11 </w:t>
      </w:r>
      <w:r>
        <w:rPr>
          <w:rFonts w:hint="eastAsia"/>
          <w:color w:val="auto"/>
        </w:rPr>
        <w:t>为保证预制梁纵向受力钢筋与</w:t>
      </w:r>
      <w:r>
        <w:rPr>
          <w:rFonts w:hint="eastAsia"/>
          <w:color w:val="auto"/>
          <w:szCs w:val="24"/>
          <w:lang w:val="en-US" w:eastAsia="zh-CN"/>
        </w:rPr>
        <w:t>梁端</w:t>
      </w:r>
      <w:r>
        <w:rPr>
          <w:rFonts w:hint="eastAsia"/>
          <w:color w:val="auto"/>
        </w:rPr>
        <w:t>钢</w:t>
      </w:r>
      <w:r>
        <w:rPr>
          <w:rFonts w:hint="eastAsia"/>
          <w:color w:val="auto"/>
          <w:lang w:val="en-US" w:eastAsia="zh-CN"/>
        </w:rPr>
        <w:t>组</w:t>
      </w:r>
      <w:r>
        <w:rPr>
          <w:rFonts w:hint="eastAsia"/>
          <w:color w:val="auto"/>
        </w:rPr>
        <w:t>件翼缘的连接可靠性，优先采用</w:t>
      </w:r>
      <w:r>
        <w:rPr>
          <w:rFonts w:hint="eastAsia"/>
          <w:color w:val="auto"/>
          <w:lang w:eastAsia="zh-CN"/>
        </w:rPr>
        <w:t>双面搭接焊</w:t>
      </w:r>
      <w:r>
        <w:rPr>
          <w:rFonts w:hint="eastAsia"/>
          <w:color w:val="auto"/>
        </w:rPr>
        <w:t>连接，当由于构件尺寸原因无法进行</w:t>
      </w:r>
      <w:r>
        <w:rPr>
          <w:rFonts w:hint="eastAsia"/>
          <w:color w:val="auto"/>
          <w:lang w:eastAsia="zh-CN"/>
        </w:rPr>
        <w:t>双面搭接焊</w:t>
      </w:r>
      <w:r>
        <w:rPr>
          <w:rFonts w:hint="eastAsia"/>
          <w:color w:val="auto"/>
        </w:rPr>
        <w:t>连接时，也可以采用</w:t>
      </w:r>
      <w:r>
        <w:rPr>
          <w:rFonts w:hint="eastAsia"/>
          <w:color w:val="auto"/>
          <w:lang w:eastAsia="zh-CN"/>
        </w:rPr>
        <w:t>单面搭接焊</w:t>
      </w:r>
      <w:r>
        <w:rPr>
          <w:rFonts w:hint="eastAsia"/>
          <w:color w:val="auto"/>
        </w:rPr>
        <w:t>连接。</w:t>
      </w:r>
      <w:r>
        <w:rPr>
          <w:rFonts w:hint="eastAsia"/>
          <w:color w:val="auto"/>
          <w:lang w:val="en-US" w:eastAsia="zh-CN"/>
        </w:rPr>
        <w:t>搭接焊连接的构造规定按现行行业标准《钢筋焊接及验收规程》JGJ 18和《装配式劲性柱混合梁框架结构技术规程》JGJ/T 400的有关规定确定。</w:t>
      </w:r>
    </w:p>
    <w:p w14:paraId="419823BA">
      <w:pPr>
        <w:pStyle w:val="49"/>
        <w:bidi w:val="0"/>
        <w:rPr>
          <w:rFonts w:hint="eastAsia"/>
          <w:color w:val="auto"/>
        </w:rPr>
      </w:pPr>
      <w:r>
        <w:rPr>
          <w:rFonts w:hint="eastAsia" w:ascii="Times New Roman" w:hAnsi="Times New Roman" w:eastAsia="宋体" w:cs="Times New Roman"/>
          <w:b/>
          <w:color w:val="auto"/>
          <w:sz w:val="24"/>
          <w:szCs w:val="24"/>
          <w:lang w:val="en-US" w:eastAsia="zh-CN"/>
        </w:rPr>
        <w:t>5.2.12~5.2.13</w:t>
      </w:r>
      <w:r>
        <w:rPr>
          <w:rFonts w:hint="eastAsia"/>
          <w:color w:val="auto"/>
          <w:lang w:val="en-US" w:eastAsia="zh-CN"/>
        </w:rPr>
        <w:t xml:space="preserve"> </w:t>
      </w:r>
      <w:r>
        <w:rPr>
          <w:rFonts w:hint="eastAsia"/>
          <w:color w:val="auto"/>
        </w:rPr>
        <w:t>当混凝土梁身侧面的</w:t>
      </w:r>
      <w:r>
        <w:rPr>
          <w:rFonts w:hint="eastAsia"/>
          <w:color w:val="auto"/>
          <w:lang w:val="en-US" w:eastAsia="zh-CN"/>
        </w:rPr>
        <w:t>梁身纵筋</w:t>
      </w:r>
      <w:r>
        <w:rPr>
          <w:rFonts w:hint="eastAsia"/>
          <w:color w:val="auto"/>
        </w:rPr>
        <w:t>仅为构造</w:t>
      </w:r>
      <w:r>
        <w:rPr>
          <w:rFonts w:hint="eastAsia"/>
          <w:color w:val="auto"/>
          <w:lang w:val="en-US" w:eastAsia="zh-CN"/>
        </w:rPr>
        <w:t>钢筋</w:t>
      </w:r>
      <w:r>
        <w:rPr>
          <w:rFonts w:hint="eastAsia"/>
          <w:color w:val="auto"/>
        </w:rPr>
        <w:t>时，</w:t>
      </w:r>
      <w:r>
        <w:rPr>
          <w:rFonts w:hint="eastAsia"/>
          <w:color w:val="auto"/>
          <w:szCs w:val="24"/>
          <w:lang w:val="en-US" w:eastAsia="zh-CN"/>
        </w:rPr>
        <w:t>梁端</w:t>
      </w:r>
      <w:r>
        <w:rPr>
          <w:rFonts w:hint="eastAsia"/>
          <w:color w:val="auto"/>
        </w:rPr>
        <w:t>钢</w:t>
      </w:r>
      <w:r>
        <w:rPr>
          <w:rFonts w:hint="eastAsia"/>
          <w:color w:val="auto"/>
          <w:lang w:val="en-US" w:eastAsia="zh-CN"/>
        </w:rPr>
        <w:t>组</w:t>
      </w:r>
      <w:r>
        <w:rPr>
          <w:rFonts w:hint="eastAsia"/>
          <w:color w:val="auto"/>
        </w:rPr>
        <w:t>件可以不设纵向加劲板，</w:t>
      </w:r>
      <w:r>
        <w:rPr>
          <w:rFonts w:hint="eastAsia"/>
          <w:color w:val="auto"/>
          <w:lang w:val="en-US" w:eastAsia="zh-CN"/>
        </w:rPr>
        <w:t>梁身纵筋</w:t>
      </w:r>
      <w:r>
        <w:rPr>
          <w:rFonts w:hint="eastAsia"/>
          <w:color w:val="auto"/>
        </w:rPr>
        <w:t>直接在混凝土梁身端部截断即可。</w:t>
      </w:r>
    </w:p>
    <w:p w14:paraId="6B57C6C9">
      <w:pPr>
        <w:pStyle w:val="49"/>
        <w:bidi w:val="0"/>
        <w:rPr>
          <w:rFonts w:hint="eastAsia"/>
          <w:color w:val="auto"/>
          <w:lang w:val="en-US" w:eastAsia="zh-CN"/>
        </w:rPr>
      </w:pPr>
      <w:r>
        <w:rPr>
          <w:rFonts w:hint="eastAsia" w:ascii="Times New Roman" w:hAnsi="Times New Roman" w:eastAsia="宋体" w:cs="Times New Roman"/>
          <w:b/>
          <w:color w:val="auto"/>
          <w:sz w:val="24"/>
          <w:szCs w:val="24"/>
          <w:lang w:val="en-US" w:eastAsia="zh-CN"/>
        </w:rPr>
        <w:t>5.2.14~5.2.15</w:t>
      </w:r>
      <w:r>
        <w:rPr>
          <w:rFonts w:hint="eastAsia"/>
          <w:color w:val="auto"/>
          <w:lang w:val="en-US" w:eastAsia="zh-CN"/>
        </w:rPr>
        <w:t xml:space="preserve"> </w:t>
      </w:r>
      <w:r>
        <w:rPr>
          <w:rFonts w:hint="eastAsia"/>
          <w:color w:val="auto"/>
          <w:szCs w:val="24"/>
          <w:lang w:val="en-US" w:eastAsia="zh-CN"/>
        </w:rPr>
        <w:t>由于</w:t>
      </w:r>
      <w:r>
        <w:rPr>
          <w:rFonts w:hint="eastAsia"/>
          <w:color w:val="auto"/>
          <w:szCs w:val="24"/>
        </w:rPr>
        <w:t>梁端破坏发生在</w:t>
      </w:r>
      <w:r>
        <w:rPr>
          <w:rFonts w:hint="eastAsia"/>
          <w:color w:val="auto"/>
          <w:szCs w:val="24"/>
          <w:lang w:val="en-US" w:eastAsia="zh-CN"/>
        </w:rPr>
        <w:t>梁端</w:t>
      </w:r>
      <w:r>
        <w:rPr>
          <w:rFonts w:hint="eastAsia"/>
          <w:color w:val="auto"/>
          <w:szCs w:val="24"/>
        </w:rPr>
        <w:t>钢</w:t>
      </w:r>
      <w:r>
        <w:rPr>
          <w:rFonts w:hint="eastAsia"/>
          <w:color w:val="auto"/>
          <w:szCs w:val="24"/>
          <w:lang w:val="en-US" w:eastAsia="zh-CN"/>
        </w:rPr>
        <w:t>组</w:t>
      </w:r>
      <w:r>
        <w:rPr>
          <w:rFonts w:hint="eastAsia"/>
          <w:color w:val="auto"/>
          <w:szCs w:val="24"/>
        </w:rPr>
        <w:t>件</w:t>
      </w:r>
      <w:r>
        <w:rPr>
          <w:rFonts w:hint="eastAsia"/>
          <w:color w:val="auto"/>
          <w:szCs w:val="24"/>
          <w:lang w:val="en-US" w:eastAsia="zh-CN"/>
        </w:rPr>
        <w:t>埋入</w:t>
      </w:r>
      <w:r>
        <w:rPr>
          <w:rFonts w:hint="eastAsia"/>
          <w:color w:val="auto"/>
          <w:szCs w:val="24"/>
        </w:rPr>
        <w:t>混凝土梁身</w:t>
      </w:r>
      <w:r>
        <w:rPr>
          <w:rFonts w:hint="eastAsia"/>
          <w:color w:val="auto"/>
          <w:szCs w:val="24"/>
          <w:lang w:val="en-US" w:eastAsia="zh-CN"/>
        </w:rPr>
        <w:t>的端部，</w:t>
      </w:r>
      <w:r>
        <w:rPr>
          <w:rFonts w:hint="eastAsia"/>
          <w:color w:val="auto"/>
          <w:lang w:val="en-US" w:eastAsia="zh-CN"/>
        </w:rPr>
        <w:t>混凝土梁身的受力与普通钢筋混凝土梁相同，所以其正截面受弯承载力、斜截面受剪承载力计算和弯矩调幅设计参照普通钢筋混凝土梁即可。</w:t>
      </w:r>
    </w:p>
    <w:p w14:paraId="1B523C9B">
      <w:pPr>
        <w:pStyle w:val="49"/>
        <w:bidi w:val="0"/>
        <w:rPr>
          <w:rFonts w:hint="eastAsia" w:eastAsia="宋体"/>
          <w:color w:val="auto"/>
          <w:lang w:eastAsia="zh-CN"/>
        </w:rPr>
      </w:pPr>
      <w:r>
        <w:rPr>
          <w:rFonts w:hint="eastAsia" w:ascii="Times New Roman" w:hAnsi="Times New Roman" w:eastAsia="宋体" w:cs="Times New Roman"/>
          <w:b/>
          <w:color w:val="auto"/>
          <w:sz w:val="24"/>
          <w:szCs w:val="24"/>
          <w:lang w:val="en-US" w:eastAsia="zh-CN"/>
        </w:rPr>
        <w:t>5.2.16~5.2.17</w:t>
      </w:r>
      <w:r>
        <w:rPr>
          <w:rFonts w:hint="eastAsia"/>
          <w:color w:val="auto"/>
          <w:lang w:val="en-US" w:eastAsia="zh-CN"/>
        </w:rPr>
        <w:t xml:space="preserve"> </w:t>
      </w:r>
      <w:r>
        <w:rPr>
          <w:rFonts w:hint="eastAsia"/>
          <w:color w:val="auto"/>
        </w:rPr>
        <w:t>为了实现塑性铰发生在</w:t>
      </w:r>
      <w:r>
        <w:rPr>
          <w:rFonts w:hint="eastAsia"/>
          <w:color w:val="auto"/>
          <w:szCs w:val="24"/>
        </w:rPr>
        <w:t>钢</w:t>
      </w:r>
      <w:r>
        <w:rPr>
          <w:rFonts w:hint="eastAsia"/>
          <w:color w:val="auto"/>
          <w:szCs w:val="24"/>
          <w:lang w:val="en-US" w:eastAsia="zh-CN"/>
        </w:rPr>
        <w:t>组</w:t>
      </w:r>
      <w:r>
        <w:rPr>
          <w:rFonts w:hint="eastAsia"/>
          <w:color w:val="auto"/>
          <w:szCs w:val="24"/>
        </w:rPr>
        <w:t>件</w:t>
      </w:r>
      <w:r>
        <w:rPr>
          <w:rFonts w:hint="eastAsia"/>
          <w:color w:val="auto"/>
          <w:szCs w:val="24"/>
          <w:lang w:val="en-US" w:eastAsia="zh-CN"/>
        </w:rPr>
        <w:t>埋入</w:t>
      </w:r>
      <w:r>
        <w:rPr>
          <w:rFonts w:hint="eastAsia"/>
          <w:color w:val="auto"/>
          <w:szCs w:val="24"/>
        </w:rPr>
        <w:t>混凝土梁身</w:t>
      </w:r>
      <w:r>
        <w:rPr>
          <w:rFonts w:hint="eastAsia"/>
          <w:color w:val="auto"/>
          <w:szCs w:val="24"/>
          <w:lang w:val="en-US" w:eastAsia="zh-CN"/>
        </w:rPr>
        <w:t>的端部</w:t>
      </w:r>
      <w:r>
        <w:rPr>
          <w:rFonts w:hint="eastAsia"/>
          <w:color w:val="auto"/>
        </w:rPr>
        <w:t>，需保证钢</w:t>
      </w:r>
      <w:r>
        <w:rPr>
          <w:rFonts w:hint="eastAsia"/>
          <w:color w:val="auto"/>
          <w:lang w:val="en-US" w:eastAsia="zh-CN"/>
        </w:rPr>
        <w:t>组</w:t>
      </w:r>
      <w:r>
        <w:rPr>
          <w:rFonts w:hint="eastAsia"/>
          <w:color w:val="auto"/>
        </w:rPr>
        <w:t>件的截面承载力与实际弯矩比值要高于混凝土梁身的截面承载力与实际弯矩比值。同时，当塑性铰在</w:t>
      </w:r>
      <w:r>
        <w:rPr>
          <w:rFonts w:hint="eastAsia"/>
          <w:color w:val="auto"/>
          <w:szCs w:val="24"/>
        </w:rPr>
        <w:t>钢</w:t>
      </w:r>
      <w:r>
        <w:rPr>
          <w:rFonts w:hint="eastAsia"/>
          <w:color w:val="auto"/>
          <w:szCs w:val="24"/>
          <w:lang w:val="en-US" w:eastAsia="zh-CN"/>
        </w:rPr>
        <w:t>组</w:t>
      </w:r>
      <w:r>
        <w:rPr>
          <w:rFonts w:hint="eastAsia"/>
          <w:color w:val="auto"/>
          <w:szCs w:val="24"/>
        </w:rPr>
        <w:t>件</w:t>
      </w:r>
      <w:r>
        <w:rPr>
          <w:rFonts w:hint="eastAsia"/>
          <w:color w:val="auto"/>
          <w:szCs w:val="24"/>
          <w:lang w:val="en-US" w:eastAsia="zh-CN"/>
        </w:rPr>
        <w:t>埋入</w:t>
      </w:r>
      <w:r>
        <w:rPr>
          <w:rFonts w:hint="eastAsia"/>
          <w:color w:val="auto"/>
          <w:szCs w:val="24"/>
        </w:rPr>
        <w:t>混凝土梁身</w:t>
      </w:r>
      <w:r>
        <w:rPr>
          <w:rFonts w:hint="eastAsia"/>
          <w:color w:val="auto"/>
          <w:szCs w:val="24"/>
          <w:lang w:val="en-US" w:eastAsia="zh-CN"/>
        </w:rPr>
        <w:t>的端部</w:t>
      </w:r>
      <w:r>
        <w:rPr>
          <w:rFonts w:hint="eastAsia"/>
          <w:color w:val="auto"/>
        </w:rPr>
        <w:t>区域发展时，需保证混凝土梁身端部不发生受剪破坏，实现“强剪弱弯”</w:t>
      </w:r>
      <w:r>
        <w:rPr>
          <w:rFonts w:hint="eastAsia"/>
          <w:color w:val="auto"/>
          <w:lang w:eastAsia="zh-CN"/>
        </w:rPr>
        <w:t>。</w:t>
      </w:r>
    </w:p>
    <w:p w14:paraId="5BF0751F">
      <w:pPr>
        <w:pStyle w:val="49"/>
        <w:bidi w:val="0"/>
        <w:rPr>
          <w:rFonts w:hint="eastAsia"/>
          <w:color w:val="auto"/>
        </w:rPr>
      </w:pPr>
      <w:r>
        <w:rPr>
          <w:rFonts w:hint="eastAsia" w:ascii="Times New Roman" w:hAnsi="Times New Roman" w:eastAsia="宋体" w:cs="Times New Roman"/>
          <w:b/>
          <w:color w:val="auto"/>
          <w:sz w:val="24"/>
          <w:szCs w:val="24"/>
          <w:lang w:val="en-US" w:eastAsia="zh-CN"/>
        </w:rPr>
        <w:t xml:space="preserve">5.2.18 </w:t>
      </w:r>
      <w:r>
        <w:rPr>
          <w:rFonts w:hint="eastAsia"/>
          <w:color w:val="auto"/>
        </w:rPr>
        <w:t>预制梁混凝土梁身需要按照钢筋混凝土构件考虑长期作用的影响计算挠度，挠度限值按照现行国家标准《混凝土结构设计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50010的有关规定确定。梁端钢</w:t>
      </w:r>
      <w:r>
        <w:rPr>
          <w:rFonts w:hint="eastAsia"/>
          <w:color w:val="auto"/>
          <w:lang w:val="en-US" w:eastAsia="zh-CN"/>
        </w:rPr>
        <w:t>组</w:t>
      </w:r>
      <w:r>
        <w:rPr>
          <w:rFonts w:hint="eastAsia"/>
          <w:color w:val="auto"/>
        </w:rPr>
        <w:t>件外伸尺寸较短，刚度较大，挠度计算时不考虑外伸钢</w:t>
      </w:r>
      <w:r>
        <w:rPr>
          <w:rFonts w:hint="eastAsia"/>
          <w:color w:val="auto"/>
          <w:lang w:val="en-US" w:eastAsia="zh-CN"/>
        </w:rPr>
        <w:t>组</w:t>
      </w:r>
      <w:r>
        <w:rPr>
          <w:rFonts w:hint="eastAsia"/>
          <w:color w:val="auto"/>
        </w:rPr>
        <w:t>件的影响。</w:t>
      </w:r>
    </w:p>
    <w:p w14:paraId="47E6EC8B">
      <w:pPr>
        <w:pStyle w:val="49"/>
        <w:bidi w:val="0"/>
        <w:rPr>
          <w:rFonts w:hint="eastAsia"/>
          <w:color w:val="auto"/>
        </w:rPr>
      </w:pPr>
      <w:r>
        <w:rPr>
          <w:rFonts w:hint="eastAsia" w:ascii="Times New Roman" w:hAnsi="Times New Roman" w:eastAsia="宋体" w:cs="Times New Roman"/>
          <w:b/>
          <w:color w:val="auto"/>
          <w:sz w:val="24"/>
          <w:szCs w:val="24"/>
          <w:lang w:val="en-US" w:eastAsia="zh-CN"/>
        </w:rPr>
        <w:t xml:space="preserve">5.2.19 </w:t>
      </w:r>
      <w:r>
        <w:rPr>
          <w:rFonts w:hint="eastAsia"/>
          <w:color w:val="auto"/>
        </w:rPr>
        <w:t>由于梁端钢</w:t>
      </w:r>
      <w:r>
        <w:rPr>
          <w:rFonts w:hint="eastAsia"/>
          <w:color w:val="auto"/>
          <w:lang w:val="en-US" w:eastAsia="zh-CN"/>
        </w:rPr>
        <w:t>组</w:t>
      </w:r>
      <w:r>
        <w:rPr>
          <w:rFonts w:hint="eastAsia"/>
          <w:color w:val="auto"/>
        </w:rPr>
        <w:t>件埋入混凝土梁身的长度有限，因此在计算负弯矩区裂缝宽度时，可不考虑钢</w:t>
      </w:r>
      <w:r>
        <w:rPr>
          <w:rFonts w:hint="eastAsia"/>
          <w:color w:val="auto"/>
          <w:lang w:val="en-US" w:eastAsia="zh-CN"/>
        </w:rPr>
        <w:t>组</w:t>
      </w:r>
      <w:r>
        <w:rPr>
          <w:rFonts w:hint="eastAsia"/>
          <w:color w:val="auto"/>
        </w:rPr>
        <w:t>件的影响。混凝土梁身裂缝控制等级为三级，最大裂缝宽度限值按照现行国家标准《混凝土结构设计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50010的有关规定确定。</w:t>
      </w:r>
    </w:p>
    <w:p w14:paraId="78AC1B3C">
      <w:pPr>
        <w:pStyle w:val="49"/>
        <w:bidi w:val="0"/>
        <w:rPr>
          <w:rFonts w:hint="eastAsia"/>
          <w:color w:val="auto"/>
        </w:rPr>
      </w:pPr>
      <w:r>
        <w:rPr>
          <w:rFonts w:hint="eastAsia" w:ascii="Times New Roman" w:hAnsi="Times New Roman" w:eastAsia="宋体" w:cs="Times New Roman"/>
          <w:b/>
          <w:color w:val="auto"/>
          <w:sz w:val="24"/>
          <w:szCs w:val="24"/>
          <w:lang w:val="en-US" w:eastAsia="zh-CN"/>
        </w:rPr>
        <w:t xml:space="preserve">5.2.20 </w:t>
      </w:r>
      <w:r>
        <w:rPr>
          <w:rFonts w:hint="eastAsia"/>
          <w:color w:val="auto"/>
        </w:rPr>
        <w:t>施工阶段预制梁两端为铰接且不设临时支撑，除承受自重外，当采用无支撑叠合板时，还需承受新浇筑混凝土自重以及相应区域内的施工人员、设备产生的活荷载。因此，本条参照现行国家标准《混凝土结构工程施工规范》GB 50666对模板构件和预制混凝土构件的规定，对预制梁施工阶段的变形和抗裂验算进行了规定。</w:t>
      </w:r>
    </w:p>
    <w:p w14:paraId="202C3E27">
      <w:pPr>
        <w:pStyle w:val="41"/>
        <w:numPr>
          <w:ilvl w:val="1"/>
          <w:numId w:val="0"/>
        </w:numPr>
        <w:spacing w:before="312" w:after="312"/>
        <w:ind w:leftChars="0"/>
        <w:jc w:val="center"/>
        <w:rPr>
          <w:rFonts w:hint="eastAsia" w:ascii="Times New Roman" w:hAnsi="Times New Roman" w:eastAsia="宋体" w:cs="Times New Roman"/>
          <w:color w:val="auto"/>
          <w:lang w:val="en-US" w:eastAsia="zh-CN"/>
        </w:rPr>
      </w:pPr>
      <w:bookmarkStart w:id="270" w:name="_Toc779"/>
      <w:bookmarkStart w:id="271" w:name="_Toc31063"/>
      <w:bookmarkStart w:id="272" w:name="_Toc7370"/>
      <w:bookmarkStart w:id="273" w:name="_Toc16816"/>
      <w:bookmarkStart w:id="274" w:name="_Toc16144"/>
      <w:bookmarkStart w:id="275" w:name="_Toc11248"/>
      <w:r>
        <w:rPr>
          <w:rFonts w:hint="eastAsia" w:ascii="Times New Roman" w:hAnsi="Times New Roman" w:eastAsia="宋体" w:cs="Times New Roman"/>
          <w:color w:val="auto"/>
          <w:lang w:val="en-US" w:eastAsia="zh-CN"/>
        </w:rPr>
        <w:t>Ⅲ  预制柱</w:t>
      </w:r>
      <w:bookmarkEnd w:id="270"/>
      <w:bookmarkEnd w:id="271"/>
      <w:bookmarkEnd w:id="272"/>
      <w:bookmarkEnd w:id="273"/>
      <w:bookmarkEnd w:id="274"/>
      <w:bookmarkEnd w:id="275"/>
    </w:p>
    <w:p w14:paraId="24395334">
      <w:pPr>
        <w:pStyle w:val="49"/>
        <w:bidi w:val="0"/>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 xml:space="preserve">5.2.24~5.2.25 </w:t>
      </w:r>
      <w:r>
        <w:rPr>
          <w:rFonts w:hint="eastAsia" w:ascii="Times New Roman" w:hAnsi="Times New Roman" w:eastAsia="宋体" w:cs="Times New Roman"/>
          <w:color w:val="auto"/>
          <w:lang w:val="en-US" w:eastAsia="zh-CN"/>
        </w:rPr>
        <w:t>考虑钢组件尺寸不能太小，规定了柱截面的最小截面尺寸。对于矩形柱，按照现行国家标准《建筑抗震设计标准》GB/T 50011的有关规定确定；对于异形柱，按照现行行业标准《混凝土异形柱结构技术规程》JGJ 149的有关规定确定。</w:t>
      </w:r>
    </w:p>
    <w:p w14:paraId="2EDBEAEA">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color w:val="auto"/>
          <w:sz w:val="24"/>
          <w:szCs w:val="24"/>
          <w:lang w:val="en-US" w:eastAsia="zh-CN"/>
        </w:rPr>
        <w:t xml:space="preserve">5.2.26~5.2.27 </w:t>
      </w:r>
      <w:r>
        <w:rPr>
          <w:rFonts w:hint="eastAsia" w:ascii="Times New Roman" w:hAnsi="Times New Roman" w:eastAsia="宋体" w:cs="Times New Roman"/>
          <w:color w:val="auto"/>
          <w:lang w:val="en-US" w:eastAsia="zh-CN"/>
        </w:rPr>
        <w:t>预制梁、预制柱通过梁端钢组件与节点域钢组件</w:t>
      </w:r>
      <w:r>
        <w:rPr>
          <w:rFonts w:hint="eastAsia" w:cs="Times New Roman"/>
          <w:color w:val="auto"/>
          <w:lang w:val="en-US" w:eastAsia="zh-CN"/>
        </w:rPr>
        <w:t>或</w:t>
      </w:r>
      <w:r>
        <w:rPr>
          <w:rFonts w:hint="eastAsia" w:ascii="Times New Roman" w:hAnsi="Times New Roman" w:eastAsia="宋体" w:cs="Times New Roman"/>
          <w:color w:val="auto"/>
          <w:lang w:val="en-US" w:eastAsia="zh-CN"/>
        </w:rPr>
        <w:t>柱侧钢组件实现梁柱连接，是保证梁柱节点抗震性能的关键构件。</w:t>
      </w:r>
    </w:p>
    <w:p w14:paraId="7F9D1ECC">
      <w:pPr>
        <w:pStyle w:val="49"/>
        <w:bidi w:val="0"/>
        <w:ind w:firstLine="42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根据编制组完成的梁柱节点抗震性能试验及参考国家现行标准</w:t>
      </w:r>
      <w:r>
        <w:rPr>
          <w:rFonts w:hint="eastAsia"/>
          <w:color w:val="auto"/>
        </w:rPr>
        <w:t>《</w:t>
      </w:r>
      <w:r>
        <w:rPr>
          <w:rFonts w:hint="eastAsia"/>
          <w:color w:val="auto"/>
          <w:lang w:val="en-US" w:eastAsia="zh-CN"/>
        </w:rPr>
        <w:t>混凝土结构设计标准</w:t>
      </w:r>
      <w:r>
        <w:rPr>
          <w:rFonts w:hint="eastAsia"/>
          <w:color w:val="auto"/>
        </w:rPr>
        <w:t>》GB</w:t>
      </w:r>
      <w:r>
        <w:rPr>
          <w:rFonts w:hint="eastAsia"/>
          <w:color w:val="auto"/>
          <w:lang w:val="en-US" w:eastAsia="zh-CN"/>
        </w:rPr>
        <w:t>/T</w:t>
      </w:r>
      <w:r>
        <w:rPr>
          <w:rFonts w:hint="eastAsia"/>
          <w:color w:val="auto"/>
        </w:rPr>
        <w:t xml:space="preserve"> 5001</w:t>
      </w:r>
      <w:r>
        <w:rPr>
          <w:rFonts w:hint="eastAsia"/>
          <w:color w:val="auto"/>
          <w:lang w:val="en-US" w:eastAsia="zh-CN"/>
        </w:rPr>
        <w:t>0、</w:t>
      </w:r>
      <w:r>
        <w:rPr>
          <w:rFonts w:hint="eastAsia"/>
          <w:color w:val="auto"/>
        </w:rPr>
        <w:t>《钢结构设计标准》GB 50017</w:t>
      </w:r>
      <w:r>
        <w:rPr>
          <w:rFonts w:hint="eastAsia"/>
          <w:color w:val="auto"/>
          <w:lang w:eastAsia="zh-CN"/>
        </w:rPr>
        <w:t>、</w:t>
      </w:r>
      <w:r>
        <w:rPr>
          <w:rFonts w:hint="eastAsia"/>
          <w:color w:val="auto"/>
          <w:lang w:val="en-US" w:eastAsia="zh-CN"/>
        </w:rPr>
        <w:t>《钢筋焊接及验收规程》JGJ 18对</w:t>
      </w:r>
      <w:r>
        <w:rPr>
          <w:rFonts w:hint="eastAsia" w:ascii="Times New Roman" w:hAnsi="Times New Roman" w:eastAsia="宋体" w:cs="Times New Roman"/>
          <w:color w:val="auto"/>
          <w:lang w:val="en-US" w:eastAsia="zh-CN"/>
        </w:rPr>
        <w:t>节点域钢组件、柱侧钢组件构造进行了规定。</w:t>
      </w:r>
    </w:p>
    <w:p w14:paraId="2D98CAC6">
      <w:pPr>
        <w:pStyle w:val="49"/>
        <w:bidi w:val="0"/>
        <w:rPr>
          <w:rFonts w:hint="eastAsia"/>
          <w:color w:val="auto"/>
          <w:lang w:eastAsia="zh-CN"/>
        </w:rPr>
      </w:pPr>
      <w:r>
        <w:rPr>
          <w:rFonts w:hint="eastAsia" w:ascii="Times New Roman" w:hAnsi="Times New Roman" w:eastAsia="宋体" w:cs="Times New Roman"/>
          <w:b/>
          <w:color w:val="auto"/>
          <w:sz w:val="24"/>
          <w:szCs w:val="24"/>
          <w:lang w:val="en-US" w:eastAsia="zh-CN"/>
        </w:rPr>
        <w:t xml:space="preserve">5.2.28 </w:t>
      </w:r>
      <w:r>
        <w:rPr>
          <w:rFonts w:hint="eastAsia" w:cs="Times New Roman"/>
          <w:b w:val="0"/>
          <w:color w:val="auto"/>
          <w:sz w:val="24"/>
          <w:szCs w:val="24"/>
          <w:lang w:val="en-US" w:eastAsia="zh-CN"/>
        </w:rPr>
        <w:t>柱端</w:t>
      </w:r>
      <w:r>
        <w:rPr>
          <w:rFonts w:hint="eastAsia" w:eastAsia="宋体"/>
          <w:color w:val="auto"/>
          <w:lang w:val="en-US" w:eastAsia="zh-CN"/>
        </w:rPr>
        <w:t>钢组</w:t>
      </w:r>
      <w:r>
        <w:rPr>
          <w:rFonts w:hint="eastAsia"/>
          <w:color w:val="auto"/>
          <w:lang w:eastAsia="zh-CN"/>
        </w:rPr>
        <w:t>件</w:t>
      </w:r>
      <w:r>
        <w:rPr>
          <w:rFonts w:hint="eastAsia"/>
          <w:color w:val="auto"/>
        </w:rPr>
        <w:t>的截面尺寸和位置需要与预制柱匹配，为保证传力合理，其</w:t>
      </w:r>
      <w:r>
        <w:rPr>
          <w:rFonts w:hint="eastAsia"/>
          <w:color w:val="auto"/>
          <w:lang w:eastAsia="zh-CN"/>
        </w:rPr>
        <w:t>组合</w:t>
      </w:r>
      <w:r>
        <w:rPr>
          <w:rFonts w:hint="eastAsia"/>
          <w:color w:val="auto"/>
        </w:rPr>
        <w:t>截面形心与柱身截面形心宜保持重合。</w:t>
      </w:r>
      <w:r>
        <w:rPr>
          <w:rFonts w:hint="eastAsia" w:cs="Times New Roman"/>
          <w:b w:val="0"/>
          <w:color w:val="auto"/>
          <w:sz w:val="24"/>
          <w:szCs w:val="24"/>
          <w:lang w:val="en-US" w:eastAsia="zh-CN"/>
        </w:rPr>
        <w:t>柱端</w:t>
      </w:r>
      <w:r>
        <w:rPr>
          <w:rFonts w:hint="eastAsia" w:eastAsia="宋体"/>
          <w:color w:val="auto"/>
          <w:lang w:val="en-US" w:eastAsia="zh-CN"/>
        </w:rPr>
        <w:t>钢组</w:t>
      </w:r>
      <w:r>
        <w:rPr>
          <w:rFonts w:hint="eastAsia"/>
          <w:color w:val="auto"/>
          <w:lang w:eastAsia="zh-CN"/>
        </w:rPr>
        <w:t>件</w:t>
      </w:r>
      <w:r>
        <w:rPr>
          <w:rFonts w:hint="eastAsia"/>
          <w:color w:val="auto"/>
        </w:rPr>
        <w:t>侧板与柱纵筋需要进行焊接且需要参与受力，因此其壁厚不宜过</w:t>
      </w:r>
      <w:r>
        <w:rPr>
          <w:rFonts w:hint="eastAsia"/>
          <w:color w:val="auto"/>
          <w:lang w:val="en-US" w:eastAsia="zh-CN"/>
        </w:rPr>
        <w:t>小</w:t>
      </w:r>
      <w:r>
        <w:rPr>
          <w:rFonts w:hint="eastAsia"/>
          <w:color w:val="auto"/>
          <w:lang w:eastAsia="zh-CN"/>
        </w:rPr>
        <w:t>。整体式</w:t>
      </w:r>
      <w:r>
        <w:rPr>
          <w:rFonts w:hint="eastAsia"/>
          <w:color w:val="auto"/>
          <w:lang w:val="en-US" w:eastAsia="zh-CN"/>
        </w:rPr>
        <w:t>柱端钢组</w:t>
      </w:r>
      <w:r>
        <w:rPr>
          <w:rFonts w:hint="eastAsia"/>
          <w:color w:val="auto"/>
          <w:lang w:eastAsia="zh-CN"/>
        </w:rPr>
        <w:t>件自身可实现与混凝土的协同工作及实现拉压传力，因此无需再设与混凝土连接的加强措施；分体</w:t>
      </w:r>
      <w:r>
        <w:rPr>
          <w:rFonts w:hint="eastAsia"/>
          <w:color w:val="auto"/>
          <w:lang w:val="en-US" w:eastAsia="zh-CN"/>
        </w:rPr>
        <w:t>式</w:t>
      </w:r>
      <w:r>
        <w:rPr>
          <w:rFonts w:hint="eastAsia" w:cs="Times New Roman"/>
          <w:b w:val="0"/>
          <w:color w:val="auto"/>
          <w:sz w:val="24"/>
          <w:szCs w:val="24"/>
          <w:lang w:val="en-US" w:eastAsia="zh-CN"/>
        </w:rPr>
        <w:t>柱端</w:t>
      </w:r>
      <w:r>
        <w:rPr>
          <w:rFonts w:hint="eastAsia" w:eastAsia="宋体"/>
          <w:color w:val="auto"/>
          <w:lang w:val="en-US" w:eastAsia="zh-CN"/>
        </w:rPr>
        <w:t>钢组</w:t>
      </w:r>
      <w:r>
        <w:rPr>
          <w:rFonts w:hint="eastAsia"/>
          <w:color w:val="auto"/>
          <w:lang w:eastAsia="zh-CN"/>
        </w:rPr>
        <w:t>件侧板与混凝土之间</w:t>
      </w:r>
      <w:r>
        <w:rPr>
          <w:rFonts w:hint="eastAsia"/>
          <w:color w:val="auto"/>
          <w:lang w:val="en-US" w:eastAsia="zh-CN"/>
        </w:rPr>
        <w:t>需</w:t>
      </w:r>
      <w:r>
        <w:rPr>
          <w:rFonts w:hint="eastAsia"/>
          <w:color w:val="auto"/>
          <w:lang w:eastAsia="zh-CN"/>
        </w:rPr>
        <w:t>采用</w:t>
      </w:r>
      <w:r>
        <w:rPr>
          <w:rFonts w:hint="eastAsia"/>
          <w:color w:val="auto"/>
          <w:lang w:val="en-US" w:eastAsia="zh-CN"/>
        </w:rPr>
        <w:t>连接</w:t>
      </w:r>
      <w:r>
        <w:rPr>
          <w:rFonts w:hint="eastAsia"/>
          <w:color w:val="auto"/>
          <w:lang w:eastAsia="zh-CN"/>
        </w:rPr>
        <w:t>加强措施，一方面可以增</w:t>
      </w:r>
      <w:r>
        <w:rPr>
          <w:rFonts w:hint="eastAsia"/>
          <w:color w:val="auto"/>
          <w:lang w:val="en-US" w:eastAsia="zh-CN"/>
        </w:rPr>
        <w:t>强柱端钢组</w:t>
      </w:r>
      <w:r>
        <w:rPr>
          <w:rFonts w:hint="eastAsia"/>
          <w:color w:val="auto"/>
          <w:lang w:eastAsia="zh-CN"/>
        </w:rPr>
        <w:t>件</w:t>
      </w:r>
      <w:r>
        <w:rPr>
          <w:rFonts w:hint="eastAsia"/>
          <w:color w:val="auto"/>
          <w:lang w:val="en-US" w:eastAsia="zh-CN"/>
        </w:rPr>
        <w:t>在混凝土内的锚固</w:t>
      </w:r>
      <w:r>
        <w:rPr>
          <w:rFonts w:hint="eastAsia"/>
          <w:color w:val="auto"/>
          <w:lang w:eastAsia="zh-CN"/>
        </w:rPr>
        <w:t>，另一方面可以保证</w:t>
      </w:r>
      <w:r>
        <w:rPr>
          <w:rFonts w:hint="eastAsia"/>
          <w:color w:val="auto"/>
          <w:lang w:val="en-US" w:eastAsia="zh-CN"/>
        </w:rPr>
        <w:t>柱端钢组</w:t>
      </w:r>
      <w:r>
        <w:rPr>
          <w:rFonts w:hint="eastAsia"/>
          <w:color w:val="auto"/>
          <w:lang w:eastAsia="zh-CN"/>
        </w:rPr>
        <w:t>件与混凝土协同受力。</w:t>
      </w:r>
    </w:p>
    <w:p w14:paraId="27233950">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color w:val="auto"/>
          <w:sz w:val="24"/>
          <w:szCs w:val="24"/>
          <w:lang w:val="en-US" w:eastAsia="zh-CN"/>
        </w:rPr>
        <w:t xml:space="preserve">5.2.30~5.2.35 </w:t>
      </w:r>
      <w:r>
        <w:rPr>
          <w:rFonts w:hint="eastAsia" w:ascii="Times New Roman" w:hAnsi="Times New Roman" w:eastAsia="宋体" w:cs="Times New Roman"/>
          <w:color w:val="auto"/>
          <w:lang w:val="en-US" w:eastAsia="zh-CN"/>
        </w:rPr>
        <w:t>根据编制组完成的梁柱节点抗震性能试验，钢组件连接的梁柱节点</w:t>
      </w:r>
      <w:r>
        <w:rPr>
          <w:rFonts w:hint="eastAsia"/>
          <w:color w:val="auto"/>
          <w:lang w:eastAsia="zh-CN"/>
        </w:rPr>
        <w:t>可实现受力性能等同现浇</w:t>
      </w:r>
      <w:r>
        <w:rPr>
          <w:rFonts w:hint="eastAsia"/>
          <w:color w:val="auto"/>
          <w:lang w:val="en-US" w:eastAsia="zh-CN"/>
        </w:rPr>
        <w:t>，</w:t>
      </w:r>
      <w:r>
        <w:rPr>
          <w:rFonts w:hint="eastAsia" w:ascii="Times New Roman" w:hAnsi="Times New Roman" w:eastAsia="宋体" w:cs="Times New Roman"/>
          <w:color w:val="auto"/>
          <w:lang w:val="en-US" w:eastAsia="zh-CN"/>
        </w:rPr>
        <w:t>对于矩形柱，按现行国家标准《建筑抗震设计标准》GB/T 50011的有关规定确定；对于异形柱，按现行行业标准《混凝土异形柱结构技术规程》JGJ 149的有关规定确定。</w:t>
      </w:r>
    </w:p>
    <w:p w14:paraId="7FEF4591">
      <w:pPr>
        <w:pStyle w:val="49"/>
        <w:bidi w:val="0"/>
        <w:rPr>
          <w:rFonts w:hint="default" w:ascii="Times New Roman" w:hAnsi="Times New Roman" w:eastAsia="宋体" w:cs="Times New Roman"/>
          <w:color w:val="auto"/>
          <w:lang w:val="en-US" w:eastAsia="zh-CN"/>
        </w:rPr>
      </w:pPr>
      <w:r>
        <w:rPr>
          <w:rFonts w:hint="eastAsia" w:cs="Times New Roman"/>
          <w:b/>
          <w:bCs/>
          <w:color w:val="auto"/>
          <w:lang w:val="en-US" w:eastAsia="zh-CN"/>
        </w:rPr>
        <w:t>5.2.36</w:t>
      </w:r>
      <w:r>
        <w:rPr>
          <w:rFonts w:hint="eastAsia" w:cs="Times New Roman"/>
          <w:color w:val="auto"/>
          <w:lang w:val="en-US" w:eastAsia="zh-CN"/>
        </w:rPr>
        <w:t xml:space="preserve"> 根据B型梁柱连接节点试验结果及理论分析，节点域连接钢筋的受拉承载力设计值不应小于对应的被连接预制梁纵向受力钢筋受拉承载力设计值，对于抗震等级为一级、二级的情况，应考虑一定的连接增大系数。</w:t>
      </w:r>
    </w:p>
    <w:p w14:paraId="47B56753">
      <w:pPr>
        <w:pStyle w:val="49"/>
        <w:rPr>
          <w:rFonts w:hint="eastAsia"/>
          <w:color w:val="auto"/>
          <w:lang w:val="en-US" w:eastAsia="zh-CN"/>
        </w:rPr>
      </w:pPr>
      <w:r>
        <w:rPr>
          <w:rFonts w:hint="eastAsia" w:ascii="Times New Roman" w:hAnsi="Times New Roman" w:eastAsia="宋体" w:cs="Times New Roman"/>
          <w:b/>
          <w:color w:val="auto"/>
          <w:sz w:val="24"/>
          <w:szCs w:val="24"/>
          <w:lang w:val="en-US" w:eastAsia="zh-CN"/>
        </w:rPr>
        <w:t xml:space="preserve">5.2.37 </w:t>
      </w:r>
      <w:r>
        <w:rPr>
          <w:rFonts w:hint="eastAsia"/>
          <w:color w:val="auto"/>
          <w:lang w:val="en-US" w:eastAsia="zh-CN"/>
        </w:rPr>
        <w:t>对于柱端钢组件侧板，综合考虑钢筋合力点与侧板中心的偏心、柱的强连接系数及受力的不均匀系数等，确定了公式（5.2.37-2）中增大系数</w:t>
      </w:r>
      <w:r>
        <w:rPr>
          <w:rFonts w:hint="default" w:ascii="Times New Roman" w:hAnsi="Times New Roman" w:eastAsia="宋体" w:cs="Times New Roman"/>
          <w:i/>
          <w:iCs/>
          <w:color w:val="auto"/>
          <w:position w:val="0"/>
          <w:lang w:eastAsia="zh-CN"/>
        </w:rPr>
        <w:t>η</w:t>
      </w:r>
      <w:r>
        <w:rPr>
          <w:rFonts w:hint="eastAsia" w:cs="Times New Roman"/>
          <w:i w:val="0"/>
          <w:iCs w:val="0"/>
          <w:color w:val="auto"/>
          <w:position w:val="0"/>
          <w:vertAlign w:val="subscript"/>
          <w:lang w:val="en-US" w:eastAsia="zh-CN"/>
        </w:rPr>
        <w:t>s</w:t>
      </w:r>
      <w:r>
        <w:rPr>
          <w:rFonts w:hint="eastAsia" w:cs="Times New Roman"/>
          <w:color w:val="auto"/>
          <w:position w:val="0"/>
          <w:vertAlign w:val="baseline"/>
          <w:lang w:val="en-US" w:eastAsia="zh-CN"/>
        </w:rPr>
        <w:t>的取值。</w:t>
      </w:r>
      <w:r>
        <w:rPr>
          <w:rFonts w:hint="eastAsia"/>
          <w:color w:val="auto"/>
          <w:lang w:val="en-US" w:eastAsia="zh-CN"/>
        </w:rPr>
        <w:t>对</w:t>
      </w:r>
      <w:r>
        <w:rPr>
          <w:rFonts w:hint="eastAsia"/>
          <w:color w:val="auto"/>
          <w:lang w:eastAsia="zh-CN"/>
        </w:rPr>
        <w:t>分体式</w:t>
      </w:r>
      <w:r>
        <w:rPr>
          <w:rFonts w:hint="eastAsia"/>
          <w:color w:val="auto"/>
          <w:lang w:val="en-US" w:eastAsia="zh-CN"/>
        </w:rPr>
        <w:t>柱端钢组件</w:t>
      </w:r>
      <w:r>
        <w:rPr>
          <w:rFonts w:hint="eastAsia"/>
          <w:color w:val="auto"/>
          <w:lang w:eastAsia="zh-CN"/>
        </w:rPr>
        <w:t>，由于底板螺</w:t>
      </w:r>
      <w:r>
        <w:rPr>
          <w:rFonts w:hint="eastAsia"/>
          <w:color w:val="auto"/>
          <w:lang w:val="en-US" w:eastAsia="zh-CN"/>
        </w:rPr>
        <w:t>栓</w:t>
      </w:r>
      <w:r>
        <w:rPr>
          <w:rFonts w:hint="eastAsia"/>
          <w:color w:val="auto"/>
          <w:lang w:eastAsia="zh-CN"/>
        </w:rPr>
        <w:t>孔中心位置</w:t>
      </w:r>
      <w:r>
        <w:rPr>
          <w:rFonts w:hint="eastAsia"/>
          <w:color w:val="auto"/>
          <w:lang w:val="en-US" w:eastAsia="zh-CN"/>
        </w:rPr>
        <w:t>以</w:t>
      </w:r>
      <w:r>
        <w:rPr>
          <w:rFonts w:hint="eastAsia"/>
          <w:color w:val="auto"/>
          <w:lang w:eastAsia="zh-CN"/>
        </w:rPr>
        <w:t>及与侧板连接的钢筋位置等并不确定，</w:t>
      </w:r>
      <w:r>
        <w:rPr>
          <w:rFonts w:hint="eastAsia"/>
          <w:color w:val="auto"/>
          <w:lang w:val="en-US" w:eastAsia="zh-CN"/>
        </w:rPr>
        <w:t>导致</w:t>
      </w:r>
      <w:r>
        <w:rPr>
          <w:rFonts w:hint="eastAsia"/>
          <w:color w:val="auto"/>
          <w:lang w:eastAsia="zh-CN"/>
        </w:rPr>
        <w:t>底板和侧板的受力中心可能不</w:t>
      </w:r>
      <w:r>
        <w:rPr>
          <w:rFonts w:hint="eastAsia"/>
          <w:color w:val="auto"/>
          <w:lang w:val="en-US" w:eastAsia="zh-CN"/>
        </w:rPr>
        <w:t>在</w:t>
      </w:r>
      <w:r>
        <w:rPr>
          <w:rFonts w:hint="eastAsia"/>
          <w:color w:val="auto"/>
          <w:lang w:eastAsia="zh-CN"/>
        </w:rPr>
        <w:t>同一截面，受力</w:t>
      </w:r>
      <w:r>
        <w:rPr>
          <w:rFonts w:hint="eastAsia"/>
          <w:color w:val="auto"/>
          <w:lang w:val="en-US" w:eastAsia="zh-CN"/>
        </w:rPr>
        <w:t>情况</w:t>
      </w:r>
      <w:r>
        <w:rPr>
          <w:rFonts w:hint="eastAsia"/>
          <w:color w:val="auto"/>
          <w:lang w:eastAsia="zh-CN"/>
        </w:rPr>
        <w:t>复杂，所以需</w:t>
      </w:r>
      <w:r>
        <w:rPr>
          <w:rFonts w:hint="eastAsia" w:ascii="Times New Roman" w:hAnsi="Times New Roman" w:eastAsia="宋体" w:cs="Times New Roman"/>
          <w:color w:val="auto"/>
          <w:lang w:val="en-US" w:eastAsia="zh-CN"/>
        </w:rPr>
        <w:t>进行拉伸性能检验以验证</w:t>
      </w:r>
      <w:r>
        <w:rPr>
          <w:rFonts w:hint="eastAsia"/>
          <w:color w:val="auto"/>
          <w:lang w:val="en-US" w:eastAsia="zh-CN"/>
        </w:rPr>
        <w:t>钢组</w:t>
      </w:r>
      <w:r>
        <w:rPr>
          <w:rFonts w:hint="eastAsia"/>
          <w:color w:val="auto"/>
          <w:lang w:eastAsia="zh-CN"/>
        </w:rPr>
        <w:t>件是否满足要求；对整体式</w:t>
      </w:r>
      <w:r>
        <w:rPr>
          <w:rFonts w:hint="eastAsia"/>
          <w:color w:val="auto"/>
          <w:lang w:val="en-US" w:eastAsia="zh-CN"/>
        </w:rPr>
        <w:t>柱端钢组件</w:t>
      </w:r>
      <w:r>
        <w:rPr>
          <w:rFonts w:hint="eastAsia"/>
          <w:color w:val="auto"/>
          <w:lang w:eastAsia="zh-CN"/>
        </w:rPr>
        <w:t>，侧板通过底部设置的加劲肋可传递</w:t>
      </w:r>
      <w:r>
        <w:rPr>
          <w:rFonts w:hint="eastAsia"/>
          <w:color w:val="auto"/>
          <w:lang w:val="en-US" w:eastAsia="zh-CN"/>
        </w:rPr>
        <w:t>荷载</w:t>
      </w:r>
      <w:r>
        <w:rPr>
          <w:rFonts w:hint="eastAsia"/>
          <w:color w:val="auto"/>
          <w:lang w:eastAsia="zh-CN"/>
        </w:rPr>
        <w:t>给底板，</w:t>
      </w:r>
      <w:r>
        <w:rPr>
          <w:rFonts w:hint="eastAsia"/>
          <w:color w:val="auto"/>
          <w:lang w:val="en-US" w:eastAsia="zh-CN"/>
        </w:rPr>
        <w:t>柱端钢组件</w:t>
      </w:r>
      <w:r>
        <w:rPr>
          <w:rFonts w:hint="eastAsia"/>
          <w:color w:val="auto"/>
          <w:lang w:eastAsia="zh-CN"/>
        </w:rPr>
        <w:t>整体受力较为均匀且连接件自身可实现拉压传力。</w:t>
      </w:r>
      <w:r>
        <w:rPr>
          <w:rFonts w:hint="eastAsia"/>
          <w:color w:val="auto"/>
          <w:lang w:val="en-US" w:eastAsia="zh-CN"/>
        </w:rPr>
        <w:t>根据编制组进行的抗震性能试验，按本条公式（5.2.37-2）设计的整体式</w:t>
      </w:r>
      <w:r>
        <w:rPr>
          <w:rFonts w:hint="eastAsia" w:cs="Times New Roman"/>
          <w:b w:val="0"/>
          <w:color w:val="auto"/>
          <w:sz w:val="24"/>
          <w:szCs w:val="24"/>
          <w:lang w:val="en-US" w:eastAsia="zh-CN"/>
        </w:rPr>
        <w:t>柱端</w:t>
      </w:r>
      <w:r>
        <w:rPr>
          <w:rFonts w:hint="eastAsia" w:eastAsia="宋体"/>
          <w:color w:val="auto"/>
          <w:lang w:val="en-US" w:eastAsia="zh-CN"/>
        </w:rPr>
        <w:t>钢组</w:t>
      </w:r>
      <w:r>
        <w:rPr>
          <w:rFonts w:hint="eastAsia"/>
          <w:color w:val="auto"/>
          <w:lang w:eastAsia="zh-CN"/>
        </w:rPr>
        <w:t>件</w:t>
      </w:r>
      <w:r>
        <w:rPr>
          <w:rFonts w:hint="eastAsia"/>
          <w:color w:val="auto"/>
          <w:lang w:val="en-US" w:eastAsia="zh-CN"/>
        </w:rPr>
        <w:t>未发生屈服破坏。</w:t>
      </w:r>
    </w:p>
    <w:p w14:paraId="44638643">
      <w:pPr>
        <w:rPr>
          <w:rFonts w:hint="default" w:ascii="Times New Roman" w:hAnsi="Times New Roman" w:eastAsia="宋体" w:cs="Times New Roman"/>
          <w:b/>
          <w:kern w:val="2"/>
          <w:sz w:val="28"/>
          <w:szCs w:val="20"/>
          <w:lang w:val="en-US" w:eastAsia="zh-CN" w:bidi="ar-SA"/>
        </w:rPr>
      </w:pPr>
      <w:r>
        <w:rPr>
          <w:rFonts w:hint="default" w:ascii="Times New Roman" w:hAnsi="Times New Roman" w:eastAsia="宋体" w:cs="Times New Roman"/>
          <w:b/>
          <w:kern w:val="2"/>
          <w:sz w:val="28"/>
          <w:szCs w:val="20"/>
          <w:lang w:val="en-US" w:eastAsia="zh-CN" w:bidi="ar-SA"/>
        </w:rPr>
        <w:br w:type="page"/>
      </w:r>
    </w:p>
    <w:p w14:paraId="3D155EB3">
      <w:pPr>
        <w:pStyle w:val="3"/>
        <w:keepNext/>
        <w:keepLines/>
        <w:pageBreakBefore w:val="0"/>
        <w:widowControl w:val="0"/>
        <w:kinsoku/>
        <w:wordWrap/>
        <w:overflowPunct/>
        <w:topLinePunct w:val="0"/>
        <w:autoSpaceDE/>
        <w:autoSpaceDN/>
        <w:bidi w:val="0"/>
        <w:adjustRightInd w:val="0"/>
        <w:snapToGrid w:val="0"/>
        <w:spacing w:before="170" w:beforeLines="50" w:after="170" w:afterLines="50" w:line="360" w:lineRule="exact"/>
        <w:ind w:left="0" w:leftChars="0" w:firstLine="0" w:firstLineChars="0"/>
        <w:jc w:val="center"/>
        <w:textAlignment w:val="auto"/>
        <w:rPr>
          <w:rFonts w:hint="default" w:ascii="Times New Roman" w:hAnsi="Times New Roman" w:eastAsia="宋体" w:cs="Times New Roman"/>
          <w:b/>
          <w:kern w:val="2"/>
          <w:sz w:val="28"/>
          <w:szCs w:val="20"/>
          <w:lang w:val="en-US" w:eastAsia="zh-CN" w:bidi="ar-SA"/>
        </w:rPr>
      </w:pPr>
      <w:bookmarkStart w:id="276" w:name="_Toc14448"/>
      <w:bookmarkStart w:id="277" w:name="_Toc6954"/>
      <w:bookmarkStart w:id="278" w:name="_Toc1114"/>
      <w:bookmarkStart w:id="279" w:name="_Toc31637"/>
      <w:bookmarkStart w:id="280" w:name="_Toc28770"/>
      <w:bookmarkStart w:id="281" w:name="_Toc19856"/>
      <w:bookmarkStart w:id="282" w:name="_Toc8403"/>
      <w:r>
        <w:rPr>
          <w:rFonts w:hint="eastAsia" w:cs="Times New Roman"/>
          <w:b/>
          <w:kern w:val="2"/>
          <w:sz w:val="28"/>
          <w:szCs w:val="20"/>
          <w:lang w:val="en-US" w:eastAsia="zh-CN" w:bidi="ar-SA"/>
        </w:rPr>
        <w:t>6</w:t>
      </w:r>
      <w:r>
        <w:rPr>
          <w:rFonts w:hint="default" w:ascii="Times New Roman" w:hAnsi="Times New Roman" w:eastAsia="宋体" w:cs="Times New Roman"/>
          <w:b/>
          <w:kern w:val="2"/>
          <w:sz w:val="28"/>
          <w:szCs w:val="20"/>
          <w:lang w:val="en-US" w:eastAsia="zh-CN" w:bidi="ar-SA"/>
        </w:rPr>
        <w:t xml:space="preserve">  </w:t>
      </w:r>
      <w:bookmarkEnd w:id="239"/>
      <w:bookmarkEnd w:id="240"/>
      <w:bookmarkEnd w:id="241"/>
      <w:bookmarkEnd w:id="242"/>
      <w:r>
        <w:rPr>
          <w:rFonts w:hint="eastAsia" w:cs="Times New Roman"/>
          <w:b/>
          <w:kern w:val="2"/>
          <w:sz w:val="28"/>
          <w:szCs w:val="20"/>
          <w:lang w:val="en-US" w:eastAsia="zh-CN" w:bidi="ar-SA"/>
        </w:rPr>
        <w:t>连接节点设计</w:t>
      </w:r>
      <w:bookmarkEnd w:id="243"/>
      <w:bookmarkEnd w:id="276"/>
      <w:bookmarkEnd w:id="277"/>
      <w:bookmarkEnd w:id="278"/>
      <w:bookmarkEnd w:id="279"/>
      <w:bookmarkEnd w:id="280"/>
      <w:bookmarkEnd w:id="281"/>
      <w:bookmarkEnd w:id="282"/>
    </w:p>
    <w:p w14:paraId="694BAD17">
      <w:pPr>
        <w:pStyle w:val="41"/>
        <w:numPr>
          <w:ilvl w:val="1"/>
          <w:numId w:val="0"/>
        </w:numPr>
        <w:spacing w:before="312" w:after="312"/>
        <w:ind w:leftChars="0"/>
        <w:jc w:val="center"/>
        <w:rPr>
          <w:rFonts w:hint="eastAsia"/>
          <w:lang w:val="en-US" w:eastAsia="zh-CN"/>
        </w:rPr>
      </w:pPr>
      <w:bookmarkStart w:id="283" w:name="_Toc19835"/>
      <w:bookmarkStart w:id="284" w:name="_Toc21806"/>
      <w:bookmarkStart w:id="285" w:name="_Toc14842"/>
      <w:bookmarkStart w:id="286" w:name="_Toc18138"/>
      <w:bookmarkStart w:id="287" w:name="_Toc29943"/>
      <w:bookmarkStart w:id="288" w:name="_Toc32668"/>
      <w:r>
        <w:rPr>
          <w:rFonts w:hint="eastAsia"/>
          <w:lang w:val="en-US" w:eastAsia="zh-CN"/>
        </w:rPr>
        <w:t>6.1 梁柱连接节点</w:t>
      </w:r>
      <w:bookmarkEnd w:id="283"/>
      <w:bookmarkEnd w:id="284"/>
      <w:bookmarkEnd w:id="285"/>
      <w:bookmarkEnd w:id="286"/>
      <w:bookmarkEnd w:id="287"/>
      <w:bookmarkEnd w:id="288"/>
    </w:p>
    <w:p w14:paraId="1BB96A49">
      <w:pPr>
        <w:pStyle w:val="41"/>
        <w:numPr>
          <w:ilvl w:val="1"/>
          <w:numId w:val="0"/>
        </w:numPr>
        <w:spacing w:before="312" w:after="312"/>
        <w:ind w:leftChars="0"/>
        <w:jc w:val="center"/>
        <w:rPr>
          <w:rFonts w:hint="default"/>
          <w:lang w:val="en-US" w:eastAsia="zh-CN"/>
        </w:rPr>
      </w:pPr>
      <w:bookmarkStart w:id="289" w:name="_Toc26679"/>
      <w:bookmarkStart w:id="290" w:name="_Toc5414"/>
      <w:bookmarkStart w:id="291" w:name="_Toc12297"/>
      <w:bookmarkStart w:id="292" w:name="_Toc21207"/>
      <w:bookmarkStart w:id="293" w:name="_Toc3007"/>
      <w:bookmarkStart w:id="294" w:name="_Toc29266"/>
      <w:r>
        <w:rPr>
          <w:rFonts w:hint="eastAsia" w:ascii="Times New Roman" w:hAnsi="Times New Roman" w:eastAsia="宋体" w:cs="Times New Roman"/>
          <w:color w:val="auto"/>
          <w:lang w:val="en-US" w:eastAsia="zh-CN"/>
        </w:rPr>
        <w:t>Ⅰ  一般规定</w:t>
      </w:r>
      <w:bookmarkEnd w:id="289"/>
      <w:bookmarkEnd w:id="290"/>
      <w:bookmarkEnd w:id="291"/>
      <w:bookmarkEnd w:id="292"/>
      <w:bookmarkEnd w:id="293"/>
      <w:bookmarkEnd w:id="294"/>
    </w:p>
    <w:p w14:paraId="58022150">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szCs w:val="24"/>
        </w:rPr>
      </w:pPr>
      <w:r>
        <w:rPr>
          <w:rFonts w:hint="eastAsia" w:cs="Times New Roman"/>
          <w:b/>
          <w:color w:val="000000"/>
          <w:sz w:val="24"/>
          <w:szCs w:val="24"/>
          <w:lang w:val="en-US" w:eastAsia="zh-CN"/>
        </w:rPr>
        <w:t>6</w:t>
      </w:r>
      <w:r>
        <w:rPr>
          <w:rFonts w:hint="default" w:ascii="Times New Roman" w:hAnsi="Times New Roman" w:cs="Times New Roman"/>
          <w:b/>
          <w:color w:val="000000"/>
          <w:sz w:val="24"/>
          <w:szCs w:val="24"/>
        </w:rPr>
        <w:t>.</w:t>
      </w:r>
      <w:r>
        <w:rPr>
          <w:rFonts w:hint="eastAsia"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w:t>
      </w:r>
      <w:r>
        <w:rPr>
          <w:rFonts w:hint="eastAsia" w:cs="Times New Roman"/>
          <w:b/>
          <w:color w:val="000000"/>
          <w:sz w:val="24"/>
          <w:szCs w:val="24"/>
          <w:lang w:val="en-US" w:eastAsia="zh-CN"/>
        </w:rPr>
        <w:t>3</w:t>
      </w:r>
      <w:r>
        <w:rPr>
          <w:rFonts w:hint="default" w:ascii="Times New Roman" w:hAnsi="Times New Roman" w:cs="Times New Roman"/>
          <w:b/>
          <w:color w:val="000000"/>
          <w:sz w:val="24"/>
          <w:szCs w:val="24"/>
        </w:rPr>
        <w:t xml:space="preserve"> </w:t>
      </w:r>
      <w:r>
        <w:rPr>
          <w:rFonts w:hint="eastAsia"/>
          <w:color w:val="auto"/>
          <w:szCs w:val="24"/>
          <w:lang w:val="en-US" w:eastAsia="zh-CN"/>
        </w:rPr>
        <w:t>连接段是保证</w:t>
      </w:r>
      <w:r>
        <w:rPr>
          <w:rFonts w:hint="eastAsia"/>
          <w:lang w:val="en-US" w:eastAsia="zh-CN"/>
        </w:rPr>
        <w:t>梁柱连接节点抗震性能的关键部位</w:t>
      </w:r>
      <w:r>
        <w:rPr>
          <w:rFonts w:hint="eastAsia"/>
          <w:color w:val="auto"/>
          <w:szCs w:val="24"/>
        </w:rPr>
        <w:t>，此范围箍筋加密有利于</w:t>
      </w:r>
      <w:r>
        <w:rPr>
          <w:rFonts w:hint="eastAsia"/>
          <w:color w:val="auto"/>
          <w:szCs w:val="24"/>
          <w:lang w:val="en-US" w:eastAsia="zh-CN"/>
        </w:rPr>
        <w:t>实现</w:t>
      </w:r>
      <w:r>
        <w:rPr>
          <w:rFonts w:hint="eastAsia"/>
          <w:color w:val="auto"/>
          <w:szCs w:val="24"/>
          <w:lang w:eastAsia="zh-CN"/>
        </w:rPr>
        <w:t>“</w:t>
      </w:r>
      <w:r>
        <w:rPr>
          <w:rFonts w:hint="eastAsia"/>
          <w:color w:val="auto"/>
          <w:szCs w:val="24"/>
          <w:lang w:val="en-US" w:eastAsia="zh-CN"/>
        </w:rPr>
        <w:t>强剪弱弯</w:t>
      </w:r>
      <w:r>
        <w:rPr>
          <w:rFonts w:hint="eastAsia"/>
          <w:color w:val="auto"/>
          <w:szCs w:val="24"/>
          <w:lang w:eastAsia="zh-CN"/>
        </w:rPr>
        <w:t>”</w:t>
      </w:r>
      <w:r>
        <w:rPr>
          <w:rFonts w:hint="eastAsia"/>
          <w:color w:val="auto"/>
          <w:szCs w:val="24"/>
          <w:lang w:val="en-US" w:eastAsia="zh-CN"/>
        </w:rPr>
        <w:t>设计</w:t>
      </w:r>
      <w:r>
        <w:rPr>
          <w:rFonts w:hint="eastAsia"/>
          <w:color w:val="auto"/>
          <w:szCs w:val="24"/>
        </w:rPr>
        <w:t>。</w:t>
      </w:r>
    </w:p>
    <w:p w14:paraId="72730BC1">
      <w:pPr>
        <w:pStyle w:val="49"/>
        <w:rPr>
          <w:color w:val="auto"/>
        </w:rPr>
      </w:pPr>
      <w:r>
        <w:rPr>
          <w:rFonts w:hint="eastAsia" w:ascii="Times New Roman" w:hAnsi="Times New Roman" w:eastAsia="宋体" w:cs="Times New Roman"/>
          <w:b/>
          <w:color w:val="000000"/>
          <w:kern w:val="2"/>
          <w:sz w:val="24"/>
          <w:szCs w:val="24"/>
          <w:lang w:val="en-US" w:eastAsia="zh-CN" w:bidi="ar-SA"/>
        </w:rPr>
        <w:t xml:space="preserve">6.1.4 </w:t>
      </w:r>
      <w:r>
        <w:rPr>
          <w:rFonts w:hint="eastAsia" w:eastAsia="宋体"/>
          <w:color w:val="auto"/>
          <w:lang w:val="en-US" w:eastAsia="zh-CN"/>
        </w:rPr>
        <w:t>钢组件</w:t>
      </w:r>
      <w:r>
        <w:rPr>
          <w:rFonts w:hint="eastAsia"/>
          <w:color w:val="auto"/>
        </w:rPr>
        <w:t>是将</w:t>
      </w:r>
      <w:r>
        <w:rPr>
          <w:rFonts w:hint="eastAsia"/>
          <w:color w:val="auto"/>
          <w:lang w:val="en-US" w:eastAsia="zh-CN"/>
        </w:rPr>
        <w:t>预制梁、预制柱</w:t>
      </w:r>
      <w:r>
        <w:rPr>
          <w:rFonts w:hint="eastAsia"/>
          <w:color w:val="auto"/>
        </w:rPr>
        <w:t>连接形成整体框架柱的关键要素，需要保证</w:t>
      </w:r>
      <w:r>
        <w:rPr>
          <w:rFonts w:hint="eastAsia"/>
          <w:color w:val="auto"/>
          <w:lang w:val="en-US" w:eastAsia="zh-CN"/>
        </w:rPr>
        <w:t>梁端钢组件与柱侧钢组件、节点域钢组件的</w:t>
      </w:r>
      <w:r>
        <w:rPr>
          <w:rFonts w:hint="eastAsia"/>
          <w:color w:val="auto"/>
        </w:rPr>
        <w:t>实现等强连接。现行行业标准《高层民用建筑钢结构技术规程》JGJ 99规定重要受拉构件的拼接，需采用一级全熔透焊缝。</w:t>
      </w:r>
    </w:p>
    <w:p w14:paraId="646B2779">
      <w:pPr>
        <w:pStyle w:val="2"/>
        <w:ind w:left="0" w:leftChars="0" w:firstLine="0" w:firstLineChars="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color w:val="000000"/>
          <w:kern w:val="2"/>
          <w:sz w:val="24"/>
          <w:szCs w:val="24"/>
          <w:lang w:val="en-US" w:eastAsia="zh-CN" w:bidi="ar-SA"/>
        </w:rPr>
        <w:t xml:space="preserve">6.1.5 </w:t>
      </w:r>
      <w:r>
        <w:rPr>
          <w:rFonts w:hint="eastAsia" w:ascii="Times New Roman" w:hAnsi="Times New Roman" w:eastAsia="宋体" w:cs="Times New Roman"/>
          <w:color w:val="auto"/>
          <w:kern w:val="2"/>
          <w:sz w:val="24"/>
          <w:szCs w:val="24"/>
          <w:lang w:val="en-US" w:eastAsia="zh-CN" w:bidi="ar-SA"/>
        </w:rPr>
        <w:t>本条公式（6.1.5-1）和（6.1.5-2）用于验算连接的受剪承载力设计值大于剪力设计值，是连接设计的基本要求。对地震设计状况，尚应符合强连接弱构件的原则，即应符合公式（6.1.5-3）的要求，对二</w:t>
      </w:r>
      <w:r>
        <w:rPr>
          <w:rFonts w:hint="eastAsia" w:cs="Times New Roman"/>
          <w:color w:val="auto"/>
          <w:kern w:val="2"/>
          <w:sz w:val="24"/>
          <w:szCs w:val="24"/>
          <w:lang w:val="en-US" w:eastAsia="zh-CN" w:bidi="ar-SA"/>
        </w:rPr>
        <w:t>级</w:t>
      </w:r>
      <w:r>
        <w:rPr>
          <w:rFonts w:hint="eastAsia" w:ascii="Times New Roman" w:hAnsi="Times New Roman" w:eastAsia="宋体" w:cs="Times New Roman"/>
          <w:color w:val="auto"/>
          <w:kern w:val="2"/>
          <w:sz w:val="24"/>
          <w:szCs w:val="24"/>
          <w:lang w:val="en-US" w:eastAsia="zh-CN" w:bidi="ar-SA"/>
        </w:rPr>
        <w:t>、三</w:t>
      </w:r>
      <w:r>
        <w:rPr>
          <w:rFonts w:hint="eastAsia" w:cs="Times New Roman"/>
          <w:color w:val="auto"/>
          <w:kern w:val="2"/>
          <w:sz w:val="24"/>
          <w:szCs w:val="24"/>
          <w:lang w:val="en-US" w:eastAsia="zh-CN" w:bidi="ar-SA"/>
        </w:rPr>
        <w:t>级</w:t>
      </w:r>
      <w:r>
        <w:rPr>
          <w:rFonts w:hint="eastAsia" w:ascii="Times New Roman" w:hAnsi="Times New Roman" w:eastAsia="宋体" w:cs="Times New Roman"/>
          <w:color w:val="auto"/>
          <w:kern w:val="2"/>
          <w:sz w:val="24"/>
          <w:szCs w:val="24"/>
          <w:lang w:val="en-US" w:eastAsia="zh-CN" w:bidi="ar-SA"/>
        </w:rPr>
        <w:t>、四级抗震等级，连接系数取1.2，对一级抗震等级，连接系数提高为1.35。</w:t>
      </w:r>
    </w:p>
    <w:p w14:paraId="6F47DEB9">
      <w:pPr>
        <w:pStyle w:val="2"/>
        <w:ind w:left="0" w:leftChars="0" w:firstLine="0" w:firstLineChars="0"/>
        <w:rPr>
          <w:rFonts w:hint="eastAsia"/>
          <w:lang w:val="en-US" w:eastAsia="zh-CN"/>
        </w:rPr>
      </w:pPr>
      <w:r>
        <w:rPr>
          <w:rFonts w:hint="eastAsia" w:ascii="Times New Roman" w:hAnsi="Times New Roman" w:eastAsia="宋体" w:cs="Times New Roman"/>
          <w:b/>
          <w:color w:val="000000"/>
          <w:kern w:val="2"/>
          <w:sz w:val="24"/>
          <w:szCs w:val="24"/>
          <w:lang w:val="en-US" w:eastAsia="zh-CN" w:bidi="ar-SA"/>
        </w:rPr>
        <w:t xml:space="preserve">6.1.6 </w:t>
      </w:r>
      <w:r>
        <w:rPr>
          <w:rFonts w:hint="eastAsia"/>
          <w:color w:val="auto"/>
          <w:lang w:val="en-US" w:eastAsia="zh-CN"/>
        </w:rPr>
        <w:t>对于传统的叠合梁装配式混凝土框架节点，现行行业标准《装配式混凝土结构技术规程》JGJ 1规定预制梁端面应设置键槽且宜设置粗糙面。对于粗糙面型接缝，新旧混凝土的粘结与骨料咬合作用和钢筋的摩擦抗剪作用一般不可忽略。另外，由于受剪钢筋承受拉力和弯矩的复合作用，当综合考虑摩擦抗剪与销栓作用时应分别对二者的钢筋应力水平进行折减。</w:t>
      </w:r>
      <w:r>
        <w:rPr>
          <w:rFonts w:hint="eastAsia"/>
          <w:color w:val="auto"/>
          <w:shd w:val="clear" w:color="auto" w:fill="auto"/>
          <w:lang w:val="en-US" w:eastAsia="zh-CN"/>
        </w:rPr>
        <w:t>对</w:t>
      </w:r>
      <w:r>
        <w:rPr>
          <w:rFonts w:hint="eastAsia" w:ascii="Times New Roman" w:hAnsi="Times New Roman" w:eastAsia="宋体" w:cs="Times New Roman"/>
          <w:color w:val="auto"/>
          <w:lang w:val="en-US" w:eastAsia="zh-CN"/>
        </w:rPr>
        <w:t>于钢腹板的受剪作用，</w:t>
      </w:r>
      <w:r>
        <w:rPr>
          <w:rFonts w:hint="eastAsia"/>
          <w:color w:val="auto"/>
          <w:lang w:val="en-US" w:eastAsia="zh-CN"/>
        </w:rPr>
        <w:t>现行国家标准</w:t>
      </w:r>
      <w:r>
        <w:rPr>
          <w:rFonts w:hint="eastAsia" w:ascii="Times New Roman" w:hAnsi="Times New Roman" w:eastAsia="宋体" w:cs="Times New Roman"/>
          <w:color w:val="auto"/>
          <w:lang w:val="en-US" w:eastAsia="zh-CN"/>
        </w:rPr>
        <w:t>《钢结构设计标准》GB 50017采用弹性理论计算直剪截面最大剪应力。</w:t>
      </w:r>
      <w:r>
        <w:rPr>
          <w:rFonts w:hint="eastAsia"/>
          <w:color w:val="auto"/>
          <w:lang w:val="en-US" w:eastAsia="zh-CN"/>
        </w:rPr>
        <w:t>综合来看，</w:t>
      </w:r>
      <w:r>
        <w:rPr>
          <w:rFonts w:hint="eastAsia"/>
          <w:lang w:val="en-US" w:eastAsia="zh-CN"/>
        </w:rPr>
        <w:t>当梁柱连接接缝为粗糙面，且仅有钢筋和钢组件腹板垂直穿过接缝时，</w:t>
      </w:r>
      <w:r>
        <w:rPr>
          <w:rFonts w:hint="eastAsia"/>
          <w:color w:val="auto"/>
          <w:lang w:val="en-US" w:eastAsia="zh-CN"/>
        </w:rPr>
        <w:t>接缝受剪承载力主要由钢筋摩擦抗剪作用与销栓抗剪作用和钢腹板直接抗剪作用组成，根据编制组进行的接缝</w:t>
      </w:r>
      <w:r>
        <w:rPr>
          <w:rFonts w:hint="eastAsia"/>
          <w:color w:val="auto"/>
          <w:lang w:val="zh-CN"/>
        </w:rPr>
        <w:t>试件的</w:t>
      </w:r>
      <w:r>
        <w:rPr>
          <w:rFonts w:hint="eastAsia"/>
          <w:color w:val="auto"/>
          <w:lang w:val="en-US" w:eastAsia="zh-CN"/>
        </w:rPr>
        <w:t>直剪试验，提出了仅考虑钢筋和钢板作用的受剪承载力计算公式。此外，</w:t>
      </w:r>
      <w:r>
        <w:rPr>
          <w:rFonts w:hint="eastAsia" w:ascii="Times New Roman" w:hAnsi="Times New Roman" w:eastAsia="宋体" w:cs="Times New Roman"/>
          <w:color w:val="auto"/>
          <w:lang w:val="en-US" w:eastAsia="zh-CN"/>
        </w:rPr>
        <w:t>参考国家现行标准</w:t>
      </w:r>
      <w:r>
        <w:rPr>
          <w:rFonts w:hint="eastAsia"/>
          <w:color w:val="auto"/>
        </w:rPr>
        <w:t>《</w:t>
      </w:r>
      <w:r>
        <w:rPr>
          <w:rFonts w:hint="eastAsia"/>
          <w:color w:val="auto"/>
          <w:lang w:val="en-US" w:eastAsia="zh-CN"/>
        </w:rPr>
        <w:t>混凝土结构设计标准</w:t>
      </w:r>
      <w:r>
        <w:rPr>
          <w:rFonts w:hint="eastAsia"/>
          <w:color w:val="auto"/>
        </w:rPr>
        <w:t>》GB</w:t>
      </w:r>
      <w:r>
        <w:rPr>
          <w:rFonts w:hint="eastAsia"/>
          <w:color w:val="auto"/>
          <w:lang w:val="en-US" w:eastAsia="zh-CN"/>
        </w:rPr>
        <w:t>/T</w:t>
      </w:r>
      <w:r>
        <w:rPr>
          <w:rFonts w:hint="eastAsia"/>
          <w:color w:val="auto"/>
        </w:rPr>
        <w:t xml:space="preserve"> 5001</w:t>
      </w:r>
      <w:r>
        <w:rPr>
          <w:rFonts w:hint="eastAsia"/>
          <w:color w:val="auto"/>
          <w:lang w:val="en-US" w:eastAsia="zh-CN"/>
        </w:rPr>
        <w:t>0、</w:t>
      </w:r>
      <w:r>
        <w:rPr>
          <w:rFonts w:hint="eastAsia"/>
          <w:color w:val="auto"/>
        </w:rPr>
        <w:t>《钢结构设计标准》GB 50017</w:t>
      </w:r>
      <w:r>
        <w:rPr>
          <w:rFonts w:hint="eastAsia"/>
          <w:color w:val="auto"/>
          <w:lang w:val="en-US" w:eastAsia="zh-CN"/>
        </w:rPr>
        <w:t>分别考虑了</w:t>
      </w:r>
      <w:r>
        <w:rPr>
          <w:rFonts w:hint="eastAsia"/>
          <w:lang w:val="en-US" w:eastAsia="zh-CN"/>
        </w:rPr>
        <w:t>抗剪锚筋或抗剪栓钉对受剪承载力的有利作用。</w:t>
      </w:r>
    </w:p>
    <w:p w14:paraId="0AEF0E11">
      <w:pPr>
        <w:pStyle w:val="2"/>
        <w:ind w:left="0" w:leftChars="0" w:firstLine="0" w:firstLineChars="0"/>
        <w:rPr>
          <w:rFonts w:hint="eastAsia"/>
          <w:lang w:val="en-US" w:eastAsia="zh-CN"/>
        </w:rPr>
      </w:pPr>
      <w:r>
        <w:rPr>
          <w:rFonts w:hint="eastAsia" w:ascii="Times New Roman" w:hAnsi="Times New Roman" w:eastAsia="宋体" w:cs="Times New Roman"/>
          <w:b/>
          <w:color w:val="000000"/>
          <w:kern w:val="2"/>
          <w:sz w:val="24"/>
          <w:szCs w:val="24"/>
          <w:lang w:val="en-US" w:eastAsia="zh-CN" w:bidi="ar-SA"/>
        </w:rPr>
        <w:t xml:space="preserve">6.1.7 </w:t>
      </w:r>
      <w:r>
        <w:rPr>
          <w:rFonts w:hint="eastAsia"/>
          <w:lang w:val="en-US" w:eastAsia="zh-CN"/>
        </w:rPr>
        <w:t>B型梁柱连接和C型梁柱连接接缝处正截面受弯承载力计算不考虑钢组件的作用，按照现行国家标准《混凝土结构设计标准》GB/T 50010和《建筑抗震设计标准》GB/T 50011计算。</w:t>
      </w:r>
    </w:p>
    <w:p w14:paraId="561C8525">
      <w:pPr>
        <w:pStyle w:val="42"/>
        <w:keepNext w:val="0"/>
        <w:keepLines w:val="0"/>
        <w:pageBreakBefore w:val="0"/>
        <w:widowControl w:val="0"/>
        <w:numPr>
          <w:ilvl w:val="2"/>
          <w:numId w:val="0"/>
        </w:numPr>
        <w:kinsoku/>
        <w:wordWrap/>
        <w:overflowPunct/>
        <w:topLinePunct w:val="0"/>
        <w:autoSpaceDE/>
        <w:autoSpaceDN/>
        <w:bidi w:val="0"/>
        <w:adjustRightInd w:val="0"/>
        <w:snapToGrid w:val="0"/>
        <w:jc w:val="center"/>
        <w:textAlignment w:val="auto"/>
        <w:rPr>
          <w:rFonts w:hint="eastAsia"/>
          <w:b/>
          <w:bCs/>
          <w:color w:val="auto"/>
          <w:lang w:val="en-US" w:eastAsia="zh-CN"/>
        </w:rPr>
      </w:pPr>
      <w:r>
        <w:rPr>
          <w:b/>
          <w:bCs/>
          <w:color w:val="auto"/>
        </w:rPr>
        <w:t>Ⅱ</w:t>
      </w:r>
      <w:r>
        <w:rPr>
          <w:rFonts w:hint="eastAsia"/>
          <w:b/>
          <w:bCs/>
          <w:color w:val="auto"/>
        </w:rPr>
        <w:t xml:space="preserve"> </w:t>
      </w:r>
      <w:r>
        <w:rPr>
          <w:rFonts w:hint="eastAsia"/>
          <w:b/>
          <w:bCs/>
          <w:color w:val="auto"/>
          <w:lang w:val="en-US" w:eastAsia="zh-CN"/>
        </w:rPr>
        <w:t xml:space="preserve"> A型梁柱连接</w:t>
      </w:r>
    </w:p>
    <w:p w14:paraId="1A0D5053">
      <w:pPr>
        <w:pStyle w:val="2"/>
        <w:ind w:left="0" w:leftChars="0"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6.1.9 </w:t>
      </w:r>
      <w:r>
        <w:rPr>
          <w:rFonts w:hint="eastAsia" w:ascii="Times New Roman" w:hAnsi="Times New Roman" w:eastAsia="宋体" w:cs="Times New Roman"/>
          <w:color w:val="auto"/>
          <w:lang w:val="en-US" w:eastAsia="zh-CN"/>
        </w:rPr>
        <w:t>A型梁柱连接在柱侧</w:t>
      </w:r>
      <w:r>
        <w:rPr>
          <w:rFonts w:hint="eastAsia"/>
        </w:rPr>
        <w:t>采用栓焊连接</w:t>
      </w:r>
      <w:r>
        <w:rPr>
          <w:rFonts w:hint="eastAsia"/>
          <w:lang w:val="en-US" w:eastAsia="zh-CN"/>
        </w:rPr>
        <w:t>方式，</w:t>
      </w:r>
      <w:r>
        <w:rPr>
          <w:rFonts w:hint="eastAsia" w:ascii="Times New Roman" w:hAnsi="Times New Roman" w:eastAsia="宋体" w:cs="Times New Roman"/>
          <w:color w:val="auto"/>
          <w:lang w:val="en-US" w:eastAsia="zh-CN"/>
        </w:rPr>
        <w:t>编制组完成的A型梁柱节点抗震性能试验表明增设盖板的抗震加强型连接节点未发生焊缝断裂，为使</w:t>
      </w:r>
      <w:r>
        <w:rPr>
          <w:rFonts w:hint="eastAsia" w:cs="Times New Roman"/>
          <w:color w:val="auto"/>
          <w:lang w:val="en-US" w:eastAsia="zh-CN"/>
        </w:rPr>
        <w:t>预制</w:t>
      </w:r>
      <w:r>
        <w:rPr>
          <w:rFonts w:hint="eastAsia" w:ascii="Times New Roman" w:hAnsi="Times New Roman" w:eastAsia="宋体" w:cs="Times New Roman"/>
          <w:color w:val="auto"/>
          <w:lang w:val="en-US" w:eastAsia="zh-CN"/>
        </w:rPr>
        <w:t>梁发挥良好的延性，提出了增设盖板的规定。</w:t>
      </w:r>
    </w:p>
    <w:p w14:paraId="2D56A81B">
      <w:pPr>
        <w:pStyle w:val="2"/>
        <w:ind w:left="0" w:leftChars="0" w:firstLine="0" w:firstLineChars="0"/>
        <w:rPr>
          <w:rFonts w:hint="eastAsia"/>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6.1.10 </w:t>
      </w:r>
      <w:r>
        <w:rPr>
          <w:rFonts w:hint="eastAsia"/>
          <w:color w:val="auto"/>
          <w:lang w:val="en-US" w:eastAsia="zh-CN"/>
        </w:rPr>
        <w:t>接缝的受剪承载力应</w:t>
      </w:r>
      <w:r>
        <w:rPr>
          <w:rFonts w:hint="eastAsia" w:ascii="Times New Roman" w:hAnsi="Times New Roman" w:eastAsia="宋体" w:cs="Times New Roman"/>
          <w:lang w:val="en-US" w:eastAsia="zh-CN"/>
        </w:rPr>
        <w:t>根据</w:t>
      </w:r>
      <w:r>
        <w:rPr>
          <w:rFonts w:hint="eastAsia"/>
          <w:color w:val="auto"/>
          <w:lang w:val="en-US" w:eastAsia="zh-CN"/>
        </w:rPr>
        <w:t>A型梁柱连接节点的构造形式计算，其中当</w:t>
      </w:r>
      <w:r>
        <w:rPr>
          <w:rFonts w:hint="eastAsia"/>
          <w:lang w:val="en-US" w:eastAsia="zh-CN"/>
        </w:rPr>
        <w:t>采</w:t>
      </w:r>
      <w:r>
        <w:rPr>
          <w:rFonts w:hint="eastAsia" w:ascii="Times New Roman" w:hAnsi="Times New Roman" w:eastAsia="宋体" w:cs="Times New Roman"/>
          <w:lang w:val="en-US" w:eastAsia="zh-CN"/>
        </w:rPr>
        <w:t>用A</w:t>
      </w:r>
      <w:r>
        <w:rPr>
          <w:rFonts w:hint="default" w:ascii="Times New Roman" w:hAnsi="Times New Roman" w:eastAsia="宋体" w:cs="Times New Roman"/>
          <w:vertAlign w:val="subscript"/>
          <w:lang w:val="en-US" w:eastAsia="zh-CN"/>
        </w:rPr>
        <w:t>Ⅰ</w:t>
      </w:r>
      <w:r>
        <w:rPr>
          <w:rFonts w:hint="eastAsia" w:ascii="Times New Roman" w:hAnsi="Times New Roman" w:eastAsia="宋体" w:cs="Times New Roman"/>
          <w:lang w:val="en-US" w:eastAsia="zh-CN"/>
        </w:rPr>
        <w:t>型梁端钢组件时，需要验算图</w:t>
      </w:r>
      <w:r>
        <w:rPr>
          <w:rFonts w:hint="eastAsia" w:eastAsia="宋体" w:cs="Times New Roman"/>
          <w:lang w:val="en-US" w:eastAsia="zh-CN"/>
        </w:rPr>
        <w:t>11</w:t>
      </w:r>
      <w:r>
        <w:rPr>
          <w:rFonts w:hint="eastAsia" w:ascii="Times New Roman" w:hAnsi="Times New Roman" w:eastAsia="宋体" w:cs="Times New Roman"/>
          <w:lang w:val="en-US" w:eastAsia="zh-CN"/>
        </w:rPr>
        <w:t>中</w:t>
      </w:r>
      <w:r>
        <w:rPr>
          <w:color w:val="auto"/>
        </w:rPr>
        <w:t>Ⅰ-Ⅰ</w:t>
      </w:r>
      <w:r>
        <w:rPr>
          <w:rFonts w:hint="eastAsia"/>
          <w:color w:val="auto"/>
          <w:szCs w:val="24"/>
          <w:lang w:val="en-US" w:eastAsia="zh-CN"/>
        </w:rPr>
        <w:t>截面</w:t>
      </w:r>
      <w:r>
        <w:rPr>
          <w:rFonts w:hint="eastAsia"/>
          <w:color w:val="auto"/>
          <w:lang w:val="en-US" w:eastAsia="zh-CN"/>
        </w:rPr>
        <w:t>受剪承载力；当</w:t>
      </w:r>
      <w:r>
        <w:rPr>
          <w:rFonts w:hint="eastAsia"/>
          <w:lang w:val="en-US" w:eastAsia="zh-CN"/>
        </w:rPr>
        <w:t>采</w:t>
      </w:r>
      <w:r>
        <w:rPr>
          <w:rFonts w:hint="eastAsia" w:ascii="Times New Roman" w:hAnsi="Times New Roman" w:eastAsia="宋体" w:cs="Times New Roman"/>
          <w:lang w:val="en-US" w:eastAsia="zh-CN"/>
        </w:rPr>
        <w:t>用</w:t>
      </w:r>
      <w:r>
        <w:rPr>
          <w:rFonts w:hint="eastAsia"/>
          <w:color w:val="auto"/>
          <w:lang w:val="en-US" w:eastAsia="zh-CN"/>
        </w:rPr>
        <w:t>A</w:t>
      </w:r>
      <w:r>
        <w:rPr>
          <w:rFonts w:ascii="Times New Roman" w:hAnsi="Times New Roman" w:eastAsia="宋体" w:cs="Times New Roman"/>
          <w:color w:val="auto"/>
          <w:vertAlign w:val="subscript"/>
        </w:rPr>
        <w:t>Ⅱ</w:t>
      </w:r>
      <w:r>
        <w:rPr>
          <w:rFonts w:hint="eastAsia" w:ascii="Times New Roman" w:hAnsi="Times New Roman" w:eastAsia="宋体" w:cs="Times New Roman"/>
          <w:lang w:val="en-US" w:eastAsia="zh-CN"/>
        </w:rPr>
        <w:t>型梁端钢组件时，需要验算图</w:t>
      </w:r>
      <w:r>
        <w:rPr>
          <w:rFonts w:hint="eastAsia" w:eastAsia="宋体" w:cs="Times New Roman"/>
          <w:lang w:val="en-US" w:eastAsia="zh-CN"/>
        </w:rPr>
        <w:t>12</w:t>
      </w:r>
      <w:r>
        <w:rPr>
          <w:rFonts w:hint="eastAsia" w:ascii="Times New Roman" w:hAnsi="Times New Roman" w:eastAsia="宋体" w:cs="Times New Roman"/>
          <w:lang w:val="en-US" w:eastAsia="zh-CN"/>
        </w:rPr>
        <w:t>中</w:t>
      </w:r>
      <w:r>
        <w:rPr>
          <w:color w:val="auto"/>
        </w:rPr>
        <w:t>Ⅰ-Ⅰ</w:t>
      </w:r>
      <w:r>
        <w:rPr>
          <w:rFonts w:hint="eastAsia"/>
          <w:color w:val="auto"/>
          <w:lang w:val="en-US" w:eastAsia="zh-CN"/>
        </w:rPr>
        <w:t>和</w:t>
      </w:r>
      <w:r>
        <w:rPr>
          <w:rFonts w:ascii="Times New Roman" w:hAnsi="Times New Roman" w:eastAsia="宋体" w:cs="Times New Roman"/>
          <w:color w:val="auto"/>
        </w:rPr>
        <w:t>Ⅱ-Ⅱ</w:t>
      </w:r>
      <w:r>
        <w:rPr>
          <w:rFonts w:hint="eastAsia"/>
          <w:color w:val="auto"/>
          <w:szCs w:val="24"/>
          <w:lang w:val="en-US" w:eastAsia="zh-CN"/>
        </w:rPr>
        <w:t>截面的</w:t>
      </w:r>
      <w:r>
        <w:rPr>
          <w:rFonts w:hint="eastAsia"/>
          <w:color w:val="auto"/>
          <w:lang w:val="en-US" w:eastAsia="zh-CN"/>
        </w:rPr>
        <w:t>受剪承载力。</w:t>
      </w:r>
    </w:p>
    <w:p w14:paraId="27AB3A01">
      <w:pPr>
        <w:pStyle w:val="2"/>
        <w:ind w:left="0" w:leftChars="0" w:firstLine="0" w:firstLineChars="0"/>
        <w:jc w:val="center"/>
      </w:pPr>
      <w:r>
        <w:drawing>
          <wp:inline distT="0" distB="0" distL="114300" distR="114300">
            <wp:extent cx="4173855" cy="2529205"/>
            <wp:effectExtent l="0" t="0" r="17145" b="4445"/>
            <wp:docPr id="6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7"/>
                    <pic:cNvPicPr>
                      <a:picLocks noChangeAspect="1"/>
                    </pic:cNvPicPr>
                  </pic:nvPicPr>
                  <pic:blipFill>
                    <a:blip r:embed="rId369"/>
                    <a:stretch>
                      <a:fillRect/>
                    </a:stretch>
                  </pic:blipFill>
                  <pic:spPr>
                    <a:xfrm>
                      <a:off x="0" y="0"/>
                      <a:ext cx="4173855" cy="2529205"/>
                    </a:xfrm>
                    <a:prstGeom prst="rect">
                      <a:avLst/>
                    </a:prstGeom>
                    <a:noFill/>
                    <a:ln>
                      <a:noFill/>
                    </a:ln>
                  </pic:spPr>
                </pic:pic>
              </a:graphicData>
            </a:graphic>
          </wp:inline>
        </w:drawing>
      </w:r>
    </w:p>
    <w:p w14:paraId="2C11F5E9">
      <w:pPr>
        <w:pStyle w:val="45"/>
        <w:rPr>
          <w:rFonts w:hint="default" w:ascii="Times New Roman" w:hAnsi="Times New Roman" w:cs="Times New Roman"/>
          <w:color w:val="auto"/>
          <w:lang w:val="en-US"/>
        </w:rPr>
      </w:pPr>
      <w:r>
        <w:rPr>
          <w:rFonts w:ascii="Times New Roman" w:hAnsi="Times New Roman" w:cs="Times New Roman"/>
          <w:color w:val="auto"/>
        </w:rPr>
        <w:t>1—</w:t>
      </w:r>
      <w:r>
        <w:rPr>
          <w:rFonts w:hint="eastAsia" w:ascii="Times New Roman" w:hAnsi="Times New Roman" w:cs="Times New Roman"/>
          <w:color w:val="auto"/>
          <w:lang w:val="en-US" w:eastAsia="zh-CN"/>
        </w:rPr>
        <w:t>抗剪锚筋/抗剪栓钉</w:t>
      </w:r>
      <w:r>
        <w:rPr>
          <w:rFonts w:ascii="Times New Roman" w:hAnsi="Times New Roman" w:cs="Times New Roman"/>
          <w:color w:val="auto"/>
        </w:rPr>
        <w:t>；2—</w:t>
      </w:r>
      <w:r>
        <w:rPr>
          <w:rFonts w:hint="eastAsia" w:ascii="Times New Roman" w:hAnsi="Times New Roman" w:cs="Times New Roman"/>
          <w:color w:val="auto"/>
          <w:lang w:val="en-US" w:eastAsia="zh-CN"/>
        </w:rPr>
        <w:t>梁端钢组件</w:t>
      </w:r>
    </w:p>
    <w:p w14:paraId="45060896">
      <w:pPr>
        <w:pStyle w:val="45"/>
        <w:rPr>
          <w:rFonts w:hint="eastAsia"/>
          <w:color w:val="auto"/>
        </w:rPr>
      </w:pPr>
      <w:r>
        <w:rPr>
          <w:rFonts w:hint="eastAsia" w:ascii="Times New Roman" w:hAnsi="Times New Roman" w:cs="Times New Roman"/>
          <w:color w:val="auto"/>
        </w:rPr>
        <w:t>图1</w:t>
      </w:r>
      <w:r>
        <w:rPr>
          <w:rFonts w:hint="eastAsia" w:ascii="Times New Roman" w:hAnsi="Times New Roman" w:cs="Times New Roman"/>
          <w:color w:val="auto"/>
          <w:lang w:val="en-US" w:eastAsia="zh-CN"/>
        </w:rPr>
        <w:t>1</w:t>
      </w:r>
      <w:r>
        <w:rPr>
          <w:rFonts w:ascii="Times New Roman" w:hAnsi="Times New Roman" w:cs="Times New Roman"/>
          <w:color w:val="auto"/>
        </w:rPr>
        <w:t xml:space="preserve"> </w:t>
      </w:r>
      <w:r>
        <w:rPr>
          <w:rFonts w:hint="eastAsia" w:ascii="Times New Roman" w:hAnsi="Times New Roman" w:cs="Times New Roman"/>
          <w:color w:val="auto"/>
        </w:rPr>
        <w:t xml:space="preserve"> </w:t>
      </w:r>
      <w:r>
        <w:rPr>
          <w:rFonts w:hint="eastAsia"/>
          <w:color w:val="auto"/>
          <w:lang w:val="en-US" w:eastAsia="zh-CN"/>
        </w:rPr>
        <w:t>A</w:t>
      </w:r>
      <w:r>
        <w:rPr>
          <w:color w:val="auto"/>
          <w:vertAlign w:val="subscript"/>
        </w:rPr>
        <w:t>Ⅰ</w:t>
      </w:r>
      <w:r>
        <w:rPr>
          <w:rFonts w:hint="eastAsia"/>
          <w:color w:val="auto"/>
          <w:lang w:val="en-US" w:eastAsia="zh-CN"/>
        </w:rPr>
        <w:t>型梁柱连接节点接缝受剪计算截面</w:t>
      </w:r>
      <w:r>
        <w:rPr>
          <w:rFonts w:hint="eastAsia" w:ascii="Times New Roman" w:hAnsi="Times New Roman" w:cs="Times New Roman"/>
          <w:color w:val="auto"/>
        </w:rPr>
        <w:t>示意</w:t>
      </w:r>
    </w:p>
    <w:p w14:paraId="68ED3FD9">
      <w:pPr>
        <w:pStyle w:val="2"/>
        <w:ind w:left="0" w:leftChars="0" w:firstLine="0" w:firstLineChars="0"/>
        <w:jc w:val="center"/>
      </w:pPr>
      <w:r>
        <w:drawing>
          <wp:inline distT="0" distB="0" distL="114300" distR="114300">
            <wp:extent cx="4436745" cy="2520315"/>
            <wp:effectExtent l="0" t="0" r="1905" b="13335"/>
            <wp:docPr id="6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9"/>
                    <pic:cNvPicPr>
                      <a:picLocks noChangeAspect="1"/>
                    </pic:cNvPicPr>
                  </pic:nvPicPr>
                  <pic:blipFill>
                    <a:blip r:embed="rId370"/>
                    <a:stretch>
                      <a:fillRect/>
                    </a:stretch>
                  </pic:blipFill>
                  <pic:spPr>
                    <a:xfrm>
                      <a:off x="0" y="0"/>
                      <a:ext cx="4436745" cy="2520315"/>
                    </a:xfrm>
                    <a:prstGeom prst="rect">
                      <a:avLst/>
                    </a:prstGeom>
                    <a:noFill/>
                    <a:ln>
                      <a:noFill/>
                    </a:ln>
                  </pic:spPr>
                </pic:pic>
              </a:graphicData>
            </a:graphic>
          </wp:inline>
        </w:drawing>
      </w:r>
    </w:p>
    <w:p w14:paraId="5BF7AB0F">
      <w:pPr>
        <w:pStyle w:val="45"/>
        <w:rPr>
          <w:rFonts w:hint="default" w:ascii="Times New Roman" w:hAnsi="Times New Roman" w:cs="Times New Roman"/>
          <w:color w:val="auto"/>
          <w:lang w:val="en-US"/>
        </w:rPr>
      </w:pPr>
      <w:r>
        <w:rPr>
          <w:rFonts w:ascii="Times New Roman" w:hAnsi="Times New Roman" w:cs="Times New Roman"/>
          <w:color w:val="auto"/>
        </w:rPr>
        <w:t>1—</w:t>
      </w:r>
      <w:r>
        <w:rPr>
          <w:rFonts w:hint="eastAsia" w:ascii="Times New Roman" w:hAnsi="Times New Roman" w:cs="Times New Roman"/>
          <w:color w:val="auto"/>
          <w:lang w:val="en-US" w:eastAsia="zh-CN"/>
        </w:rPr>
        <w:t>抗剪锚筋/抗剪栓钉</w:t>
      </w:r>
      <w:r>
        <w:rPr>
          <w:rFonts w:ascii="Times New Roman" w:hAnsi="Times New Roman" w:cs="Times New Roman"/>
          <w:color w:val="auto"/>
        </w:rPr>
        <w:t>；2—</w:t>
      </w:r>
      <w:r>
        <w:rPr>
          <w:rFonts w:hint="eastAsia" w:ascii="Times New Roman" w:hAnsi="Times New Roman" w:cs="Times New Roman"/>
          <w:color w:val="auto"/>
          <w:lang w:val="en-US" w:eastAsia="zh-CN"/>
        </w:rPr>
        <w:t>梁端钢组件</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ascii="Times New Roman" w:hAnsi="Times New Roman" w:cs="Times New Roman"/>
          <w:color w:val="auto"/>
        </w:rPr>
        <w:t>—</w:t>
      </w:r>
      <w:r>
        <w:rPr>
          <w:rFonts w:hint="eastAsia" w:ascii="Times New Roman" w:hAnsi="Times New Roman" w:cs="Times New Roman"/>
          <w:color w:val="auto"/>
          <w:lang w:val="en-US" w:eastAsia="zh-CN"/>
        </w:rPr>
        <w:t>梁身纵筋</w:t>
      </w:r>
    </w:p>
    <w:p w14:paraId="165BCEFC">
      <w:pPr>
        <w:pStyle w:val="45"/>
        <w:rPr>
          <w:rFonts w:hint="eastAsia"/>
          <w:color w:val="auto"/>
        </w:rPr>
      </w:pPr>
      <w:r>
        <w:rPr>
          <w:rFonts w:hint="eastAsia" w:ascii="Times New Roman" w:hAnsi="Times New Roman" w:cs="Times New Roman"/>
          <w:color w:val="auto"/>
        </w:rPr>
        <w:t>图1</w:t>
      </w:r>
      <w:r>
        <w:rPr>
          <w:rFonts w:hint="eastAsia" w:cs="Times New Roman"/>
          <w:color w:val="auto"/>
          <w:lang w:val="en-US" w:eastAsia="zh-CN"/>
        </w:rPr>
        <w:t>2</w:t>
      </w:r>
      <w:r>
        <w:rPr>
          <w:rFonts w:ascii="Times New Roman" w:hAnsi="Times New Roman" w:cs="Times New Roman"/>
          <w:color w:val="auto"/>
        </w:rPr>
        <w:t xml:space="preserve"> </w:t>
      </w:r>
      <w:r>
        <w:rPr>
          <w:rFonts w:hint="eastAsia" w:ascii="Times New Roman" w:hAnsi="Times New Roman" w:cs="Times New Roman"/>
          <w:color w:val="auto"/>
        </w:rPr>
        <w:t xml:space="preserve"> </w:t>
      </w:r>
      <w:r>
        <w:rPr>
          <w:rFonts w:hint="eastAsia"/>
          <w:color w:val="auto"/>
          <w:lang w:val="en-US" w:eastAsia="zh-CN"/>
        </w:rPr>
        <w:t>A</w:t>
      </w:r>
      <w:r>
        <w:rPr>
          <w:rFonts w:ascii="Times New Roman" w:hAnsi="Times New Roman" w:eastAsia="宋体" w:cs="Times New Roman"/>
          <w:color w:val="auto"/>
          <w:vertAlign w:val="subscript"/>
        </w:rPr>
        <w:t>Ⅱ</w:t>
      </w:r>
      <w:r>
        <w:rPr>
          <w:rFonts w:hint="eastAsia"/>
          <w:color w:val="auto"/>
          <w:lang w:val="en-US" w:eastAsia="zh-CN"/>
        </w:rPr>
        <w:t>型梁柱连接节点接缝受剪计算截面</w:t>
      </w:r>
      <w:r>
        <w:rPr>
          <w:rFonts w:hint="eastAsia" w:ascii="Times New Roman" w:hAnsi="Times New Roman" w:cs="Times New Roman"/>
          <w:color w:val="auto"/>
        </w:rPr>
        <w:t>示意</w:t>
      </w:r>
    </w:p>
    <w:p w14:paraId="4F7FE3D1">
      <w:pPr>
        <w:pStyle w:val="2"/>
        <w:ind w:left="0" w:leftChars="0" w:firstLine="0" w:firstLineChars="0"/>
        <w:jc w:val="center"/>
        <w:rPr>
          <w:rFonts w:hint="eastAsia"/>
          <w:lang w:val="en-US" w:eastAsia="zh-CN"/>
        </w:rPr>
      </w:pPr>
    </w:p>
    <w:p w14:paraId="18F6648C">
      <w:pPr>
        <w:pStyle w:val="42"/>
        <w:keepNext w:val="0"/>
        <w:keepLines w:val="0"/>
        <w:pageBreakBefore w:val="0"/>
        <w:widowControl w:val="0"/>
        <w:numPr>
          <w:ilvl w:val="2"/>
          <w:numId w:val="0"/>
        </w:numPr>
        <w:kinsoku/>
        <w:wordWrap/>
        <w:overflowPunct/>
        <w:topLinePunct w:val="0"/>
        <w:autoSpaceDE/>
        <w:autoSpaceDN/>
        <w:bidi w:val="0"/>
        <w:adjustRightInd w:val="0"/>
        <w:snapToGrid w:val="0"/>
        <w:jc w:val="center"/>
        <w:textAlignment w:val="auto"/>
        <w:rPr>
          <w:rFonts w:hint="eastAsia"/>
          <w:b/>
          <w:bCs/>
          <w:color w:val="auto"/>
          <w:lang w:val="en-US" w:eastAsia="zh-CN"/>
        </w:rPr>
      </w:pPr>
      <w:r>
        <w:rPr>
          <w:rFonts w:hint="default" w:ascii="Times New Roman" w:hAnsi="Times New Roman" w:cs="Times New Roman"/>
          <w:b/>
          <w:bCs/>
          <w:color w:val="auto"/>
        </w:rPr>
        <w:t>Ⅲ</w:t>
      </w:r>
      <w:r>
        <w:rPr>
          <w:rFonts w:hint="eastAsia"/>
          <w:b/>
          <w:bCs/>
          <w:color w:val="auto"/>
        </w:rPr>
        <w:t xml:space="preserve"> </w:t>
      </w:r>
      <w:r>
        <w:rPr>
          <w:rFonts w:hint="eastAsia"/>
          <w:b/>
          <w:bCs/>
          <w:color w:val="auto"/>
          <w:lang w:val="en-US" w:eastAsia="zh-CN"/>
        </w:rPr>
        <w:t xml:space="preserve"> B型梁柱连接</w:t>
      </w:r>
    </w:p>
    <w:p w14:paraId="730D7C54">
      <w:pPr>
        <w:pStyle w:val="2"/>
        <w:ind w:left="0" w:leftChars="0" w:firstLine="0" w:firstLineChars="0"/>
        <w:rPr>
          <w:rFonts w:hint="eastAsia"/>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6.1.12 </w:t>
      </w:r>
      <w:r>
        <w:rPr>
          <w:rFonts w:hint="eastAsia"/>
          <w:color w:val="auto"/>
          <w:lang w:val="en-US" w:eastAsia="zh-CN"/>
        </w:rPr>
        <w:t>接缝的受剪承载力应</w:t>
      </w:r>
      <w:r>
        <w:rPr>
          <w:rFonts w:hint="eastAsia" w:ascii="Times New Roman" w:hAnsi="Times New Roman" w:eastAsia="宋体" w:cs="Times New Roman"/>
          <w:lang w:val="en-US" w:eastAsia="zh-CN"/>
        </w:rPr>
        <w:t>根据B</w:t>
      </w:r>
      <w:r>
        <w:rPr>
          <w:rFonts w:hint="eastAsia"/>
          <w:color w:val="auto"/>
          <w:lang w:val="en-US" w:eastAsia="zh-CN"/>
        </w:rPr>
        <w:t>型梁柱连接节点的构造形式计算，</w:t>
      </w:r>
      <w:r>
        <w:rPr>
          <w:rFonts w:hint="eastAsia" w:ascii="Times New Roman" w:hAnsi="Times New Roman" w:eastAsia="宋体" w:cs="Times New Roman"/>
          <w:lang w:val="en-US" w:eastAsia="zh-CN"/>
        </w:rPr>
        <w:t>需要验算图</w:t>
      </w:r>
      <w:r>
        <w:rPr>
          <w:rFonts w:hint="eastAsia" w:eastAsia="宋体" w:cs="Times New Roman"/>
          <w:lang w:val="en-US" w:eastAsia="zh-CN"/>
        </w:rPr>
        <w:t>13</w:t>
      </w:r>
      <w:r>
        <w:rPr>
          <w:rFonts w:hint="eastAsia" w:ascii="Times New Roman" w:hAnsi="Times New Roman" w:eastAsia="宋体" w:cs="Times New Roman"/>
          <w:lang w:val="en-US" w:eastAsia="zh-CN"/>
        </w:rPr>
        <w:t>中</w:t>
      </w:r>
      <w:r>
        <w:rPr>
          <w:color w:val="auto"/>
        </w:rPr>
        <w:t>Ⅰ-Ⅰ</w:t>
      </w:r>
      <w:r>
        <w:rPr>
          <w:rFonts w:hint="eastAsia"/>
          <w:color w:val="auto"/>
          <w:lang w:val="en-US" w:eastAsia="zh-CN"/>
        </w:rPr>
        <w:t>和</w:t>
      </w:r>
      <w:r>
        <w:rPr>
          <w:rFonts w:ascii="Times New Roman" w:hAnsi="Times New Roman" w:eastAsia="宋体" w:cs="Times New Roman"/>
          <w:color w:val="auto"/>
        </w:rPr>
        <w:t>Ⅱ-Ⅱ</w:t>
      </w:r>
      <w:r>
        <w:rPr>
          <w:rFonts w:hint="eastAsia"/>
          <w:color w:val="auto"/>
          <w:szCs w:val="24"/>
          <w:lang w:val="en-US" w:eastAsia="zh-CN"/>
        </w:rPr>
        <w:t>截面的</w:t>
      </w:r>
      <w:r>
        <w:rPr>
          <w:rFonts w:hint="eastAsia"/>
          <w:color w:val="auto"/>
          <w:lang w:val="en-US" w:eastAsia="zh-CN"/>
        </w:rPr>
        <w:t>受剪承载力。</w:t>
      </w:r>
    </w:p>
    <w:p w14:paraId="06ABD6AF">
      <w:pPr>
        <w:pStyle w:val="2"/>
        <w:ind w:left="0" w:leftChars="0" w:firstLine="0" w:firstLineChars="0"/>
        <w:jc w:val="center"/>
      </w:pPr>
      <w:r>
        <w:drawing>
          <wp:inline distT="0" distB="0" distL="114300" distR="114300">
            <wp:extent cx="4081145" cy="2520315"/>
            <wp:effectExtent l="0" t="0" r="14605" b="13335"/>
            <wp:docPr id="67"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8"/>
                    <pic:cNvPicPr>
                      <a:picLocks noChangeAspect="1"/>
                    </pic:cNvPicPr>
                  </pic:nvPicPr>
                  <pic:blipFill>
                    <a:blip r:embed="rId371"/>
                    <a:stretch>
                      <a:fillRect/>
                    </a:stretch>
                  </pic:blipFill>
                  <pic:spPr>
                    <a:xfrm>
                      <a:off x="0" y="0"/>
                      <a:ext cx="4081145" cy="2520315"/>
                    </a:xfrm>
                    <a:prstGeom prst="rect">
                      <a:avLst/>
                    </a:prstGeom>
                    <a:noFill/>
                    <a:ln>
                      <a:noFill/>
                    </a:ln>
                  </pic:spPr>
                </pic:pic>
              </a:graphicData>
            </a:graphic>
          </wp:inline>
        </w:drawing>
      </w:r>
    </w:p>
    <w:p w14:paraId="1C5358EF">
      <w:pPr>
        <w:pStyle w:val="45"/>
        <w:rPr>
          <w:rFonts w:hint="default" w:ascii="Times New Roman" w:hAnsi="Times New Roman" w:cs="Times New Roman"/>
          <w:color w:val="auto"/>
          <w:lang w:val="en-US"/>
        </w:rPr>
      </w:pPr>
      <w:r>
        <w:rPr>
          <w:rFonts w:ascii="Times New Roman" w:hAnsi="Times New Roman" w:cs="Times New Roman"/>
          <w:color w:val="auto"/>
        </w:rPr>
        <w:t>1—</w:t>
      </w:r>
      <w:r>
        <w:rPr>
          <w:rFonts w:hint="eastAsia" w:ascii="Times New Roman" w:hAnsi="Times New Roman" w:cs="Times New Roman"/>
          <w:color w:val="auto"/>
          <w:lang w:val="en-US" w:eastAsia="zh-CN"/>
        </w:rPr>
        <w:t>抗剪锚筋/抗剪栓钉</w:t>
      </w:r>
      <w:r>
        <w:rPr>
          <w:rFonts w:ascii="Times New Roman" w:hAnsi="Times New Roman" w:cs="Times New Roman"/>
          <w:color w:val="auto"/>
        </w:rPr>
        <w:t>；2—</w:t>
      </w:r>
      <w:r>
        <w:rPr>
          <w:rFonts w:hint="eastAsia" w:ascii="Times New Roman" w:hAnsi="Times New Roman" w:cs="Times New Roman"/>
          <w:color w:val="auto"/>
          <w:lang w:val="en-US" w:eastAsia="zh-CN"/>
        </w:rPr>
        <w:t>节点域连接钢筋</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ascii="Times New Roman" w:hAnsi="Times New Roman" w:cs="Times New Roman"/>
          <w:color w:val="auto"/>
        </w:rPr>
        <w:t>—</w:t>
      </w:r>
      <w:r>
        <w:rPr>
          <w:rFonts w:hint="eastAsia" w:ascii="Times New Roman" w:hAnsi="Times New Roman" w:cs="Times New Roman"/>
          <w:color w:val="auto"/>
          <w:lang w:val="en-US" w:eastAsia="zh-CN"/>
        </w:rPr>
        <w:t>梁身纵筋</w:t>
      </w:r>
    </w:p>
    <w:p w14:paraId="74D21830">
      <w:pPr>
        <w:pStyle w:val="45"/>
        <w:rPr>
          <w:rFonts w:hint="default"/>
          <w:lang w:val="en-US" w:eastAsia="zh-CN"/>
        </w:rPr>
      </w:pPr>
      <w:r>
        <w:rPr>
          <w:rFonts w:hint="eastAsia" w:ascii="Times New Roman" w:hAnsi="Times New Roman" w:cs="Times New Roman"/>
          <w:color w:val="auto"/>
        </w:rPr>
        <w:t>图1</w:t>
      </w:r>
      <w:r>
        <w:rPr>
          <w:rFonts w:hint="eastAsia" w:cs="Times New Roman"/>
          <w:color w:val="auto"/>
          <w:lang w:val="en-US" w:eastAsia="zh-CN"/>
        </w:rPr>
        <w:t>3</w:t>
      </w:r>
      <w:r>
        <w:rPr>
          <w:rFonts w:ascii="Times New Roman" w:hAnsi="Times New Roman" w:cs="Times New Roman"/>
          <w:color w:val="auto"/>
        </w:rPr>
        <w:t xml:space="preserve"> </w:t>
      </w:r>
      <w:r>
        <w:rPr>
          <w:rFonts w:hint="eastAsia" w:ascii="Times New Roman" w:hAnsi="Times New Roman" w:cs="Times New Roman"/>
          <w:color w:val="auto"/>
        </w:rPr>
        <w:t xml:space="preserve"> </w:t>
      </w:r>
      <w:r>
        <w:rPr>
          <w:rFonts w:hint="eastAsia"/>
          <w:color w:val="auto"/>
          <w:lang w:val="en-US" w:eastAsia="zh-CN"/>
        </w:rPr>
        <w:t>B型梁柱连接节点接缝受剪计算截面</w:t>
      </w:r>
      <w:r>
        <w:rPr>
          <w:rFonts w:hint="eastAsia" w:ascii="Times New Roman" w:hAnsi="Times New Roman" w:cs="Times New Roman"/>
          <w:color w:val="auto"/>
        </w:rPr>
        <w:t>示意</w:t>
      </w:r>
    </w:p>
    <w:p w14:paraId="59645104">
      <w:pPr>
        <w:pStyle w:val="42"/>
        <w:keepNext w:val="0"/>
        <w:keepLines w:val="0"/>
        <w:pageBreakBefore w:val="0"/>
        <w:widowControl w:val="0"/>
        <w:numPr>
          <w:ilvl w:val="2"/>
          <w:numId w:val="0"/>
        </w:numPr>
        <w:kinsoku/>
        <w:wordWrap/>
        <w:overflowPunct/>
        <w:topLinePunct w:val="0"/>
        <w:autoSpaceDE/>
        <w:autoSpaceDN/>
        <w:bidi w:val="0"/>
        <w:adjustRightInd w:val="0"/>
        <w:snapToGrid w:val="0"/>
        <w:jc w:val="center"/>
        <w:textAlignment w:val="auto"/>
        <w:rPr>
          <w:rFonts w:hint="eastAsia"/>
          <w:b/>
          <w:bCs/>
          <w:color w:val="auto"/>
          <w:lang w:val="en-US" w:eastAsia="zh-CN"/>
        </w:rPr>
      </w:pPr>
      <w:r>
        <w:rPr>
          <w:rFonts w:hint="default" w:ascii="Times New Roman" w:hAnsi="Times New Roman" w:cs="Times New Roman"/>
          <w:b/>
          <w:bCs/>
          <w:color w:val="auto"/>
        </w:rPr>
        <w:t>Ⅲ</w:t>
      </w:r>
      <w:r>
        <w:rPr>
          <w:rFonts w:hint="eastAsia"/>
          <w:b/>
          <w:bCs/>
          <w:color w:val="auto"/>
        </w:rPr>
        <w:t xml:space="preserve"> </w:t>
      </w:r>
      <w:r>
        <w:rPr>
          <w:rFonts w:hint="eastAsia"/>
          <w:b/>
          <w:bCs/>
          <w:color w:val="auto"/>
          <w:lang w:val="en-US" w:eastAsia="zh-CN"/>
        </w:rPr>
        <w:t xml:space="preserve"> C型梁柱连接</w:t>
      </w:r>
    </w:p>
    <w:p w14:paraId="53142979">
      <w:pPr>
        <w:pStyle w:val="2"/>
        <w:ind w:left="0" w:leftChars="0" w:firstLine="0" w:firstLineChars="0"/>
        <w:rPr>
          <w:rFonts w:hint="eastAsia"/>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6.1.16 </w:t>
      </w:r>
      <w:r>
        <w:rPr>
          <w:rFonts w:hint="eastAsia"/>
          <w:color w:val="auto"/>
          <w:lang w:val="en-US" w:eastAsia="zh-CN"/>
        </w:rPr>
        <w:t>接缝的受剪承载力应</w:t>
      </w:r>
      <w:r>
        <w:rPr>
          <w:rFonts w:hint="eastAsia" w:ascii="Times New Roman" w:hAnsi="Times New Roman" w:eastAsia="宋体" w:cs="Times New Roman"/>
          <w:lang w:val="en-US" w:eastAsia="zh-CN"/>
        </w:rPr>
        <w:t>根据C</w:t>
      </w:r>
      <w:r>
        <w:rPr>
          <w:rFonts w:hint="eastAsia"/>
          <w:color w:val="auto"/>
          <w:lang w:val="en-US" w:eastAsia="zh-CN"/>
        </w:rPr>
        <w:t>型梁柱连接节点的构造形式计算，</w:t>
      </w:r>
      <w:r>
        <w:rPr>
          <w:rFonts w:hint="eastAsia" w:ascii="Times New Roman" w:hAnsi="Times New Roman" w:eastAsia="宋体" w:cs="Times New Roman"/>
          <w:lang w:val="en-US" w:eastAsia="zh-CN"/>
        </w:rPr>
        <w:t>需要验算图</w:t>
      </w:r>
      <w:r>
        <w:rPr>
          <w:rFonts w:hint="eastAsia" w:eastAsia="宋体" w:cs="Times New Roman"/>
          <w:lang w:val="en-US" w:eastAsia="zh-CN"/>
        </w:rPr>
        <w:t>14</w:t>
      </w:r>
      <w:r>
        <w:rPr>
          <w:rFonts w:hint="eastAsia" w:ascii="Times New Roman" w:hAnsi="Times New Roman" w:eastAsia="宋体" w:cs="Times New Roman"/>
          <w:lang w:val="en-US" w:eastAsia="zh-CN"/>
        </w:rPr>
        <w:t>中</w:t>
      </w:r>
      <w:r>
        <w:rPr>
          <w:color w:val="auto"/>
        </w:rPr>
        <w:t>Ⅰ-Ⅰ</w:t>
      </w:r>
      <w:r>
        <w:rPr>
          <w:rFonts w:hint="eastAsia"/>
          <w:color w:val="auto"/>
          <w:lang w:eastAsia="zh-CN"/>
        </w:rPr>
        <w:t>、</w:t>
      </w:r>
      <w:r>
        <w:rPr>
          <w:rFonts w:ascii="Times New Roman" w:hAnsi="Times New Roman" w:eastAsia="宋体" w:cs="Times New Roman"/>
          <w:color w:val="auto"/>
        </w:rPr>
        <w:t>Ⅱ-Ⅱ</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Ⅲ</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Ⅲ</w:t>
      </w:r>
      <w:r>
        <w:rPr>
          <w:rFonts w:hint="eastAsia"/>
          <w:color w:val="auto"/>
          <w:szCs w:val="24"/>
          <w:lang w:val="en-US" w:eastAsia="zh-CN"/>
        </w:rPr>
        <w:t>截面的</w:t>
      </w:r>
      <w:r>
        <w:rPr>
          <w:rFonts w:hint="eastAsia"/>
          <w:color w:val="auto"/>
          <w:lang w:val="en-US" w:eastAsia="zh-CN"/>
        </w:rPr>
        <w:t>受剪承载力。</w:t>
      </w:r>
    </w:p>
    <w:p w14:paraId="3CAF1C74">
      <w:pPr>
        <w:pStyle w:val="2"/>
        <w:ind w:left="0" w:leftChars="0" w:firstLine="0" w:firstLineChars="0"/>
        <w:jc w:val="center"/>
      </w:pPr>
      <w:r>
        <w:drawing>
          <wp:inline distT="0" distB="0" distL="114300" distR="114300">
            <wp:extent cx="3456940" cy="2520315"/>
            <wp:effectExtent l="0" t="0" r="10160" b="13335"/>
            <wp:docPr id="6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0"/>
                    <pic:cNvPicPr>
                      <a:picLocks noChangeAspect="1"/>
                    </pic:cNvPicPr>
                  </pic:nvPicPr>
                  <pic:blipFill>
                    <a:blip r:embed="rId372"/>
                    <a:stretch>
                      <a:fillRect/>
                    </a:stretch>
                  </pic:blipFill>
                  <pic:spPr>
                    <a:xfrm>
                      <a:off x="0" y="0"/>
                      <a:ext cx="3456940" cy="2520315"/>
                    </a:xfrm>
                    <a:prstGeom prst="rect">
                      <a:avLst/>
                    </a:prstGeom>
                    <a:noFill/>
                    <a:ln>
                      <a:noFill/>
                    </a:ln>
                  </pic:spPr>
                </pic:pic>
              </a:graphicData>
            </a:graphic>
          </wp:inline>
        </w:drawing>
      </w:r>
    </w:p>
    <w:p w14:paraId="435C7D9D">
      <w:pPr>
        <w:pStyle w:val="45"/>
        <w:rPr>
          <w:rFonts w:hint="default" w:ascii="Times New Roman" w:hAnsi="Times New Roman" w:cs="Times New Roman"/>
          <w:color w:val="auto"/>
          <w:lang w:val="en-US"/>
        </w:rPr>
      </w:pPr>
      <w:r>
        <w:rPr>
          <w:rFonts w:ascii="Times New Roman" w:hAnsi="Times New Roman" w:cs="Times New Roman"/>
          <w:color w:val="auto"/>
        </w:rPr>
        <w:t>1—</w:t>
      </w:r>
      <w:r>
        <w:rPr>
          <w:rFonts w:hint="eastAsia" w:ascii="Times New Roman" w:hAnsi="Times New Roman" w:cs="Times New Roman"/>
          <w:color w:val="auto"/>
          <w:lang w:val="en-US" w:eastAsia="zh-CN"/>
        </w:rPr>
        <w:t>抗剪锚筋/抗剪栓钉</w:t>
      </w:r>
      <w:r>
        <w:rPr>
          <w:rFonts w:ascii="Times New Roman" w:hAnsi="Times New Roman" w:cs="Times New Roman"/>
          <w:color w:val="auto"/>
        </w:rPr>
        <w:t>；2—</w:t>
      </w:r>
      <w:r>
        <w:rPr>
          <w:rFonts w:hint="eastAsia" w:ascii="Times New Roman" w:hAnsi="Times New Roman" w:cs="Times New Roman"/>
          <w:color w:val="auto"/>
          <w:lang w:val="en-US" w:eastAsia="zh-CN"/>
        </w:rPr>
        <w:t>节点域连接钢筋</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ascii="Times New Roman" w:hAnsi="Times New Roman" w:cs="Times New Roman"/>
          <w:color w:val="auto"/>
        </w:rPr>
        <w:t>—</w:t>
      </w:r>
      <w:r>
        <w:rPr>
          <w:rFonts w:hint="eastAsia" w:ascii="Times New Roman" w:hAnsi="Times New Roman" w:cs="Times New Roman"/>
          <w:color w:val="auto"/>
          <w:lang w:val="en-US" w:eastAsia="zh-CN"/>
        </w:rPr>
        <w:t>梁身纵筋</w:t>
      </w:r>
      <w:r>
        <w:rPr>
          <w:rFonts w:ascii="Times New Roman" w:hAnsi="Times New Roman" w:cs="Times New Roman"/>
          <w:color w:val="auto"/>
        </w:rPr>
        <w:t>；</w:t>
      </w:r>
      <w:r>
        <w:rPr>
          <w:rFonts w:hint="eastAsia" w:ascii="Times New Roman" w:hAnsi="Times New Roman" w:cs="Times New Roman"/>
          <w:color w:val="auto"/>
          <w:lang w:val="en-US" w:eastAsia="zh-CN"/>
        </w:rPr>
        <w:t>4</w:t>
      </w:r>
      <w:r>
        <w:rPr>
          <w:rFonts w:ascii="Times New Roman" w:hAnsi="Times New Roman" w:cs="Times New Roman"/>
          <w:color w:val="auto"/>
        </w:rPr>
        <w:t>—</w:t>
      </w:r>
      <w:r>
        <w:rPr>
          <w:rFonts w:hint="eastAsia" w:ascii="Times New Roman" w:hAnsi="Times New Roman" w:cs="Times New Roman"/>
          <w:color w:val="auto"/>
          <w:lang w:val="en-US" w:eastAsia="zh-CN"/>
        </w:rPr>
        <w:t>梁端钢组件</w:t>
      </w:r>
    </w:p>
    <w:p w14:paraId="673F0241">
      <w:pPr>
        <w:pStyle w:val="45"/>
        <w:rPr>
          <w:rFonts w:hint="default"/>
          <w:lang w:val="en-US" w:eastAsia="zh-CN"/>
        </w:rPr>
      </w:pPr>
      <w:r>
        <w:rPr>
          <w:rFonts w:hint="eastAsia" w:ascii="Times New Roman" w:hAnsi="Times New Roman" w:cs="Times New Roman"/>
          <w:color w:val="auto"/>
        </w:rPr>
        <w:t>图1</w:t>
      </w:r>
      <w:r>
        <w:rPr>
          <w:rFonts w:hint="eastAsia" w:cs="Times New Roman"/>
          <w:color w:val="auto"/>
          <w:lang w:val="en-US" w:eastAsia="zh-CN"/>
        </w:rPr>
        <w:t>4</w:t>
      </w:r>
      <w:r>
        <w:rPr>
          <w:rFonts w:ascii="Times New Roman" w:hAnsi="Times New Roman" w:cs="Times New Roman"/>
          <w:color w:val="auto"/>
        </w:rPr>
        <w:t xml:space="preserve"> </w:t>
      </w:r>
      <w:r>
        <w:rPr>
          <w:rFonts w:hint="eastAsia" w:ascii="Times New Roman" w:hAnsi="Times New Roman" w:cs="Times New Roman"/>
          <w:color w:val="auto"/>
        </w:rPr>
        <w:t xml:space="preserve"> </w:t>
      </w:r>
      <w:r>
        <w:rPr>
          <w:rFonts w:hint="eastAsia"/>
          <w:color w:val="auto"/>
          <w:lang w:val="en-US" w:eastAsia="zh-CN"/>
        </w:rPr>
        <w:t>C型梁柱连接节点接缝受剪计算截面</w:t>
      </w:r>
      <w:r>
        <w:rPr>
          <w:rFonts w:hint="eastAsia" w:ascii="Times New Roman" w:hAnsi="Times New Roman" w:cs="Times New Roman"/>
          <w:color w:val="auto"/>
        </w:rPr>
        <w:t>示意</w:t>
      </w:r>
    </w:p>
    <w:p w14:paraId="57D483CE">
      <w:pPr>
        <w:pStyle w:val="2"/>
        <w:ind w:left="0" w:leftChars="0" w:firstLine="0" w:firstLineChars="0"/>
        <w:jc w:val="center"/>
        <w:rPr>
          <w:rFonts w:hint="default"/>
          <w:lang w:val="en-US" w:eastAsia="zh-CN"/>
        </w:rPr>
      </w:pPr>
    </w:p>
    <w:p w14:paraId="54ED0B18">
      <w:pPr>
        <w:pStyle w:val="41"/>
        <w:numPr>
          <w:ilvl w:val="1"/>
          <w:numId w:val="0"/>
        </w:numPr>
        <w:spacing w:before="312" w:after="312"/>
        <w:ind w:leftChars="0"/>
        <w:jc w:val="center"/>
        <w:rPr>
          <w:rFonts w:hint="default"/>
          <w:lang w:val="en-US" w:eastAsia="zh-CN"/>
        </w:rPr>
      </w:pPr>
      <w:bookmarkStart w:id="295" w:name="_Toc32330"/>
      <w:bookmarkStart w:id="296" w:name="_Toc18028"/>
      <w:bookmarkStart w:id="297" w:name="_Toc15827"/>
      <w:bookmarkStart w:id="298" w:name="_Toc12906"/>
      <w:bookmarkStart w:id="299" w:name="_Toc30768"/>
      <w:bookmarkStart w:id="300" w:name="_Toc3406"/>
      <w:r>
        <w:rPr>
          <w:rFonts w:hint="eastAsia"/>
          <w:lang w:val="en-US" w:eastAsia="zh-CN"/>
        </w:rPr>
        <w:t>6.2 预制柱连接</w:t>
      </w:r>
      <w:bookmarkEnd w:id="295"/>
      <w:bookmarkEnd w:id="296"/>
      <w:bookmarkEnd w:id="297"/>
      <w:bookmarkEnd w:id="298"/>
      <w:bookmarkEnd w:id="299"/>
      <w:bookmarkEnd w:id="300"/>
    </w:p>
    <w:p w14:paraId="5E6F5FE4">
      <w:pPr>
        <w:pStyle w:val="41"/>
        <w:numPr>
          <w:ilvl w:val="1"/>
          <w:numId w:val="0"/>
        </w:numPr>
        <w:spacing w:before="312" w:after="312"/>
        <w:ind w:leftChars="0"/>
        <w:jc w:val="center"/>
        <w:rPr>
          <w:rFonts w:hint="default"/>
          <w:lang w:val="en-US" w:eastAsia="zh-CN"/>
        </w:rPr>
      </w:pPr>
      <w:bookmarkStart w:id="301" w:name="_Toc18279"/>
      <w:bookmarkStart w:id="302" w:name="_Toc19629"/>
      <w:bookmarkStart w:id="303" w:name="_Toc30168"/>
      <w:bookmarkStart w:id="304" w:name="_Toc13333"/>
      <w:bookmarkStart w:id="305" w:name="_Toc1398"/>
      <w:bookmarkStart w:id="306" w:name="_Toc30810"/>
      <w:r>
        <w:rPr>
          <w:rFonts w:hint="eastAsia" w:ascii="Times New Roman" w:hAnsi="Times New Roman" w:eastAsia="宋体" w:cs="Times New Roman"/>
          <w:color w:val="auto"/>
          <w:lang w:val="en-US" w:eastAsia="zh-CN"/>
        </w:rPr>
        <w:t>Ⅰ  一般规定</w:t>
      </w:r>
      <w:bookmarkEnd w:id="301"/>
      <w:bookmarkEnd w:id="302"/>
      <w:bookmarkEnd w:id="303"/>
      <w:bookmarkEnd w:id="304"/>
      <w:bookmarkEnd w:id="305"/>
      <w:bookmarkEnd w:id="306"/>
    </w:p>
    <w:p w14:paraId="463F30B7">
      <w:pPr>
        <w:pStyle w:val="2"/>
        <w:ind w:left="0" w:leftChars="0" w:firstLine="0" w:firstLineChars="0"/>
        <w:rPr>
          <w:rFonts w:hint="eastAsia" w:cs="Times New Roman"/>
          <w:lang w:eastAsia="zh-CN"/>
        </w:rPr>
      </w:pPr>
      <w:r>
        <w:rPr>
          <w:rFonts w:hint="eastAsia" w:ascii="Times New Roman" w:hAnsi="Times New Roman" w:eastAsia="宋体" w:cs="Times New Roman"/>
          <w:b/>
          <w:color w:val="000000"/>
          <w:kern w:val="2"/>
          <w:sz w:val="24"/>
          <w:szCs w:val="24"/>
          <w:lang w:val="en-US" w:eastAsia="zh-CN" w:bidi="ar-SA"/>
        </w:rPr>
        <w:t xml:space="preserve">6.2.3 </w:t>
      </w:r>
      <w:r>
        <w:rPr>
          <w:rFonts w:hint="eastAsia"/>
          <w:color w:val="auto"/>
        </w:rPr>
        <w:t>柱</w:t>
      </w:r>
      <w:r>
        <w:rPr>
          <w:rFonts w:hint="eastAsia"/>
          <w:color w:val="auto"/>
          <w:lang w:val="en-US" w:eastAsia="zh-CN"/>
        </w:rPr>
        <w:t>端</w:t>
      </w:r>
      <w:r>
        <w:rPr>
          <w:rFonts w:hint="eastAsia"/>
          <w:color w:val="auto"/>
        </w:rPr>
        <w:t>钢</w:t>
      </w:r>
      <w:r>
        <w:rPr>
          <w:rFonts w:hint="eastAsia"/>
          <w:color w:val="auto"/>
          <w:lang w:val="en-US" w:eastAsia="zh-CN"/>
        </w:rPr>
        <w:t>组</w:t>
      </w:r>
      <w:r>
        <w:rPr>
          <w:rFonts w:hint="eastAsia"/>
          <w:color w:val="auto"/>
        </w:rPr>
        <w:t>件是将上、下层柱连接形成整体框架柱的关键要素，需要保证</w:t>
      </w:r>
      <w:r>
        <w:rPr>
          <w:rFonts w:hint="eastAsia"/>
          <w:color w:val="auto"/>
          <w:lang w:val="en-US" w:eastAsia="zh-CN"/>
        </w:rPr>
        <w:t>端</w:t>
      </w:r>
      <w:r>
        <w:rPr>
          <w:rFonts w:hint="eastAsia"/>
          <w:color w:val="auto"/>
        </w:rPr>
        <w:t>钢</w:t>
      </w:r>
      <w:r>
        <w:rPr>
          <w:rFonts w:hint="eastAsia"/>
          <w:color w:val="auto"/>
          <w:lang w:val="en-US" w:eastAsia="zh-CN"/>
        </w:rPr>
        <w:t>组</w:t>
      </w:r>
      <w:r>
        <w:rPr>
          <w:rFonts w:hint="eastAsia"/>
          <w:color w:val="auto"/>
        </w:rPr>
        <w:t>件中</w:t>
      </w:r>
      <w:r>
        <w:rPr>
          <w:rFonts w:hint="eastAsia"/>
          <w:color w:val="auto"/>
          <w:lang w:val="en-US" w:eastAsia="zh-CN"/>
        </w:rPr>
        <w:t>侧板</w:t>
      </w:r>
      <w:r>
        <w:rPr>
          <w:rFonts w:hint="eastAsia"/>
          <w:color w:val="auto"/>
        </w:rPr>
        <w:t>间实现等强连接</w:t>
      </w:r>
      <w:r>
        <w:rPr>
          <w:rFonts w:hint="eastAsia"/>
          <w:color w:val="auto"/>
          <w:lang w:eastAsia="zh-CN"/>
        </w:rPr>
        <w:t>。</w:t>
      </w:r>
      <w:r>
        <w:rPr>
          <w:rFonts w:hint="eastAsia"/>
          <w:color w:val="auto"/>
          <w:lang w:val="en-US" w:eastAsia="zh-CN"/>
        </w:rPr>
        <w:t>对</w:t>
      </w:r>
      <w:r>
        <w:rPr>
          <w:rFonts w:hint="eastAsia" w:ascii="Times New Roman" w:hAnsi="Times New Roman" w:eastAsia="宋体" w:cs="Times New Roman"/>
        </w:rPr>
        <w:t>高层建筑</w:t>
      </w:r>
      <w:r>
        <w:rPr>
          <w:rFonts w:hint="eastAsia" w:ascii="Times New Roman" w:hAnsi="Times New Roman" w:eastAsia="宋体" w:cs="Times New Roman"/>
          <w:lang w:val="en-US" w:eastAsia="zh-CN"/>
        </w:rPr>
        <w:t>本条规定的全熔透</w:t>
      </w:r>
      <w:r>
        <w:rPr>
          <w:rFonts w:hint="eastAsia" w:ascii="Times New Roman" w:hAnsi="Times New Roman" w:eastAsia="宋体" w:cs="Times New Roman"/>
        </w:rPr>
        <w:t>焊缝质量等级尚应为一级</w:t>
      </w:r>
      <w:r>
        <w:rPr>
          <w:rFonts w:hint="eastAsia" w:cs="Times New Roman"/>
          <w:lang w:eastAsia="zh-CN"/>
        </w:rPr>
        <w:t>。</w:t>
      </w:r>
    </w:p>
    <w:p w14:paraId="5F6D164B">
      <w:pPr>
        <w:pStyle w:val="41"/>
        <w:numPr>
          <w:ilvl w:val="1"/>
          <w:numId w:val="0"/>
        </w:numPr>
        <w:spacing w:before="312" w:after="312"/>
        <w:ind w:leftChars="0"/>
        <w:jc w:val="center"/>
        <w:rPr>
          <w:rFonts w:hint="eastAsia" w:cs="Times New Roman"/>
          <w:lang w:eastAsia="zh-CN"/>
        </w:rPr>
      </w:pPr>
      <w:bookmarkStart w:id="307" w:name="_Toc1727"/>
      <w:bookmarkStart w:id="308" w:name="_Toc9535"/>
      <w:bookmarkStart w:id="309" w:name="_Toc11742"/>
      <w:bookmarkStart w:id="310" w:name="_Toc10179"/>
      <w:bookmarkStart w:id="311" w:name="_Toc16604"/>
      <w:bookmarkStart w:id="312" w:name="_Toc19641"/>
      <w:r>
        <w:rPr>
          <w:b/>
          <w:bCs/>
          <w:color w:val="auto"/>
        </w:rPr>
        <w:t>Ⅱ</w:t>
      </w:r>
      <w:r>
        <w:rPr>
          <w:rFonts w:hint="eastAsia" w:ascii="Times New Roman" w:hAnsi="Times New Roman" w:eastAsia="宋体" w:cs="Times New Roman"/>
          <w:b/>
          <w:bCs/>
          <w:color w:val="auto"/>
          <w:lang w:val="en-US" w:eastAsia="zh-CN"/>
        </w:rPr>
        <w:t xml:space="preserve"> </w:t>
      </w:r>
      <w:r>
        <w:rPr>
          <w:rFonts w:hint="eastAsia" w:ascii="Times New Roman" w:hAnsi="Times New Roman" w:eastAsia="宋体" w:cs="Times New Roman"/>
          <w:color w:val="auto"/>
          <w:lang w:val="en-US" w:eastAsia="zh-CN"/>
        </w:rPr>
        <w:t xml:space="preserve"> 钢组件螺栓连接</w:t>
      </w:r>
      <w:bookmarkEnd w:id="307"/>
      <w:bookmarkEnd w:id="308"/>
      <w:bookmarkEnd w:id="309"/>
      <w:bookmarkEnd w:id="310"/>
      <w:bookmarkEnd w:id="311"/>
      <w:bookmarkEnd w:id="312"/>
    </w:p>
    <w:p w14:paraId="2E33E83A">
      <w:pPr>
        <w:pStyle w:val="49"/>
        <w:bidi w:val="0"/>
        <w:rPr>
          <w:rFonts w:hint="eastAsia"/>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6.2.4 </w:t>
      </w:r>
      <w:r>
        <w:rPr>
          <w:rFonts w:hint="eastAsia" w:cs="Times New Roman"/>
          <w:b w:val="0"/>
          <w:color w:val="auto"/>
          <w:kern w:val="2"/>
          <w:sz w:val="24"/>
          <w:szCs w:val="24"/>
          <w:lang w:val="en-US" w:eastAsia="zh-CN" w:bidi="ar-SA"/>
        </w:rPr>
        <w:t>连接</w:t>
      </w:r>
      <w:r>
        <w:rPr>
          <w:rFonts w:hint="eastAsia" w:ascii="Times New Roman" w:hAnsi="Times New Roman" w:eastAsia="宋体" w:cs="Times New Roman"/>
          <w:color w:val="auto"/>
          <w:lang w:val="en-US" w:eastAsia="zh-CN"/>
        </w:rPr>
        <w:t>杆</w:t>
      </w:r>
      <w:r>
        <w:rPr>
          <w:rFonts w:hint="eastAsia"/>
          <w:color w:val="auto"/>
        </w:rPr>
        <w:t>在</w:t>
      </w:r>
      <w:r>
        <w:rPr>
          <w:rFonts w:hint="eastAsia" w:ascii="Times New Roman" w:hAnsi="Times New Roman" w:eastAsia="宋体" w:cs="Times New Roman"/>
          <w:color w:val="auto"/>
          <w:lang w:eastAsia="zh-CN"/>
        </w:rPr>
        <w:t>下柱内的锚固</w:t>
      </w:r>
      <w:r>
        <w:rPr>
          <w:rFonts w:hint="eastAsia" w:cs="Times New Roman"/>
          <w:color w:val="auto"/>
          <w:lang w:val="en-US" w:eastAsia="zh-CN"/>
        </w:rPr>
        <w:t>应</w:t>
      </w:r>
      <w:r>
        <w:rPr>
          <w:rFonts w:hint="eastAsia"/>
          <w:color w:val="auto"/>
          <w:lang w:eastAsia="zh-CN"/>
        </w:rPr>
        <w:t>符合现行国家</w:t>
      </w:r>
      <w:r>
        <w:rPr>
          <w:rFonts w:hint="eastAsia"/>
          <w:color w:val="auto"/>
          <w:lang w:val="en-US" w:eastAsia="zh-CN"/>
        </w:rPr>
        <w:t>标准</w:t>
      </w:r>
      <w:r>
        <w:rPr>
          <w:rFonts w:hint="eastAsia"/>
          <w:color w:val="auto"/>
          <w:lang w:eastAsia="zh-CN"/>
        </w:rPr>
        <w:t>《混凝土结构设计标准》GB/T 50010</w:t>
      </w:r>
      <w:r>
        <w:rPr>
          <w:rFonts w:hint="eastAsia"/>
          <w:color w:val="auto"/>
          <w:lang w:val="en-US" w:eastAsia="zh-CN"/>
        </w:rPr>
        <w:t>的有关规定。调平螺母在施工阶段可以起到调平及支撑的作用，在施工阶段未浇筑灌浆料时，连接截面的承载力仅靠螺栓承担，需进行螺栓施工验算以确定螺母规格。</w:t>
      </w:r>
    </w:p>
    <w:p w14:paraId="3BBE5AD7">
      <w:pPr>
        <w:pStyle w:val="49"/>
        <w:bidi w:val="0"/>
        <w:ind w:firstLine="420" w:firstLineChars="0"/>
        <w:rPr>
          <w:color w:val="auto"/>
        </w:rPr>
      </w:pPr>
      <w:r>
        <w:rPr>
          <w:rFonts w:hint="eastAsia"/>
          <w:color w:val="auto"/>
          <w:lang w:val="en-US" w:eastAsia="zh-CN"/>
        </w:rPr>
        <w:t>根据编制组完成的一系列钢组件</w:t>
      </w:r>
      <w:r>
        <w:rPr>
          <w:color w:val="auto"/>
        </w:rPr>
        <w:t>连接柱脚</w:t>
      </w:r>
      <w:r>
        <w:rPr>
          <w:rFonts w:hint="eastAsia"/>
          <w:color w:val="auto"/>
          <w:lang w:val="en-US" w:eastAsia="zh-CN"/>
        </w:rPr>
        <w:t>节点</w:t>
      </w:r>
      <w:r>
        <w:rPr>
          <w:color w:val="auto"/>
        </w:rPr>
        <w:t>试验研究，</w:t>
      </w:r>
      <w:r>
        <w:rPr>
          <w:rFonts w:hint="eastAsia"/>
          <w:color w:val="auto"/>
          <w:lang w:val="en-US" w:eastAsia="zh-CN"/>
        </w:rPr>
        <w:t>当连接满足本条规定的构造要求时，</w:t>
      </w:r>
      <w:r>
        <w:rPr>
          <w:color w:val="auto"/>
        </w:rPr>
        <w:t>其节点刚度与承载力均与现浇节点</w:t>
      </w:r>
      <w:r>
        <w:rPr>
          <w:rFonts w:hint="eastAsia"/>
          <w:color w:val="auto"/>
          <w:lang w:val="en-US" w:eastAsia="zh-CN"/>
        </w:rPr>
        <w:t>相当</w:t>
      </w:r>
      <w:r>
        <w:rPr>
          <w:rFonts w:hint="eastAsia"/>
          <w:color w:val="auto"/>
          <w:lang w:eastAsia="zh-CN"/>
        </w:rPr>
        <w:t>，</w:t>
      </w:r>
      <w:r>
        <w:rPr>
          <w:color w:val="auto"/>
        </w:rPr>
        <w:t>具有良好的抗震性能。</w:t>
      </w:r>
    </w:p>
    <w:p w14:paraId="34D50083">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6.2.5 </w:t>
      </w:r>
      <w:r>
        <w:rPr>
          <w:rFonts w:hint="eastAsia" w:ascii="Times New Roman" w:hAnsi="Times New Roman" w:eastAsia="宋体" w:cs="Times New Roman"/>
          <w:color w:val="auto"/>
          <w:lang w:val="en-US" w:eastAsia="zh-CN"/>
        </w:rPr>
        <w:t>在正常使用阶段，进行接缝截面受弯承载力计算时可将下节柱顶外伸的</w:t>
      </w:r>
      <w:r>
        <w:rPr>
          <w:rFonts w:hint="eastAsia" w:cs="Times New Roman"/>
          <w:color w:val="auto"/>
          <w:lang w:val="en-US" w:eastAsia="zh-CN"/>
        </w:rPr>
        <w:t>连接杆</w:t>
      </w:r>
      <w:r>
        <w:rPr>
          <w:rFonts w:hint="eastAsia" w:ascii="Times New Roman" w:hAnsi="Times New Roman" w:eastAsia="宋体" w:cs="Times New Roman"/>
          <w:color w:val="auto"/>
          <w:lang w:val="en-US" w:eastAsia="zh-CN"/>
        </w:rPr>
        <w:t>作为受力钢筋考虑。在施工阶段，未灌浆或灌浇料未达到设计强度时，仅依靠连接杆承担弯矩。</w:t>
      </w:r>
    </w:p>
    <w:p w14:paraId="4DCCA9B1">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6.2.6 </w:t>
      </w:r>
      <w:r>
        <w:rPr>
          <w:rFonts w:hint="eastAsia" w:ascii="Times New Roman" w:hAnsi="Times New Roman" w:eastAsia="宋体" w:cs="Times New Roman"/>
          <w:color w:val="auto"/>
          <w:lang w:val="en-US" w:eastAsia="zh-CN"/>
        </w:rPr>
        <w:t>考虑到连接螺栓所施加的预应力未达到高强螺栓规定的预应力值，且为方便安装，螺栓孔径明显大于螺栓直径，为安全起见不考虑螺栓的销栓抗剪作用。当接缝间摩擦力不足时，可采用钢抗剪键或混凝土键槽协助抗剪。采用钢抗剪键时，钢抗剪键可由矩形钢管、T形钢、H型钢或钢板焊接而成，与</w:t>
      </w:r>
      <w:r>
        <w:rPr>
          <w:rFonts w:hint="eastAsia" w:cs="Times New Roman"/>
          <w:color w:val="auto"/>
          <w:lang w:val="en-US" w:eastAsia="zh-CN"/>
        </w:rPr>
        <w:t>柱端钢组件</w:t>
      </w:r>
      <w:r>
        <w:rPr>
          <w:rFonts w:hint="eastAsia" w:ascii="Times New Roman" w:hAnsi="Times New Roman" w:eastAsia="宋体" w:cs="Times New Roman"/>
          <w:color w:val="auto"/>
          <w:lang w:val="en-US" w:eastAsia="zh-CN"/>
        </w:rPr>
        <w:t>的底板进行围焊后埋入下节预制柱内。钢抗剪键或混凝土键槽需与接缝一起采用灌浆料填实。</w:t>
      </w:r>
    </w:p>
    <w:p w14:paraId="386D8353">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6.2.7 </w:t>
      </w:r>
      <w:r>
        <w:rPr>
          <w:rFonts w:hint="eastAsia" w:ascii="Times New Roman" w:hAnsi="Times New Roman" w:eastAsia="宋体" w:cs="Times New Roman"/>
          <w:color w:val="auto"/>
          <w:lang w:val="en-US" w:eastAsia="zh-CN"/>
        </w:rPr>
        <w:t>为保证预制柱连接的安全，要求连接处的受弯承载力大于预制柱的受弯承载力乘以受弯增大系数、连接处的受剪承载力大于预制柱受弯承载力反算得到的受剪承载力乘以受剪增大系数，以实现连接处不先于预制柱发生破坏，即保证“强连接弱构件”。由于柱与柱连接通常在层间位置，连接处弯矩较小，故受弯承载力与预制柱等强即可。本条规定的预制柱连接增大系数参照现行行业标准《装配式混凝土结构技术规程》JGJ 1的相关规定及美国规范关于强连接的要求确定。</w:t>
      </w:r>
    </w:p>
    <w:p w14:paraId="65FDF24B">
      <w:pPr>
        <w:pStyle w:val="41"/>
        <w:numPr>
          <w:ilvl w:val="1"/>
          <w:numId w:val="0"/>
        </w:numPr>
        <w:spacing w:before="312" w:after="312"/>
        <w:ind w:leftChars="0"/>
        <w:jc w:val="center"/>
        <w:rPr>
          <w:rFonts w:hint="default" w:ascii="Times New Roman" w:hAnsi="Times New Roman" w:eastAsia="宋体" w:cs="Times New Roman"/>
          <w:color w:val="auto"/>
          <w:lang w:val="en-US" w:eastAsia="zh-CN"/>
        </w:rPr>
      </w:pPr>
      <w:bookmarkStart w:id="313" w:name="_Toc17610"/>
      <w:bookmarkStart w:id="314" w:name="_Toc5750"/>
      <w:bookmarkStart w:id="315" w:name="_Toc12196"/>
      <w:bookmarkStart w:id="316" w:name="_Toc13053"/>
      <w:bookmarkStart w:id="317" w:name="_Toc20709"/>
      <w:bookmarkStart w:id="318" w:name="_Toc5396"/>
      <w:r>
        <w:rPr>
          <w:b/>
          <w:bCs/>
          <w:color w:val="auto"/>
        </w:rPr>
        <w:t>Ⅱ</w:t>
      </w:r>
      <w:r>
        <w:rPr>
          <w:rFonts w:hint="eastAsia" w:ascii="Times New Roman" w:hAnsi="Times New Roman" w:eastAsia="宋体" w:cs="Times New Roman"/>
          <w:b/>
          <w:bCs/>
          <w:color w:val="auto"/>
          <w:lang w:val="en-US" w:eastAsia="zh-CN"/>
        </w:rPr>
        <w:t xml:space="preserve"> </w:t>
      </w:r>
      <w:r>
        <w:rPr>
          <w:rFonts w:hint="eastAsia" w:ascii="Times New Roman" w:hAnsi="Times New Roman" w:eastAsia="宋体" w:cs="Times New Roman"/>
          <w:color w:val="auto"/>
          <w:lang w:val="en-US" w:eastAsia="zh-CN"/>
        </w:rPr>
        <w:t xml:space="preserve"> 钢组件灌浆连接</w:t>
      </w:r>
      <w:bookmarkEnd w:id="313"/>
      <w:bookmarkEnd w:id="314"/>
      <w:bookmarkEnd w:id="315"/>
      <w:bookmarkEnd w:id="316"/>
      <w:bookmarkEnd w:id="317"/>
      <w:bookmarkEnd w:id="318"/>
    </w:p>
    <w:p w14:paraId="66A0938C">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color w:val="000000"/>
          <w:kern w:val="2"/>
          <w:sz w:val="24"/>
          <w:szCs w:val="24"/>
          <w:lang w:val="en-US" w:eastAsia="zh-CN" w:bidi="ar-SA"/>
        </w:rPr>
        <w:t xml:space="preserve">6.2.8 </w:t>
      </w:r>
      <w:r>
        <w:rPr>
          <w:rFonts w:hint="eastAsia" w:ascii="Times New Roman" w:hAnsi="Times New Roman" w:eastAsia="宋体" w:cs="Times New Roman"/>
          <w:color w:val="auto"/>
          <w:lang w:val="en-US" w:eastAsia="zh-CN"/>
        </w:rPr>
        <w:t>上、下节预制柱采用钢组件灌浆连接时，调平螺母除保证上层预制柱的垂直度外，在灌浆前或灌浆料硬化前还起到临时支撑作用，用于承担上层预制柱的自重以及风荷载。调平螺母设置尚应根据预制柱的施工荷载分别对受压侧和受拉侧螺栓的承载力进行验算。</w:t>
      </w:r>
    </w:p>
    <w:p w14:paraId="136057D4">
      <w:pPr>
        <w:pStyle w:val="49"/>
        <w:bidi w:val="0"/>
        <w:ind w:firstLine="420" w:firstLineChars="0"/>
        <w:rPr>
          <w:rFonts w:hint="default" w:ascii="Times New Roman" w:hAnsi="Times New Roman" w:eastAsia="宋体" w:cs="Times New Roman"/>
          <w:b/>
          <w:color w:val="000000"/>
          <w:kern w:val="2"/>
          <w:sz w:val="24"/>
          <w:szCs w:val="24"/>
          <w:lang w:val="en-US" w:eastAsia="zh-CN" w:bidi="ar-SA"/>
        </w:rPr>
      </w:pPr>
      <w:r>
        <w:rPr>
          <w:rFonts w:hint="eastAsia" w:ascii="Times New Roman" w:hAnsi="Times New Roman" w:eastAsia="宋体" w:cs="Times New Roman"/>
          <w:color w:val="auto"/>
          <w:lang w:val="en-US" w:eastAsia="zh-CN"/>
        </w:rPr>
        <w:t>根据试验结果，在往复荷载作用下，当预制柱达到最大承载力时，30mm的灌浆层并未发生明显破坏；现行国家标准《六角薄螺母》GB/T 6172.1中螺栓规格在M12~M30间的薄螺母的厚度大约在8~15mm，两调平螺母之间还需留出10mm以上的操作空间；综上考虑灌浆层厚度不小于35mm。</w:t>
      </w:r>
    </w:p>
    <w:p w14:paraId="56477A14">
      <w:pPr>
        <w:pStyle w:val="41"/>
        <w:numPr>
          <w:ilvl w:val="1"/>
          <w:numId w:val="0"/>
        </w:numPr>
        <w:spacing w:before="312" w:after="312"/>
        <w:ind w:leftChars="0"/>
        <w:jc w:val="center"/>
        <w:rPr>
          <w:rFonts w:hint="default"/>
          <w:color w:val="auto"/>
          <w:lang w:val="en-US"/>
        </w:rPr>
      </w:pPr>
      <w:bookmarkStart w:id="319" w:name="_Toc30917"/>
      <w:bookmarkStart w:id="320" w:name="_Toc30105"/>
      <w:bookmarkStart w:id="321" w:name="_Toc12407"/>
      <w:bookmarkStart w:id="322" w:name="_Toc22500"/>
      <w:bookmarkStart w:id="323" w:name="_Toc9887"/>
      <w:bookmarkStart w:id="324" w:name="_Toc23564"/>
      <w:r>
        <w:rPr>
          <w:rFonts w:hint="eastAsia"/>
          <w:color w:val="auto"/>
          <w:lang w:val="en-US" w:eastAsia="zh-CN"/>
        </w:rPr>
        <w:t>6.4 楼盖节点</w:t>
      </w:r>
      <w:bookmarkEnd w:id="319"/>
      <w:bookmarkEnd w:id="320"/>
      <w:bookmarkEnd w:id="321"/>
      <w:bookmarkEnd w:id="322"/>
      <w:bookmarkEnd w:id="323"/>
      <w:bookmarkEnd w:id="324"/>
    </w:p>
    <w:p w14:paraId="4ACF71C2">
      <w:pPr>
        <w:pStyle w:val="2"/>
        <w:ind w:left="0" w:leftChars="0" w:firstLine="0" w:firstLineChars="0"/>
        <w:rPr>
          <w:rFonts w:hint="eastAsia"/>
          <w:color w:val="auto"/>
        </w:rPr>
      </w:pPr>
      <w:r>
        <w:rPr>
          <w:rFonts w:hint="default" w:ascii="Times New Roman" w:hAnsi="Times New Roman" w:cs="Times New Roman"/>
          <w:b/>
          <w:color w:val="auto"/>
          <w:sz w:val="24"/>
          <w:szCs w:val="24"/>
        </w:rPr>
        <w:t>6.</w:t>
      </w:r>
      <w:r>
        <w:rPr>
          <w:rFonts w:hint="eastAsia" w:cs="Times New Roman"/>
          <w:b/>
          <w:color w:val="auto"/>
          <w:sz w:val="24"/>
          <w:szCs w:val="24"/>
          <w:lang w:val="en-US" w:eastAsia="zh-CN"/>
        </w:rPr>
        <w:t>4</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1</w:t>
      </w:r>
      <w:r>
        <w:rPr>
          <w:rFonts w:hint="default" w:ascii="Times New Roman" w:hAnsi="Times New Roman" w:cs="Times New Roman"/>
          <w:b/>
          <w:color w:val="auto"/>
          <w:sz w:val="24"/>
          <w:szCs w:val="24"/>
        </w:rPr>
        <w:t xml:space="preserve"> </w:t>
      </w:r>
      <w:r>
        <w:rPr>
          <w:rFonts w:hint="eastAsia"/>
          <w:color w:val="auto"/>
        </w:rPr>
        <w:t>主次梁节点采用铰接连接需保证支座或支承构件满足承载力要求，对于混凝土挑耳连接和</w:t>
      </w:r>
      <w:r>
        <w:rPr>
          <w:rFonts w:hint="eastAsia"/>
          <w:color w:val="auto"/>
          <w:lang w:val="en-US" w:eastAsia="zh-CN"/>
        </w:rPr>
        <w:t>钢企口</w:t>
      </w:r>
      <w:r>
        <w:rPr>
          <w:rFonts w:hint="eastAsia"/>
          <w:color w:val="auto"/>
        </w:rPr>
        <w:t>连接，需按现行国家标准《混凝土结构设计</w:t>
      </w:r>
      <w:r>
        <w:rPr>
          <w:rFonts w:hint="eastAsia"/>
          <w:color w:val="auto"/>
          <w:lang w:val="en-US" w:eastAsia="zh-CN"/>
        </w:rPr>
        <w:t>标准</w:t>
      </w:r>
      <w:r>
        <w:rPr>
          <w:rFonts w:hint="eastAsia"/>
          <w:color w:val="auto"/>
        </w:rPr>
        <w:t>》GB</w:t>
      </w:r>
      <w:r>
        <w:rPr>
          <w:rFonts w:hint="eastAsia"/>
          <w:color w:val="auto"/>
          <w:lang w:val="en-US" w:eastAsia="zh-CN"/>
        </w:rPr>
        <w:t>/T</w:t>
      </w:r>
      <w:r>
        <w:rPr>
          <w:rFonts w:hint="eastAsia"/>
          <w:color w:val="auto"/>
        </w:rPr>
        <w:t xml:space="preserve"> 50010对混凝土挑耳进行承载力验算。除此之外，</w:t>
      </w:r>
      <w:r>
        <w:rPr>
          <w:rFonts w:hint="eastAsia"/>
          <w:color w:val="auto"/>
          <w:lang w:val="en-US" w:eastAsia="zh-CN"/>
        </w:rPr>
        <w:t>钢企口</w:t>
      </w:r>
      <w:r>
        <w:rPr>
          <w:rFonts w:hint="eastAsia"/>
          <w:color w:val="auto"/>
        </w:rPr>
        <w:t>还需符合《装配式混凝土建筑技术标准》GB/T 51231的</w:t>
      </w:r>
      <w:r>
        <w:rPr>
          <w:rFonts w:hint="eastAsia"/>
          <w:color w:val="auto"/>
          <w:lang w:val="en-US" w:eastAsia="zh-CN"/>
        </w:rPr>
        <w:t>有</w:t>
      </w:r>
      <w:r>
        <w:rPr>
          <w:rFonts w:hint="eastAsia"/>
          <w:color w:val="auto"/>
        </w:rPr>
        <w:t>关规定；对于钢牛腿连接和钢</w:t>
      </w:r>
      <w:r>
        <w:rPr>
          <w:rFonts w:hint="eastAsia"/>
          <w:color w:val="auto"/>
          <w:lang w:val="en-US" w:eastAsia="zh-CN"/>
        </w:rPr>
        <w:t>组</w:t>
      </w:r>
      <w:r>
        <w:rPr>
          <w:rFonts w:hint="eastAsia"/>
          <w:color w:val="auto"/>
        </w:rPr>
        <w:t>件连接，需按现行国家标准《钢结构设计标准》GB 50017对钢牛腿和钢</w:t>
      </w:r>
      <w:r>
        <w:rPr>
          <w:rFonts w:hint="eastAsia"/>
          <w:color w:val="auto"/>
          <w:lang w:val="en-US" w:eastAsia="zh-CN"/>
        </w:rPr>
        <w:t>组</w:t>
      </w:r>
      <w:r>
        <w:rPr>
          <w:rFonts w:hint="eastAsia"/>
          <w:color w:val="auto"/>
        </w:rPr>
        <w:t>件进行承载力验算。</w:t>
      </w:r>
    </w:p>
    <w:p w14:paraId="2A98D229">
      <w:pPr>
        <w:pStyle w:val="2"/>
        <w:ind w:left="0" w:leftChars="0" w:firstLine="420" w:firstLineChars="0"/>
        <w:rPr>
          <w:rFonts w:hint="eastAsia" w:ascii="Times New Roman" w:hAnsi="Times New Roman" w:cs="Times New Roman"/>
          <w:iCs/>
          <w:color w:val="auto"/>
          <w:sz w:val="24"/>
          <w:szCs w:val="24"/>
        </w:rPr>
      </w:pPr>
      <w:r>
        <w:rPr>
          <w:rFonts w:hint="eastAsia"/>
          <w:color w:val="auto"/>
        </w:rPr>
        <w:t>当采用钢牛腿连接或混凝土挑耳连接时，为保证梁端的充分变形，次梁端部与主梁边缘之间拼缝为空心拼缝，后浇混凝土时需将主次梁顶拼缝进行封堵，防止漏浆。支垫可以采用橡胶垫片或水泥砂浆坐浆。</w:t>
      </w:r>
    </w:p>
    <w:p w14:paraId="0326DA95">
      <w:pPr>
        <w:pStyle w:val="2"/>
        <w:ind w:left="0" w:leftChars="0" w:firstLine="420" w:firstLineChars="0"/>
        <w:rPr>
          <w:rFonts w:hint="eastAsia" w:ascii="Times New Roman" w:hAnsi="Times New Roman" w:cs="Times New Roman"/>
          <w:iCs/>
          <w:color w:val="auto"/>
          <w:sz w:val="24"/>
          <w:szCs w:val="24"/>
        </w:rPr>
      </w:pPr>
    </w:p>
    <w:p w14:paraId="32ED31AB">
      <w:pPr>
        <w:pStyle w:val="3"/>
        <w:keepNext/>
        <w:keepLines/>
        <w:pageBreakBefore w:val="0"/>
        <w:widowControl w:val="0"/>
        <w:kinsoku/>
        <w:wordWrap/>
        <w:overflowPunct/>
        <w:topLinePunct w:val="0"/>
        <w:autoSpaceDE/>
        <w:autoSpaceDN/>
        <w:bidi w:val="0"/>
        <w:adjustRightInd w:val="0"/>
        <w:snapToGrid w:val="0"/>
        <w:spacing w:before="170" w:beforeLines="50" w:after="170" w:afterLines="50" w:line="360" w:lineRule="exact"/>
        <w:ind w:left="0" w:leftChars="0" w:firstLine="0" w:firstLineChars="0"/>
        <w:jc w:val="center"/>
        <w:textAlignment w:val="auto"/>
        <w:rPr>
          <w:rFonts w:hint="default" w:ascii="Times New Roman" w:hAnsi="Times New Roman" w:eastAsia="宋体" w:cs="Times New Roman"/>
          <w:b/>
          <w:kern w:val="2"/>
          <w:sz w:val="28"/>
          <w:szCs w:val="20"/>
          <w:lang w:val="en-US" w:eastAsia="zh-CN" w:bidi="ar-SA"/>
        </w:rPr>
      </w:pPr>
      <w:r>
        <w:rPr>
          <w:rFonts w:hint="default" w:ascii="Times New Roman" w:hAnsi="Times New Roman" w:cs="Times New Roman"/>
          <w:color w:val="000000"/>
          <w:sz w:val="21"/>
          <w:szCs w:val="21"/>
        </w:rPr>
        <w:br w:type="page"/>
      </w:r>
      <w:bookmarkStart w:id="325" w:name="_Toc15465"/>
      <w:bookmarkStart w:id="326" w:name="_Toc2929"/>
      <w:bookmarkStart w:id="327" w:name="_Toc19228"/>
      <w:bookmarkStart w:id="328" w:name="_Toc21328"/>
      <w:bookmarkStart w:id="329" w:name="_Toc3171"/>
      <w:bookmarkStart w:id="330" w:name="_Toc31926"/>
      <w:bookmarkStart w:id="331" w:name="_Toc4437"/>
      <w:bookmarkStart w:id="332" w:name="_Toc14826"/>
      <w:bookmarkStart w:id="333" w:name="_Toc23151"/>
      <w:bookmarkStart w:id="334" w:name="_Toc20480"/>
      <w:bookmarkStart w:id="335" w:name="_Toc30327"/>
      <w:bookmarkStart w:id="336" w:name="_Toc28067"/>
      <w:r>
        <w:rPr>
          <w:rFonts w:hint="eastAsia" w:cs="Times New Roman"/>
          <w:color w:val="000000"/>
          <w:sz w:val="28"/>
          <w:szCs w:val="28"/>
          <w:lang w:val="en-US" w:eastAsia="zh-CN"/>
        </w:rPr>
        <w:t>7</w:t>
      </w:r>
      <w:r>
        <w:rPr>
          <w:rFonts w:hint="default" w:ascii="Times New Roman" w:hAnsi="Times New Roman" w:eastAsia="宋体" w:cs="Times New Roman"/>
          <w:b/>
          <w:kern w:val="2"/>
          <w:sz w:val="28"/>
          <w:szCs w:val="28"/>
          <w:lang w:val="en-US" w:eastAsia="zh-CN" w:bidi="ar-SA"/>
        </w:rPr>
        <w:t xml:space="preserve">  </w:t>
      </w:r>
      <w:bookmarkEnd w:id="325"/>
      <w:bookmarkEnd w:id="326"/>
      <w:bookmarkEnd w:id="327"/>
      <w:bookmarkEnd w:id="328"/>
      <w:r>
        <w:rPr>
          <w:rFonts w:hint="eastAsia" w:cs="Times New Roman"/>
          <w:b/>
          <w:kern w:val="2"/>
          <w:sz w:val="28"/>
          <w:szCs w:val="28"/>
          <w:lang w:val="en-US" w:eastAsia="zh-CN" w:bidi="ar-SA"/>
        </w:rPr>
        <w:t>制作与施工</w:t>
      </w:r>
      <w:bookmarkEnd w:id="329"/>
      <w:bookmarkEnd w:id="330"/>
      <w:bookmarkEnd w:id="331"/>
      <w:bookmarkEnd w:id="332"/>
      <w:bookmarkEnd w:id="333"/>
      <w:bookmarkEnd w:id="334"/>
      <w:bookmarkEnd w:id="335"/>
      <w:bookmarkEnd w:id="336"/>
    </w:p>
    <w:p w14:paraId="013025F6">
      <w:pPr>
        <w:pStyle w:val="41"/>
        <w:numPr>
          <w:ilvl w:val="1"/>
          <w:numId w:val="0"/>
        </w:numPr>
        <w:spacing w:before="312" w:after="312"/>
        <w:ind w:leftChars="0"/>
        <w:jc w:val="center"/>
        <w:rPr>
          <w:rFonts w:hint="default"/>
          <w:lang w:val="en-US"/>
        </w:rPr>
      </w:pPr>
      <w:bookmarkStart w:id="337" w:name="_Toc5370"/>
      <w:bookmarkStart w:id="338" w:name="_Toc25972"/>
      <w:bookmarkStart w:id="339" w:name="_Toc26855"/>
      <w:bookmarkStart w:id="340" w:name="_Toc23537"/>
      <w:bookmarkStart w:id="341" w:name="_Toc5056"/>
      <w:bookmarkStart w:id="342" w:name="_Toc23415"/>
      <w:bookmarkStart w:id="343" w:name="_Toc8158"/>
      <w:bookmarkStart w:id="344" w:name="_Toc3590"/>
      <w:r>
        <w:rPr>
          <w:rFonts w:hint="eastAsia"/>
          <w:lang w:val="en-US" w:eastAsia="zh-CN"/>
        </w:rPr>
        <w:t>7.1 一般规定</w:t>
      </w:r>
      <w:bookmarkEnd w:id="337"/>
      <w:bookmarkEnd w:id="338"/>
      <w:bookmarkEnd w:id="339"/>
      <w:bookmarkEnd w:id="340"/>
      <w:bookmarkEnd w:id="341"/>
      <w:bookmarkEnd w:id="342"/>
      <w:bookmarkEnd w:id="343"/>
      <w:bookmarkEnd w:id="344"/>
    </w:p>
    <w:p w14:paraId="5C548DB8">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z w:val="24"/>
          <w:szCs w:val="24"/>
          <w:lang w:val="en-US" w:eastAsia="zh-CN"/>
        </w:rPr>
      </w:pPr>
      <w:r>
        <w:rPr>
          <w:rFonts w:hint="eastAsia" w:cs="Times New Roman"/>
          <w:b/>
          <w:color w:val="000000"/>
          <w:sz w:val="24"/>
          <w:szCs w:val="24"/>
          <w:lang w:val="en-US" w:eastAsia="zh-CN"/>
        </w:rPr>
        <w:t xml:space="preserve">7.1.1 </w:t>
      </w:r>
      <w:r>
        <w:rPr>
          <w:rFonts w:hint="eastAsia" w:ascii="Times New Roman" w:hAnsi="Times New Roman" w:cs="Times New Roman"/>
          <w:color w:val="auto"/>
          <w:sz w:val="24"/>
          <w:szCs w:val="24"/>
          <w:lang w:val="en-US" w:eastAsia="zh-CN"/>
        </w:rPr>
        <w:t>预制梁、预制柱优先由专业企业在工厂进行制作，当条件具备时也可由总承包单位在现场进行制作。</w:t>
      </w:r>
    </w:p>
    <w:p w14:paraId="767F6B00">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b/>
          <w:bCs/>
          <w:color w:val="auto"/>
          <w:sz w:val="24"/>
          <w:szCs w:val="24"/>
          <w:lang w:val="en-US" w:eastAsia="zh-CN"/>
        </w:rPr>
        <w:t xml:space="preserve">7.1.2 </w:t>
      </w:r>
      <w:r>
        <w:rPr>
          <w:rFonts w:hint="eastAsia" w:ascii="Times New Roman" w:hAnsi="Times New Roman" w:cs="Times New Roman"/>
          <w:color w:val="auto"/>
          <w:sz w:val="24"/>
          <w:szCs w:val="24"/>
          <w:lang w:val="en-US" w:eastAsia="zh-CN"/>
        </w:rPr>
        <w:t>构件的制作与检验涉及的内容包括原材料及配件、模具、钢筋及预埋件、成型及脱模、构件检验、堆放及运输等。本规程主要规定了构件制作与检验的关键内容和钢组件框架结构与传统装配式结构有所区别的内容，对于没有规定的内容，需符合现行国家标准《装配式混凝土建筑技术标准》GB/T 51231的有关规定。预制梁、预制柱的质量检验内容在传统预制混凝土构件的基础上，增加了钢组件、预留连接杆专项。</w:t>
      </w:r>
    </w:p>
    <w:p w14:paraId="2D761CD4">
      <w:pPr>
        <w:pStyle w:val="4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rPr>
      </w:pPr>
      <w:r>
        <w:rPr>
          <w:rFonts w:hint="eastAsia" w:cs="Times New Roman"/>
          <w:b/>
          <w:color w:val="000000"/>
          <w:sz w:val="24"/>
          <w:szCs w:val="24"/>
          <w:lang w:val="en-US" w:eastAsia="zh-CN"/>
        </w:rPr>
        <w:t>7.1.5</w:t>
      </w:r>
      <w:r>
        <w:rPr>
          <w:rFonts w:hint="default" w:ascii="Times New Roman" w:hAnsi="Times New Roman" w:cs="Times New Roman"/>
          <w:b/>
          <w:color w:val="000000"/>
          <w:sz w:val="24"/>
          <w:szCs w:val="24"/>
        </w:rPr>
        <w:t xml:space="preserve"> </w:t>
      </w:r>
      <w:r>
        <w:rPr>
          <w:rFonts w:hint="eastAsia"/>
          <w:color w:val="auto"/>
          <w:sz w:val="24"/>
          <w:szCs w:val="24"/>
          <w:lang w:eastAsia="zh-CN"/>
        </w:rPr>
        <w:t>钢组件、预留连接</w:t>
      </w:r>
      <w:r>
        <w:rPr>
          <w:rFonts w:hint="eastAsia"/>
          <w:color w:val="auto"/>
          <w:sz w:val="24"/>
          <w:szCs w:val="24"/>
          <w:lang w:val="en-US" w:eastAsia="zh-CN"/>
        </w:rPr>
        <w:t>杆</w:t>
      </w:r>
      <w:r>
        <w:rPr>
          <w:rFonts w:hint="eastAsia"/>
          <w:color w:val="auto"/>
          <w:sz w:val="24"/>
          <w:szCs w:val="24"/>
          <w:lang w:eastAsia="zh-CN"/>
        </w:rPr>
        <w:t>是</w:t>
      </w:r>
      <w:r>
        <w:rPr>
          <w:rFonts w:hint="eastAsia"/>
          <w:color w:val="auto"/>
          <w:sz w:val="24"/>
          <w:szCs w:val="24"/>
          <w:lang w:val="en-US" w:eastAsia="zh-CN"/>
        </w:rPr>
        <w:t>钢组件</w:t>
      </w:r>
      <w:r>
        <w:rPr>
          <w:rFonts w:hint="eastAsia"/>
          <w:color w:val="auto"/>
          <w:sz w:val="24"/>
          <w:szCs w:val="24"/>
          <w:lang w:eastAsia="zh-CN"/>
        </w:rPr>
        <w:t>框架结构的关键连接配件，吊运、堆放、翻转、运输及安装过程中应采取有效措施对其进行保护，防止其发生损伤或受污染。</w:t>
      </w:r>
    </w:p>
    <w:p w14:paraId="5205A55E">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iCs/>
          <w:color w:val="auto"/>
          <w:sz w:val="24"/>
          <w:szCs w:val="24"/>
        </w:rPr>
      </w:pPr>
      <w:r>
        <w:rPr>
          <w:rFonts w:hint="eastAsia" w:cs="Times New Roman"/>
          <w:b/>
          <w:color w:val="auto"/>
          <w:sz w:val="24"/>
          <w:szCs w:val="24"/>
          <w:lang w:val="en-US" w:eastAsia="zh-CN"/>
        </w:rPr>
        <w:t>7.1.6</w:t>
      </w:r>
      <w:r>
        <w:rPr>
          <w:rFonts w:hint="default" w:ascii="Times New Roman" w:hAnsi="Times New Roman" w:cs="Times New Roman"/>
          <w:b/>
          <w:color w:val="auto"/>
          <w:sz w:val="24"/>
          <w:szCs w:val="24"/>
        </w:rPr>
        <w:t xml:space="preserve"> </w:t>
      </w:r>
      <w:r>
        <w:rPr>
          <w:rFonts w:hint="eastAsia"/>
          <w:color w:val="auto"/>
        </w:rPr>
        <w:t>施工验算是装配式结构设计的重要内容，验算的内容包括临时性结构、预制构件、预埋吊件、临时支撑等。对于</w:t>
      </w:r>
      <w:r>
        <w:rPr>
          <w:rFonts w:hint="eastAsia"/>
          <w:color w:val="auto"/>
          <w:lang w:val="en-US" w:eastAsia="zh-CN"/>
        </w:rPr>
        <w:t>钢组件框架结构</w:t>
      </w:r>
      <w:r>
        <w:rPr>
          <w:rFonts w:hint="eastAsia"/>
          <w:color w:val="auto"/>
        </w:rPr>
        <w:t>，由于预制柱和预制梁均采用免支撑安装方式，因此需重点对安装状态下的预制柱和预制梁按短暂设计状况进行受力计算，以确保施工安全和使用要求。</w:t>
      </w:r>
    </w:p>
    <w:p w14:paraId="5C25929B">
      <w:pPr>
        <w:pStyle w:val="41"/>
        <w:numPr>
          <w:ilvl w:val="1"/>
          <w:numId w:val="0"/>
        </w:numPr>
        <w:spacing w:before="312" w:after="312"/>
        <w:ind w:leftChars="0"/>
        <w:jc w:val="center"/>
        <w:rPr>
          <w:rFonts w:hint="default"/>
          <w:color w:val="auto"/>
          <w:lang w:val="en-US"/>
        </w:rPr>
      </w:pPr>
      <w:bookmarkStart w:id="345" w:name="_Toc23319"/>
      <w:bookmarkStart w:id="346" w:name="_Toc24334"/>
      <w:bookmarkStart w:id="347" w:name="_Toc25636"/>
      <w:bookmarkStart w:id="348" w:name="_Toc6848"/>
      <w:bookmarkStart w:id="349" w:name="_Toc3916"/>
      <w:bookmarkStart w:id="350" w:name="_Toc11100"/>
      <w:bookmarkStart w:id="351" w:name="_Toc2469"/>
      <w:bookmarkStart w:id="352" w:name="_Toc17439"/>
      <w:r>
        <w:rPr>
          <w:rFonts w:hint="eastAsia"/>
          <w:color w:val="auto"/>
          <w:lang w:val="en-US" w:eastAsia="zh-CN"/>
        </w:rPr>
        <w:t>7.2 制作与检验</w:t>
      </w:r>
      <w:bookmarkEnd w:id="345"/>
      <w:bookmarkEnd w:id="346"/>
      <w:bookmarkEnd w:id="347"/>
      <w:bookmarkEnd w:id="348"/>
      <w:bookmarkEnd w:id="349"/>
      <w:bookmarkEnd w:id="350"/>
      <w:bookmarkEnd w:id="351"/>
      <w:bookmarkEnd w:id="352"/>
    </w:p>
    <w:p w14:paraId="5F94B326">
      <w:pPr>
        <w:pStyle w:val="49"/>
        <w:bidi w:val="0"/>
        <w:rPr>
          <w:rFonts w:hint="eastAsia"/>
          <w:color w:val="auto"/>
        </w:rPr>
      </w:pPr>
      <w:r>
        <w:rPr>
          <w:rFonts w:hint="eastAsia" w:cs="Times New Roman"/>
          <w:b/>
          <w:color w:val="auto"/>
          <w:sz w:val="24"/>
          <w:szCs w:val="24"/>
          <w:lang w:val="en-US" w:eastAsia="zh-CN"/>
        </w:rPr>
        <w:t>7</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 xml:space="preserve"> </w:t>
      </w:r>
      <w:r>
        <w:rPr>
          <w:rFonts w:hint="eastAsia"/>
          <w:color w:val="auto"/>
        </w:rPr>
        <w:t>本条参考现行国家标准《钢结构焊接规范》GB 50661、《钢结构工程施工规范》GB 50755和《钢结构工程施工质量验收标准》GB 50205，对</w:t>
      </w:r>
      <w:r>
        <w:rPr>
          <w:rFonts w:hint="eastAsia"/>
          <w:color w:val="auto"/>
          <w:lang w:val="en-US" w:eastAsia="zh-CN"/>
        </w:rPr>
        <w:t>钢组件框架结构</w:t>
      </w:r>
      <w:r>
        <w:rPr>
          <w:rFonts w:hint="eastAsia"/>
          <w:color w:val="auto"/>
        </w:rPr>
        <w:t>中</w:t>
      </w:r>
      <w:r>
        <w:rPr>
          <w:rFonts w:hint="eastAsia"/>
          <w:color w:val="auto"/>
          <w:lang w:eastAsia="zh-CN"/>
        </w:rPr>
        <w:t>钢组件</w:t>
      </w:r>
      <w:r>
        <w:rPr>
          <w:rFonts w:hint="eastAsia"/>
          <w:color w:val="auto"/>
        </w:rPr>
        <w:t>的制作及质量检验要求进行了规定，包括原材料、零件加工要求、组装要求、</w:t>
      </w:r>
      <w:r>
        <w:rPr>
          <w:rFonts w:hint="eastAsia"/>
          <w:color w:val="auto"/>
          <w:lang w:val="en-US" w:eastAsia="zh-CN"/>
        </w:rPr>
        <w:t>焊接要求、性能检验</w:t>
      </w:r>
      <w:r>
        <w:rPr>
          <w:rFonts w:hint="eastAsia"/>
          <w:color w:val="auto"/>
        </w:rPr>
        <w:t>等。</w:t>
      </w:r>
    </w:p>
    <w:p w14:paraId="01FDAF78">
      <w:pPr>
        <w:pStyle w:val="49"/>
        <w:bidi w:val="0"/>
        <w:rPr>
          <w:rFonts w:hint="eastAsia"/>
          <w:color w:val="auto"/>
        </w:rPr>
      </w:pPr>
      <w:r>
        <w:rPr>
          <w:rFonts w:hint="eastAsia" w:cs="Times New Roman"/>
          <w:b/>
          <w:color w:val="auto"/>
          <w:sz w:val="24"/>
          <w:szCs w:val="24"/>
          <w:lang w:val="en-US" w:eastAsia="zh-CN"/>
        </w:rPr>
        <w:t>7</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3</w:t>
      </w:r>
      <w:r>
        <w:rPr>
          <w:rFonts w:hint="default" w:ascii="Times New Roman" w:hAnsi="Times New Roman" w:cs="Times New Roman"/>
          <w:b/>
          <w:color w:val="auto"/>
          <w:sz w:val="24"/>
          <w:szCs w:val="24"/>
        </w:rPr>
        <w:t xml:space="preserve"> </w:t>
      </w:r>
      <w:r>
        <w:rPr>
          <w:rFonts w:hint="eastAsia"/>
          <w:color w:val="auto"/>
        </w:rPr>
        <w:t>螺栓孔的孔径及位置尺寸偏差</w:t>
      </w:r>
      <w:r>
        <w:rPr>
          <w:rFonts w:hint="eastAsia"/>
          <w:color w:val="auto"/>
          <w:lang w:val="en-US" w:eastAsia="zh-CN"/>
        </w:rPr>
        <w:t>对于现场安装至关重要，</w:t>
      </w:r>
      <w:r>
        <w:rPr>
          <w:rFonts w:hint="eastAsia"/>
          <w:color w:val="auto"/>
        </w:rPr>
        <w:t>应符合现行国家标准《钢结构工程施工质量验收标准》GB 50205的有关规定。</w:t>
      </w:r>
    </w:p>
    <w:p w14:paraId="49F07F81">
      <w:pPr>
        <w:pStyle w:val="49"/>
        <w:bidi w:val="0"/>
        <w:rPr>
          <w:rFonts w:hint="eastAsia"/>
          <w:color w:val="auto"/>
        </w:rPr>
      </w:pPr>
      <w:r>
        <w:rPr>
          <w:rFonts w:hint="eastAsia" w:cs="Times New Roman"/>
          <w:b/>
          <w:color w:val="auto"/>
          <w:sz w:val="24"/>
          <w:szCs w:val="24"/>
          <w:lang w:val="en-US" w:eastAsia="zh-CN"/>
        </w:rPr>
        <w:t>7</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6</w:t>
      </w:r>
      <w:r>
        <w:rPr>
          <w:rFonts w:hint="default" w:ascii="Times New Roman" w:hAnsi="Times New Roman" w:cs="Times New Roman"/>
          <w:b/>
          <w:color w:val="auto"/>
          <w:sz w:val="24"/>
          <w:szCs w:val="24"/>
        </w:rPr>
        <w:t xml:space="preserve"> </w:t>
      </w:r>
      <w:r>
        <w:rPr>
          <w:rFonts w:hint="eastAsia"/>
          <w:color w:val="auto"/>
        </w:rPr>
        <w:t>预制柱、预制梁构件的模具尺寸偏差参考了现行国家标准《装配式混凝土建筑技术标准》GB/T 51231对预制构件模具的有关规定</w:t>
      </w:r>
      <w:r>
        <w:rPr>
          <w:rFonts w:hint="eastAsia"/>
          <w:color w:val="auto"/>
          <w:lang w:eastAsia="zh-CN"/>
        </w:rPr>
        <w:t>，</w:t>
      </w:r>
      <w:r>
        <w:rPr>
          <w:rFonts w:hint="eastAsia"/>
          <w:color w:val="auto"/>
          <w:lang w:val="en-US" w:eastAsia="zh-CN"/>
        </w:rPr>
        <w:t>并结合实际工程经验适当调整</w:t>
      </w:r>
      <w:r>
        <w:rPr>
          <w:rFonts w:hint="eastAsia"/>
          <w:color w:val="auto"/>
        </w:rPr>
        <w:t>。</w:t>
      </w:r>
    </w:p>
    <w:p w14:paraId="755A1557">
      <w:pPr>
        <w:pStyle w:val="49"/>
        <w:bidi w:val="0"/>
        <w:rPr>
          <w:rFonts w:hint="eastAsia"/>
          <w:color w:val="auto"/>
        </w:rPr>
      </w:pPr>
      <w:r>
        <w:rPr>
          <w:rFonts w:hint="eastAsia" w:cs="Times New Roman"/>
          <w:b/>
          <w:color w:val="auto"/>
          <w:sz w:val="24"/>
          <w:szCs w:val="24"/>
          <w:lang w:val="en-US" w:eastAsia="zh-CN"/>
        </w:rPr>
        <w:t>7</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7</w:t>
      </w:r>
      <w:r>
        <w:rPr>
          <w:rFonts w:hint="default" w:ascii="Times New Roman" w:hAnsi="Times New Roman" w:cs="Times New Roman"/>
          <w:b/>
          <w:color w:val="auto"/>
          <w:sz w:val="24"/>
          <w:szCs w:val="24"/>
        </w:rPr>
        <w:t xml:space="preserve"> </w:t>
      </w:r>
      <w:r>
        <w:rPr>
          <w:rFonts w:hint="eastAsia"/>
          <w:color w:val="auto"/>
        </w:rPr>
        <w:t>为保证预制梁、预制柱的制作精度满足现场安装要求，需采取有效措施保证</w:t>
      </w:r>
      <w:r>
        <w:rPr>
          <w:rFonts w:hint="eastAsia"/>
          <w:color w:val="auto"/>
          <w:lang w:eastAsia="zh-CN"/>
        </w:rPr>
        <w:t>钢组件</w:t>
      </w:r>
      <w:r>
        <w:rPr>
          <w:rFonts w:hint="eastAsia"/>
          <w:color w:val="auto"/>
        </w:rPr>
        <w:t>与模具可靠固定。本条给出的各类预留、预埋件的安装允许偏差值是根据设计尺寸要求、实际工程经验及现行国家标准《装配式混凝土建筑技术标准》GB/T 51231确定的。</w:t>
      </w:r>
    </w:p>
    <w:p w14:paraId="49018BB5">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cs="Times New Roman"/>
          <w:iCs/>
          <w:color w:val="auto"/>
          <w:sz w:val="24"/>
          <w:szCs w:val="24"/>
        </w:rPr>
      </w:pPr>
      <w:r>
        <w:rPr>
          <w:rFonts w:hint="eastAsia" w:cs="Times New Roman"/>
          <w:b/>
          <w:color w:val="auto"/>
          <w:sz w:val="24"/>
          <w:szCs w:val="24"/>
          <w:lang w:val="en-US" w:eastAsia="zh-CN"/>
        </w:rPr>
        <w:t>7</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8</w:t>
      </w:r>
      <w:r>
        <w:rPr>
          <w:rFonts w:hint="default" w:ascii="Times New Roman" w:hAnsi="Times New Roman" w:cs="Times New Roman"/>
          <w:b/>
          <w:color w:val="auto"/>
          <w:sz w:val="24"/>
          <w:szCs w:val="24"/>
        </w:rPr>
        <w:t xml:space="preserve"> </w:t>
      </w:r>
      <w:r>
        <w:rPr>
          <w:rFonts w:hint="eastAsia"/>
          <w:color w:val="auto"/>
          <w:lang w:val="en-US" w:eastAsia="zh-CN"/>
        </w:rPr>
        <w:t>钢组件框架结构</w:t>
      </w:r>
      <w:r>
        <w:rPr>
          <w:rFonts w:hint="eastAsia"/>
          <w:color w:val="auto"/>
        </w:rPr>
        <w:t>的预制梁、预制柱与传统预制混凝土构件的差别主要在于设置了</w:t>
      </w:r>
      <w:r>
        <w:rPr>
          <w:rFonts w:hint="eastAsia"/>
          <w:color w:val="auto"/>
          <w:lang w:eastAsia="zh-CN"/>
        </w:rPr>
        <w:t>钢组件</w:t>
      </w:r>
      <w:r>
        <w:rPr>
          <w:rFonts w:hint="eastAsia"/>
          <w:color w:val="auto"/>
          <w:lang w:val="en-US" w:eastAsia="zh-CN"/>
        </w:rPr>
        <w:t>和预留连接杆</w:t>
      </w:r>
      <w:r>
        <w:rPr>
          <w:rFonts w:hint="eastAsia"/>
          <w:color w:val="auto"/>
        </w:rPr>
        <w:t>，因此隐蔽工程检查中需重点检查</w:t>
      </w:r>
      <w:r>
        <w:rPr>
          <w:rFonts w:hint="eastAsia"/>
          <w:color w:val="auto"/>
          <w:lang w:eastAsia="zh-CN"/>
        </w:rPr>
        <w:t>钢组件</w:t>
      </w:r>
      <w:r>
        <w:rPr>
          <w:rFonts w:hint="eastAsia"/>
          <w:color w:val="auto"/>
          <w:lang w:val="en-US" w:eastAsia="zh-CN"/>
        </w:rPr>
        <w:t>和预留连接杆</w:t>
      </w:r>
      <w:r>
        <w:rPr>
          <w:rFonts w:hint="eastAsia"/>
          <w:color w:val="auto"/>
        </w:rPr>
        <w:t>相关的内容。</w:t>
      </w:r>
    </w:p>
    <w:p w14:paraId="71859745">
      <w:pPr>
        <w:pStyle w:val="49"/>
        <w:keepNext w:val="0"/>
        <w:keepLines w:val="0"/>
        <w:pageBreakBefore w:val="0"/>
        <w:widowControl w:val="0"/>
        <w:kinsoku/>
        <w:wordWrap/>
        <w:overflowPunct/>
        <w:topLinePunct w:val="0"/>
        <w:autoSpaceDE/>
        <w:autoSpaceDN/>
        <w:bidi w:val="0"/>
        <w:adjustRightInd w:val="0"/>
        <w:snapToGrid w:val="0"/>
        <w:spacing w:after="0"/>
        <w:textAlignment w:val="auto"/>
        <w:rPr>
          <w:rFonts w:hint="eastAsia"/>
          <w:color w:val="auto"/>
        </w:rPr>
      </w:pPr>
      <w:r>
        <w:rPr>
          <w:rFonts w:hint="eastAsia" w:cs="Times New Roman"/>
          <w:b/>
          <w:color w:val="auto"/>
          <w:sz w:val="24"/>
          <w:szCs w:val="24"/>
          <w:lang w:val="en-US" w:eastAsia="zh-CN"/>
        </w:rPr>
        <w:t>7.2.9</w:t>
      </w:r>
      <w:r>
        <w:rPr>
          <w:rFonts w:hint="default" w:ascii="Times New Roman" w:hAnsi="Times New Roman" w:cs="Times New Roman"/>
          <w:b/>
          <w:color w:val="auto"/>
          <w:sz w:val="24"/>
          <w:szCs w:val="24"/>
        </w:rPr>
        <w:t xml:space="preserve"> </w:t>
      </w:r>
      <w:r>
        <w:rPr>
          <w:rFonts w:hint="eastAsia"/>
          <w:color w:val="auto"/>
          <w:lang w:val="en-US" w:eastAsia="zh-CN"/>
        </w:rPr>
        <w:t>钢组件框架结构</w:t>
      </w:r>
      <w:r>
        <w:rPr>
          <w:rFonts w:hint="eastAsia"/>
          <w:color w:val="auto"/>
        </w:rPr>
        <w:t>预制柱、预制梁构件的外观质量缺陷分类与传统预制混凝土构件相同，可参考现行国家标准《装配式混凝土建筑技术标准》GB/T 51231的有关规定，其中对于</w:t>
      </w:r>
      <w:r>
        <w:rPr>
          <w:rFonts w:hint="eastAsia"/>
          <w:color w:val="auto"/>
          <w:lang w:eastAsia="zh-CN"/>
        </w:rPr>
        <w:t>钢组件</w:t>
      </w:r>
      <w:r>
        <w:rPr>
          <w:rFonts w:hint="eastAsia"/>
          <w:color w:val="auto"/>
        </w:rPr>
        <w:t>与混凝土梁身或柱身的连接部位需从严要求。</w:t>
      </w:r>
    </w:p>
    <w:p w14:paraId="2900AF6E">
      <w:pPr>
        <w:pStyle w:val="49"/>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cs="Times New Roman"/>
          <w:iCs/>
          <w:color w:val="auto"/>
          <w:sz w:val="24"/>
          <w:szCs w:val="24"/>
        </w:rPr>
      </w:pPr>
      <w:r>
        <w:rPr>
          <w:rFonts w:hint="eastAsia" w:cs="Times New Roman"/>
          <w:b/>
          <w:color w:val="auto"/>
          <w:sz w:val="24"/>
          <w:szCs w:val="24"/>
          <w:lang w:val="en-US" w:eastAsia="zh-CN"/>
        </w:rPr>
        <w:t>7.2.10</w:t>
      </w:r>
      <w:r>
        <w:rPr>
          <w:rFonts w:hint="default" w:ascii="Times New Roman" w:hAnsi="Times New Roman" w:cs="Times New Roman"/>
          <w:b/>
          <w:color w:val="auto"/>
          <w:sz w:val="24"/>
          <w:szCs w:val="24"/>
        </w:rPr>
        <w:t xml:space="preserve"> </w:t>
      </w:r>
      <w:r>
        <w:rPr>
          <w:rFonts w:hint="eastAsia"/>
          <w:color w:val="auto"/>
        </w:rPr>
        <w:t>预制梁、预制柱的尺寸允许偏差参考了现行国家标准《装配式混凝土建筑技术标准》GB/T 51231对梁柱类预制构件的规定，并在此基础上增加了对</w:t>
      </w:r>
      <w:r>
        <w:rPr>
          <w:rFonts w:hint="eastAsia"/>
          <w:color w:val="auto"/>
          <w:lang w:eastAsia="zh-CN"/>
        </w:rPr>
        <w:t>钢组件、</w:t>
      </w:r>
      <w:r>
        <w:rPr>
          <w:rFonts w:hint="eastAsia"/>
          <w:color w:val="auto"/>
          <w:lang w:val="en-US" w:eastAsia="zh-CN"/>
        </w:rPr>
        <w:t>预留连接杆等</w:t>
      </w:r>
      <w:r>
        <w:rPr>
          <w:rFonts w:hint="eastAsia"/>
          <w:color w:val="auto"/>
        </w:rPr>
        <w:t>相关尺寸的规定。</w:t>
      </w:r>
    </w:p>
    <w:p w14:paraId="5EA3072E">
      <w:pPr>
        <w:pStyle w:val="41"/>
        <w:numPr>
          <w:ilvl w:val="1"/>
          <w:numId w:val="0"/>
        </w:numPr>
        <w:spacing w:before="312" w:after="312"/>
        <w:ind w:leftChars="0"/>
        <w:jc w:val="center"/>
        <w:rPr>
          <w:rFonts w:hint="default"/>
          <w:color w:val="auto"/>
          <w:lang w:val="en-US"/>
        </w:rPr>
      </w:pPr>
      <w:bookmarkStart w:id="353" w:name="_Toc14044"/>
      <w:bookmarkStart w:id="354" w:name="_Toc13679"/>
      <w:bookmarkStart w:id="355" w:name="_Toc3742"/>
      <w:bookmarkStart w:id="356" w:name="_Toc20089"/>
      <w:bookmarkStart w:id="357" w:name="_Toc9360"/>
      <w:bookmarkStart w:id="358" w:name="_Toc28446"/>
      <w:bookmarkStart w:id="359" w:name="_Toc24419"/>
      <w:bookmarkStart w:id="360" w:name="_Toc32003"/>
      <w:r>
        <w:rPr>
          <w:rFonts w:hint="eastAsia"/>
          <w:color w:val="auto"/>
          <w:lang w:val="en-US" w:eastAsia="zh-CN"/>
        </w:rPr>
        <w:t>7.3 安装与连接</w:t>
      </w:r>
      <w:bookmarkEnd w:id="353"/>
      <w:bookmarkEnd w:id="354"/>
      <w:bookmarkEnd w:id="355"/>
      <w:bookmarkEnd w:id="356"/>
      <w:bookmarkEnd w:id="357"/>
      <w:bookmarkEnd w:id="358"/>
      <w:bookmarkEnd w:id="359"/>
      <w:bookmarkEnd w:id="360"/>
    </w:p>
    <w:p w14:paraId="115AFF69">
      <w:pPr>
        <w:pStyle w:val="49"/>
        <w:bidi w:val="0"/>
        <w:rPr>
          <w:rFonts w:hint="eastAsia" w:ascii="Times New Roman" w:hAnsi="Times New Roman" w:cs="Times New Roman"/>
          <w:color w:val="auto"/>
          <w:lang w:val="en-US" w:eastAsia="zh-CN"/>
        </w:rPr>
      </w:pPr>
      <w:r>
        <w:rPr>
          <w:rFonts w:hint="eastAsia" w:ascii="Times New Roman" w:hAnsi="Times New Roman" w:cs="Times New Roman"/>
          <w:b/>
          <w:color w:val="auto"/>
          <w:sz w:val="24"/>
          <w:szCs w:val="24"/>
          <w:lang w:val="en-US" w:eastAsia="zh-CN"/>
        </w:rPr>
        <w:t>7.3.2</w:t>
      </w:r>
      <w:r>
        <w:rPr>
          <w:rFonts w:hint="default" w:ascii="Times New Roman" w:hAnsi="Times New Roman" w:cs="Times New Roman"/>
          <w:b/>
          <w:color w:val="auto"/>
          <w:sz w:val="24"/>
          <w:szCs w:val="24"/>
        </w:rPr>
        <w:t xml:space="preserve"> </w:t>
      </w:r>
      <w:r>
        <w:rPr>
          <w:rFonts w:hint="eastAsia" w:ascii="Times New Roman" w:hAnsi="Times New Roman" w:cs="Times New Roman"/>
          <w:color w:val="auto"/>
          <w:lang w:val="en-US" w:eastAsia="zh-CN"/>
        </w:rPr>
        <w:t>基础预留连接杆的定位精度将影响现场首节预制柱的安装偏差和效率，因此需采取设置专门的定位架等措施保证定位准确。</w:t>
      </w:r>
    </w:p>
    <w:p w14:paraId="13211DC5">
      <w:pPr>
        <w:pStyle w:val="49"/>
        <w:bidi w:val="0"/>
        <w:rPr>
          <w:rFonts w:hint="eastAsia"/>
          <w:color w:val="auto"/>
        </w:rPr>
      </w:pPr>
      <w:r>
        <w:rPr>
          <w:rFonts w:hint="eastAsia" w:cs="Times New Roman"/>
          <w:b/>
          <w:color w:val="auto"/>
          <w:sz w:val="24"/>
          <w:szCs w:val="24"/>
          <w:lang w:val="en-US" w:eastAsia="zh-CN"/>
        </w:rPr>
        <w:t>7.3.5</w:t>
      </w:r>
      <w:r>
        <w:rPr>
          <w:rFonts w:hint="default" w:ascii="Times New Roman" w:hAnsi="Times New Roman" w:cs="Times New Roman"/>
          <w:b/>
          <w:color w:val="auto"/>
          <w:sz w:val="24"/>
          <w:szCs w:val="24"/>
        </w:rPr>
        <w:t xml:space="preserve"> </w:t>
      </w:r>
      <w:r>
        <w:rPr>
          <w:rFonts w:hint="eastAsia"/>
          <w:color w:val="auto"/>
        </w:rPr>
        <w:t>预制柱的安装要求参考了钢结构钢柱的做法，连接施工要求是根据上、下</w:t>
      </w:r>
      <w:r>
        <w:rPr>
          <w:rFonts w:hint="eastAsia"/>
          <w:color w:val="auto"/>
          <w:lang w:val="en-US" w:eastAsia="zh-CN"/>
        </w:rPr>
        <w:t>节柱</w:t>
      </w:r>
      <w:r>
        <w:rPr>
          <w:rFonts w:hint="eastAsia"/>
          <w:color w:val="auto"/>
        </w:rPr>
        <w:t>的连接方式，结合经验确定的。</w:t>
      </w:r>
    </w:p>
    <w:p w14:paraId="3A7E2164">
      <w:pPr>
        <w:pStyle w:val="49"/>
        <w:bidi w:val="0"/>
        <w:rPr>
          <w:rFonts w:hint="eastAsia" w:eastAsia="宋体"/>
          <w:color w:val="auto"/>
          <w:lang w:eastAsia="zh-CN"/>
        </w:rPr>
      </w:pPr>
      <w:r>
        <w:rPr>
          <w:rFonts w:hint="eastAsia" w:cs="Times New Roman"/>
          <w:b/>
          <w:color w:val="auto"/>
          <w:sz w:val="24"/>
          <w:szCs w:val="24"/>
          <w:lang w:val="en-US" w:eastAsia="zh-CN"/>
        </w:rPr>
        <w:t>7.3.6</w:t>
      </w:r>
      <w:r>
        <w:rPr>
          <w:rFonts w:hint="default" w:ascii="Times New Roman" w:hAnsi="Times New Roman" w:cs="Times New Roman"/>
          <w:b/>
          <w:color w:val="auto"/>
          <w:sz w:val="24"/>
          <w:szCs w:val="24"/>
        </w:rPr>
        <w:t xml:space="preserve"> </w:t>
      </w:r>
      <w:r>
        <w:rPr>
          <w:rFonts w:hint="eastAsia"/>
          <w:color w:val="auto"/>
        </w:rPr>
        <w:t>预制柱</w:t>
      </w:r>
      <w:r>
        <w:rPr>
          <w:rFonts w:hint="eastAsia"/>
          <w:color w:val="auto"/>
          <w:lang w:val="en-US" w:eastAsia="zh-CN"/>
        </w:rPr>
        <w:t>与基础、预制柱与预制柱的连接处均需进行灌浆作业，灌浆方式和养护要求等可以参照现行国家标准《水泥基灌浆材料应用技术规范》GB/T 50448的有关规定。</w:t>
      </w:r>
    </w:p>
    <w:p w14:paraId="341F9C47">
      <w:pPr>
        <w:pStyle w:val="49"/>
        <w:bidi w:val="0"/>
        <w:rPr>
          <w:rFonts w:hint="eastAsia"/>
          <w:color w:val="auto"/>
        </w:rPr>
      </w:pPr>
      <w:bookmarkStart w:id="361" w:name="OLE_LINK5"/>
      <w:r>
        <w:rPr>
          <w:rFonts w:hint="eastAsia" w:cs="Times New Roman"/>
          <w:b/>
          <w:color w:val="auto"/>
          <w:sz w:val="24"/>
          <w:szCs w:val="24"/>
          <w:lang w:val="en-US" w:eastAsia="zh-CN"/>
        </w:rPr>
        <w:t>7.3.7</w:t>
      </w:r>
      <w:r>
        <w:rPr>
          <w:rFonts w:hint="default" w:ascii="Times New Roman" w:hAnsi="Times New Roman" w:cs="Times New Roman"/>
          <w:b/>
          <w:color w:val="auto"/>
          <w:sz w:val="24"/>
          <w:szCs w:val="24"/>
        </w:rPr>
        <w:t xml:space="preserve"> </w:t>
      </w:r>
      <w:bookmarkEnd w:id="361"/>
      <w:r>
        <w:rPr>
          <w:rFonts w:hint="eastAsia"/>
          <w:color w:val="auto"/>
        </w:rPr>
        <w:t>预制梁的吊装要求与传统预制混凝土构件相同，连接施工要求是根据连接方式，结合经验确定的。</w:t>
      </w:r>
    </w:p>
    <w:p w14:paraId="50C3EF44">
      <w:pPr>
        <w:pStyle w:val="49"/>
        <w:bidi w:val="0"/>
        <w:rPr>
          <w:rFonts w:hint="default" w:eastAsia="宋体"/>
          <w:b/>
          <w:bCs/>
          <w:color w:val="auto"/>
          <w:lang w:val="en-US" w:eastAsia="zh-CN"/>
        </w:rPr>
      </w:pPr>
      <w:r>
        <w:rPr>
          <w:rFonts w:hint="eastAsia"/>
          <w:b/>
          <w:bCs/>
          <w:color w:val="auto"/>
          <w:lang w:val="en-US" w:eastAsia="zh-CN"/>
        </w:rPr>
        <w:t xml:space="preserve">7.3.9 </w:t>
      </w:r>
      <w:r>
        <w:rPr>
          <w:rFonts w:hint="eastAsia" w:ascii="Times New Roman" w:hAnsi="Times New Roman" w:cs="Times New Roman"/>
          <w:b w:val="0"/>
          <w:bCs w:val="0"/>
          <w:color w:val="auto"/>
          <w:lang w:val="en-US" w:eastAsia="zh-CN"/>
        </w:rPr>
        <w:t>采用穿心杆方式进行吊装可以实现远程脱钩，特别适用于预制柱的吊装。本条参考现行行业标准《预应力装配式混凝土框架结构技术标准》JGJ/T 502对预留穿心杆孔道的相关要求作了规定。</w:t>
      </w:r>
    </w:p>
    <w:p w14:paraId="0BFD8B97">
      <w:pPr>
        <w:pStyle w:val="2"/>
        <w:ind w:left="0" w:leftChars="0" w:firstLine="0" w:firstLineChars="0"/>
        <w:rPr>
          <w:rFonts w:hint="default" w:ascii="Times New Roman" w:hAnsi="Times New Roman" w:cs="Times New Roman"/>
          <w:iCs/>
          <w:color w:val="000000"/>
          <w:sz w:val="24"/>
          <w:szCs w:val="24"/>
        </w:rPr>
      </w:pPr>
    </w:p>
    <w:p w14:paraId="13B09A2A">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000000"/>
          <w:sz w:val="24"/>
          <w:szCs w:val="24"/>
        </w:rPr>
      </w:pPr>
    </w:p>
    <w:p w14:paraId="48D0D280">
      <w:pPr>
        <w:pStyle w:val="3"/>
        <w:keepNext/>
        <w:keepLines/>
        <w:pageBreakBefore w:val="0"/>
        <w:widowControl w:val="0"/>
        <w:kinsoku/>
        <w:wordWrap/>
        <w:overflowPunct/>
        <w:topLinePunct w:val="0"/>
        <w:autoSpaceDE/>
        <w:autoSpaceDN/>
        <w:bidi w:val="0"/>
        <w:adjustRightInd w:val="0"/>
        <w:snapToGrid w:val="0"/>
        <w:spacing w:before="170" w:beforeLines="50" w:after="170" w:afterLines="50" w:line="360" w:lineRule="exact"/>
        <w:ind w:left="0" w:leftChars="0" w:firstLine="0" w:firstLineChars="0"/>
        <w:jc w:val="center"/>
        <w:textAlignment w:val="auto"/>
        <w:rPr>
          <w:rFonts w:hint="default" w:ascii="Times New Roman" w:hAnsi="Times New Roman" w:eastAsia="宋体" w:cs="Times New Roman"/>
          <w:b/>
          <w:kern w:val="2"/>
          <w:sz w:val="28"/>
          <w:szCs w:val="20"/>
          <w:lang w:val="en-US" w:eastAsia="zh-CN" w:bidi="ar-SA"/>
        </w:rPr>
      </w:pPr>
      <w:r>
        <w:rPr>
          <w:rFonts w:hint="default" w:ascii="Times New Roman" w:hAnsi="Times New Roman" w:cs="Times New Roman"/>
          <w:color w:val="000000"/>
          <w:sz w:val="21"/>
          <w:szCs w:val="21"/>
        </w:rPr>
        <w:br w:type="page"/>
      </w:r>
      <w:bookmarkStart w:id="362" w:name="_Toc32063"/>
      <w:bookmarkStart w:id="363" w:name="_Toc21183"/>
      <w:bookmarkStart w:id="364" w:name="_Toc3519"/>
      <w:bookmarkStart w:id="365" w:name="_Toc26401"/>
      <w:bookmarkStart w:id="366" w:name="_Toc28583"/>
      <w:bookmarkStart w:id="367" w:name="_Toc19424"/>
      <w:bookmarkStart w:id="368" w:name="_Toc27626"/>
      <w:bookmarkStart w:id="369" w:name="_Toc9161"/>
      <w:bookmarkStart w:id="370" w:name="_Toc20626"/>
      <w:bookmarkStart w:id="371" w:name="_Toc3397"/>
      <w:bookmarkStart w:id="372" w:name="_Toc15567"/>
      <w:bookmarkStart w:id="373" w:name="_Toc8667"/>
      <w:r>
        <w:rPr>
          <w:rFonts w:hint="eastAsia" w:cs="Times New Roman"/>
          <w:b/>
          <w:kern w:val="2"/>
          <w:sz w:val="28"/>
          <w:szCs w:val="20"/>
          <w:lang w:val="en-US" w:eastAsia="zh-CN" w:bidi="ar-SA"/>
        </w:rPr>
        <w:t>8</w:t>
      </w:r>
      <w:r>
        <w:rPr>
          <w:rFonts w:hint="default" w:ascii="Times New Roman" w:hAnsi="Times New Roman" w:eastAsia="宋体" w:cs="Times New Roman"/>
          <w:b/>
          <w:kern w:val="2"/>
          <w:sz w:val="28"/>
          <w:szCs w:val="20"/>
          <w:lang w:val="en-US" w:eastAsia="zh-CN" w:bidi="ar-SA"/>
        </w:rPr>
        <w:t xml:space="preserve">  </w:t>
      </w:r>
      <w:bookmarkEnd w:id="362"/>
      <w:bookmarkEnd w:id="363"/>
      <w:bookmarkEnd w:id="364"/>
      <w:bookmarkEnd w:id="365"/>
      <w:r>
        <w:rPr>
          <w:rFonts w:hint="eastAsia" w:cs="Times New Roman"/>
          <w:b/>
          <w:kern w:val="2"/>
          <w:sz w:val="28"/>
          <w:szCs w:val="20"/>
          <w:lang w:val="en-US" w:eastAsia="zh-CN" w:bidi="ar-SA"/>
        </w:rPr>
        <w:t>质量验收</w:t>
      </w:r>
      <w:bookmarkEnd w:id="366"/>
      <w:bookmarkEnd w:id="367"/>
      <w:bookmarkEnd w:id="368"/>
      <w:bookmarkEnd w:id="369"/>
      <w:bookmarkEnd w:id="370"/>
      <w:bookmarkEnd w:id="371"/>
      <w:bookmarkEnd w:id="372"/>
      <w:bookmarkEnd w:id="373"/>
    </w:p>
    <w:p w14:paraId="00311246">
      <w:pPr>
        <w:pStyle w:val="41"/>
        <w:numPr>
          <w:ilvl w:val="1"/>
          <w:numId w:val="0"/>
        </w:numPr>
        <w:spacing w:before="312" w:after="312"/>
        <w:ind w:leftChars="0"/>
        <w:jc w:val="center"/>
        <w:rPr>
          <w:rFonts w:hint="default"/>
          <w:lang w:val="en-US"/>
        </w:rPr>
      </w:pPr>
      <w:bookmarkStart w:id="374" w:name="_Toc27650"/>
      <w:bookmarkStart w:id="375" w:name="_Toc30013"/>
      <w:bookmarkStart w:id="376" w:name="_Toc19984"/>
      <w:bookmarkStart w:id="377" w:name="_Toc15431"/>
      <w:bookmarkStart w:id="378" w:name="_Toc3086"/>
      <w:bookmarkStart w:id="379" w:name="_Toc25001"/>
      <w:bookmarkStart w:id="380" w:name="_Toc30423"/>
      <w:bookmarkStart w:id="381" w:name="_Toc9692"/>
      <w:r>
        <w:rPr>
          <w:rFonts w:hint="eastAsia"/>
          <w:lang w:val="en-US" w:eastAsia="zh-CN"/>
        </w:rPr>
        <w:t>8.1 一般规定</w:t>
      </w:r>
      <w:bookmarkEnd w:id="374"/>
      <w:bookmarkEnd w:id="375"/>
      <w:bookmarkEnd w:id="376"/>
      <w:bookmarkEnd w:id="377"/>
      <w:bookmarkEnd w:id="378"/>
      <w:bookmarkEnd w:id="379"/>
      <w:bookmarkEnd w:id="380"/>
      <w:bookmarkEnd w:id="381"/>
    </w:p>
    <w:p w14:paraId="13A9D2D9">
      <w:pPr>
        <w:pStyle w:val="49"/>
        <w:bidi w:val="0"/>
        <w:rPr>
          <w:rFonts w:hint="default" w:cs="Times New Roman"/>
          <w:b/>
          <w:color w:val="000000"/>
          <w:sz w:val="24"/>
          <w:szCs w:val="24"/>
          <w:lang w:val="en-US" w:eastAsia="zh-CN"/>
        </w:rPr>
      </w:pPr>
      <w:r>
        <w:rPr>
          <w:rFonts w:hint="eastAsia" w:cs="Times New Roman"/>
          <w:b/>
          <w:color w:val="000000"/>
          <w:sz w:val="24"/>
          <w:szCs w:val="24"/>
          <w:lang w:val="en-US" w:eastAsia="zh-CN"/>
        </w:rPr>
        <w:t xml:space="preserve">8.1.1 </w:t>
      </w:r>
      <w:r>
        <w:rPr>
          <w:rFonts w:hint="eastAsia" w:ascii="Times New Roman" w:hAnsi="Times New Roman" w:cs="Times New Roman"/>
          <w:color w:val="auto"/>
          <w:lang w:val="en-US" w:eastAsia="zh-CN"/>
        </w:rPr>
        <w:t>钢组件框架结构中绝大多数梁、柱采用预制形式，楼板为预制或叠合形式，很少涉及传统混凝土结构子分部工程中的模板、钢筋、混凝土等分项工程，因此规定将钢组件框架结构工程直接作为子分部工程，而不是混凝土结构子分部下的分项工程。</w:t>
      </w:r>
    </w:p>
    <w:p w14:paraId="777CF27E">
      <w:pPr>
        <w:pStyle w:val="49"/>
        <w:bidi w:val="0"/>
        <w:rPr>
          <w:rFonts w:hint="eastAsia"/>
          <w:color w:val="auto"/>
        </w:rPr>
      </w:pPr>
      <w:r>
        <w:rPr>
          <w:rFonts w:hint="eastAsia" w:cs="Times New Roman"/>
          <w:b/>
          <w:color w:val="000000"/>
          <w:sz w:val="24"/>
          <w:szCs w:val="24"/>
          <w:lang w:val="en-US" w:eastAsia="zh-CN"/>
        </w:rPr>
        <w:t>8</w:t>
      </w:r>
      <w:r>
        <w:rPr>
          <w:rFonts w:hint="default" w:ascii="Times New Roman" w:hAnsi="Times New Roman" w:cs="Times New Roman"/>
          <w:b/>
          <w:color w:val="000000"/>
          <w:sz w:val="24"/>
          <w:szCs w:val="24"/>
        </w:rPr>
        <w:t>.</w:t>
      </w:r>
      <w:r>
        <w:rPr>
          <w:rFonts w:hint="eastAsia"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w:t>
      </w:r>
      <w:r>
        <w:rPr>
          <w:rFonts w:hint="eastAsia" w:cs="Times New Roman"/>
          <w:b/>
          <w:color w:val="000000"/>
          <w:sz w:val="24"/>
          <w:szCs w:val="24"/>
          <w:lang w:val="en-US" w:eastAsia="zh-CN"/>
        </w:rPr>
        <w:t>3</w:t>
      </w:r>
      <w:r>
        <w:rPr>
          <w:rFonts w:hint="default" w:ascii="Times New Roman" w:hAnsi="Times New Roman" w:cs="Times New Roman"/>
          <w:b/>
          <w:color w:val="000000"/>
          <w:sz w:val="24"/>
          <w:szCs w:val="24"/>
        </w:rPr>
        <w:t xml:space="preserve"> </w:t>
      </w:r>
      <w:r>
        <w:rPr>
          <w:rFonts w:hint="eastAsia"/>
          <w:color w:val="auto"/>
        </w:rPr>
        <w:t>本条根据现行国家标准《建筑工程施工质量验收统一标准》GB 50300的有关规定，给出了</w:t>
      </w:r>
      <w:r>
        <w:rPr>
          <w:rFonts w:hint="eastAsia"/>
          <w:color w:val="auto"/>
          <w:lang w:val="en-US" w:eastAsia="zh-CN"/>
        </w:rPr>
        <w:t>钢组件框架结构</w:t>
      </w:r>
      <w:r>
        <w:rPr>
          <w:rFonts w:hint="eastAsia"/>
          <w:color w:val="auto"/>
        </w:rPr>
        <w:t>子分部工程质量合格标准。</w:t>
      </w:r>
    </w:p>
    <w:p w14:paraId="4A397770">
      <w:pPr>
        <w:pStyle w:val="49"/>
        <w:bidi w:val="0"/>
        <w:rPr>
          <w:color w:val="auto"/>
        </w:rPr>
      </w:pPr>
      <w:r>
        <w:rPr>
          <w:rFonts w:hint="eastAsia" w:cs="Times New Roman"/>
          <w:b/>
          <w:color w:val="auto"/>
          <w:sz w:val="24"/>
          <w:szCs w:val="24"/>
          <w:lang w:val="en-US" w:eastAsia="zh-CN"/>
        </w:rPr>
        <w:t>8</w:t>
      </w:r>
      <w:r>
        <w:rPr>
          <w:rFonts w:hint="default" w:ascii="Times New Roman" w:hAnsi="Times New Roman" w:cs="Times New Roman"/>
          <w:b/>
          <w:color w:val="auto"/>
          <w:sz w:val="24"/>
          <w:szCs w:val="24"/>
        </w:rPr>
        <w:t>.</w:t>
      </w:r>
      <w:r>
        <w:rPr>
          <w:rFonts w:hint="eastAsia"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4</w:t>
      </w:r>
      <w:r>
        <w:rPr>
          <w:rFonts w:hint="default" w:ascii="Times New Roman" w:hAnsi="Times New Roman" w:cs="Times New Roman"/>
          <w:b/>
          <w:color w:val="auto"/>
          <w:sz w:val="24"/>
          <w:szCs w:val="24"/>
        </w:rPr>
        <w:t xml:space="preserve"> </w:t>
      </w:r>
      <w:r>
        <w:rPr>
          <w:rFonts w:hint="eastAsia"/>
          <w:color w:val="auto"/>
        </w:rPr>
        <w:t>本条</w:t>
      </w:r>
      <w:r>
        <w:rPr>
          <w:color w:val="auto"/>
        </w:rPr>
        <w:t>对</w:t>
      </w:r>
      <w:r>
        <w:rPr>
          <w:rFonts w:hint="eastAsia"/>
          <w:color w:val="auto"/>
          <w:lang w:val="en-US" w:eastAsia="zh-CN"/>
        </w:rPr>
        <w:t>钢组件框架结构</w:t>
      </w:r>
      <w:r>
        <w:rPr>
          <w:color w:val="auto"/>
        </w:rPr>
        <w:t>施工质量验收</w:t>
      </w:r>
      <w:r>
        <w:rPr>
          <w:rFonts w:hint="eastAsia"/>
          <w:color w:val="auto"/>
        </w:rPr>
        <w:t>时应</w:t>
      </w:r>
      <w:r>
        <w:rPr>
          <w:color w:val="auto"/>
        </w:rPr>
        <w:t>提供的文件和</w:t>
      </w:r>
      <w:r>
        <w:rPr>
          <w:rFonts w:hint="eastAsia"/>
          <w:color w:val="auto"/>
        </w:rPr>
        <w:t>记录</w:t>
      </w:r>
      <w:r>
        <w:rPr>
          <w:color w:val="auto"/>
        </w:rPr>
        <w:t>进行了</w:t>
      </w:r>
      <w:r>
        <w:rPr>
          <w:rFonts w:hint="eastAsia"/>
          <w:color w:val="auto"/>
        </w:rPr>
        <w:t>规定</w:t>
      </w:r>
      <w:r>
        <w:rPr>
          <w:color w:val="auto"/>
        </w:rPr>
        <w:t>。</w:t>
      </w:r>
    </w:p>
    <w:p w14:paraId="0560BF06">
      <w:pPr>
        <w:pStyle w:val="41"/>
        <w:numPr>
          <w:ilvl w:val="1"/>
          <w:numId w:val="0"/>
        </w:numPr>
        <w:spacing w:before="312" w:after="312"/>
        <w:ind w:leftChars="0"/>
        <w:jc w:val="center"/>
        <w:rPr>
          <w:rFonts w:hint="default"/>
          <w:color w:val="auto"/>
          <w:lang w:val="en-US"/>
        </w:rPr>
      </w:pPr>
      <w:bookmarkStart w:id="382" w:name="_Toc32392"/>
      <w:bookmarkStart w:id="383" w:name="_Toc19829"/>
      <w:bookmarkStart w:id="384" w:name="_Toc6092"/>
      <w:bookmarkStart w:id="385" w:name="_Toc23323"/>
      <w:bookmarkStart w:id="386" w:name="_Toc22317"/>
      <w:bookmarkStart w:id="387" w:name="_Toc30940"/>
      <w:bookmarkStart w:id="388" w:name="_Toc21179"/>
      <w:bookmarkStart w:id="389" w:name="_Toc19028"/>
      <w:r>
        <w:rPr>
          <w:rFonts w:hint="eastAsia"/>
          <w:color w:val="auto"/>
          <w:lang w:val="en-US" w:eastAsia="zh-CN"/>
        </w:rPr>
        <w:t xml:space="preserve">8.2 </w:t>
      </w:r>
      <w:r>
        <w:rPr>
          <w:rFonts w:hint="eastAsia"/>
          <w:color w:val="auto"/>
        </w:rPr>
        <w:t>预制构件进场验收</w:t>
      </w:r>
      <w:bookmarkEnd w:id="382"/>
      <w:bookmarkEnd w:id="383"/>
      <w:bookmarkEnd w:id="384"/>
      <w:bookmarkEnd w:id="385"/>
      <w:bookmarkEnd w:id="386"/>
      <w:bookmarkEnd w:id="387"/>
      <w:bookmarkEnd w:id="388"/>
      <w:bookmarkEnd w:id="389"/>
    </w:p>
    <w:p w14:paraId="2EED763B">
      <w:pPr>
        <w:pStyle w:val="49"/>
        <w:bidi w:val="0"/>
        <w:rPr>
          <w:rFonts w:hint="eastAsia"/>
          <w:color w:val="auto"/>
          <w:sz w:val="24"/>
          <w:szCs w:val="24"/>
          <w:lang w:eastAsia="zh-CN"/>
        </w:rPr>
      </w:pPr>
      <w:r>
        <w:rPr>
          <w:rFonts w:hint="eastAsia" w:cs="Times New Roman"/>
          <w:b/>
          <w:color w:val="auto"/>
          <w:sz w:val="24"/>
          <w:szCs w:val="24"/>
          <w:lang w:val="en-US" w:eastAsia="zh-CN"/>
        </w:rPr>
        <w:t>8</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1</w:t>
      </w:r>
      <w:r>
        <w:rPr>
          <w:rFonts w:hint="default" w:ascii="Times New Roman" w:hAnsi="Times New Roman" w:cs="Times New Roman"/>
          <w:b/>
          <w:color w:val="auto"/>
          <w:sz w:val="24"/>
          <w:szCs w:val="24"/>
        </w:rPr>
        <w:t xml:space="preserve"> </w:t>
      </w:r>
      <w:r>
        <w:rPr>
          <w:rFonts w:hint="eastAsia"/>
          <w:color w:val="auto"/>
        </w:rPr>
        <w:t>本条对预制梁和预制柱的进场验收提出了基本要求，构件进场时需检查质量证明文件或质量验收记录。对预制构件专业企业生产的构件，进场时应检查质量证明文件，质量证明文件包括产品合格证明书、混凝土强度检验报告及构件生产过程的关键验收记录。对总承包单位制作的构件，没有“进场”的验收环节，其材料和制作质量需按本规程和国家现行有关标准的规定进行验收，对构件的验收方式为检查构件制作中的质量验收记录。</w:t>
      </w:r>
    </w:p>
    <w:p w14:paraId="22ABEF90">
      <w:pPr>
        <w:pStyle w:val="49"/>
        <w:bidi w:val="0"/>
        <w:rPr>
          <w:color w:val="auto"/>
        </w:rPr>
      </w:pPr>
      <w:r>
        <w:rPr>
          <w:rFonts w:hint="eastAsia" w:cs="Times New Roman"/>
          <w:b/>
          <w:color w:val="auto"/>
          <w:sz w:val="24"/>
          <w:szCs w:val="24"/>
          <w:lang w:val="en-US" w:eastAsia="zh-CN"/>
        </w:rPr>
        <w:t>8</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2、8</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3</w:t>
      </w:r>
      <w:r>
        <w:rPr>
          <w:rFonts w:hint="default" w:ascii="Times New Roman" w:hAnsi="Times New Roman" w:cs="Times New Roman"/>
          <w:b/>
          <w:color w:val="auto"/>
          <w:sz w:val="24"/>
          <w:szCs w:val="24"/>
        </w:rPr>
        <w:t xml:space="preserve"> </w:t>
      </w:r>
      <w:r>
        <w:rPr>
          <w:rFonts w:hint="eastAsia"/>
          <w:color w:val="auto"/>
          <w:lang w:val="en-US" w:eastAsia="zh-CN"/>
        </w:rPr>
        <w:t>钢组件框架结构</w:t>
      </w:r>
      <w:r>
        <w:rPr>
          <w:rFonts w:hint="eastAsia"/>
          <w:color w:val="auto"/>
        </w:rPr>
        <w:t>预制梁和预制柱的</w:t>
      </w:r>
      <w:r>
        <w:rPr>
          <w:rFonts w:hint="eastAsia"/>
          <w:color w:val="auto"/>
          <w:lang w:eastAsia="zh-CN"/>
        </w:rPr>
        <w:t>钢组件</w:t>
      </w:r>
      <w:r>
        <w:rPr>
          <w:rFonts w:hint="eastAsia"/>
          <w:color w:val="auto"/>
        </w:rPr>
        <w:t>对构件和节点的受力性能至关重要，因此在对预制梁和预制柱进行</w:t>
      </w:r>
      <w:r>
        <w:rPr>
          <w:rFonts w:hint="eastAsia"/>
          <w:color w:val="auto"/>
          <w:lang w:val="en-US" w:eastAsia="zh-CN"/>
        </w:rPr>
        <w:t>进场</w:t>
      </w:r>
      <w:r>
        <w:rPr>
          <w:rFonts w:hint="eastAsia"/>
          <w:color w:val="auto"/>
        </w:rPr>
        <w:t>验收时，需检查焊缝质量证明文件</w:t>
      </w:r>
      <w:r>
        <w:rPr>
          <w:rFonts w:hint="eastAsia"/>
          <w:color w:val="auto"/>
          <w:lang w:val="en-US" w:eastAsia="zh-CN"/>
        </w:rPr>
        <w:t>和检验报告等</w:t>
      </w:r>
      <w:r>
        <w:rPr>
          <w:rFonts w:hint="eastAsia"/>
          <w:color w:val="auto"/>
        </w:rPr>
        <w:t>。</w:t>
      </w:r>
    </w:p>
    <w:p w14:paraId="3C593C27">
      <w:pPr>
        <w:pStyle w:val="49"/>
        <w:bidi w:val="0"/>
        <w:rPr>
          <w:rFonts w:hint="eastAsia"/>
          <w:color w:val="auto"/>
        </w:rPr>
      </w:pPr>
      <w:r>
        <w:rPr>
          <w:rFonts w:hint="eastAsia" w:cs="Times New Roman"/>
          <w:b/>
          <w:color w:val="auto"/>
          <w:sz w:val="24"/>
          <w:szCs w:val="24"/>
          <w:lang w:val="en-US" w:eastAsia="zh-CN"/>
        </w:rPr>
        <w:t>8</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6</w:t>
      </w:r>
      <w:r>
        <w:rPr>
          <w:rFonts w:hint="default" w:ascii="Times New Roman" w:hAnsi="Times New Roman" w:cs="Times New Roman"/>
          <w:b/>
          <w:color w:val="auto"/>
          <w:sz w:val="24"/>
          <w:szCs w:val="24"/>
        </w:rPr>
        <w:t xml:space="preserve"> </w:t>
      </w:r>
      <w:r>
        <w:rPr>
          <w:rFonts w:hint="eastAsia"/>
          <w:color w:val="auto"/>
        </w:rPr>
        <w:t>预制构件进场时进行标识验收已经成为工程普遍做法，通过其标识可准确了解预制构件的基本情况，有利于指导施工。</w:t>
      </w:r>
    </w:p>
    <w:p w14:paraId="0894958A">
      <w:pPr>
        <w:pStyle w:val="41"/>
        <w:numPr>
          <w:ilvl w:val="1"/>
          <w:numId w:val="0"/>
        </w:numPr>
        <w:spacing w:before="312" w:after="312"/>
        <w:ind w:leftChars="0"/>
        <w:jc w:val="center"/>
        <w:rPr>
          <w:rFonts w:hint="default" w:ascii="Times New Roman" w:hAnsi="Times New Roman" w:eastAsia="宋体" w:cs="Times New Roman"/>
          <w:color w:val="auto"/>
          <w:lang w:val="en-US" w:eastAsia="zh-CN"/>
        </w:rPr>
      </w:pPr>
      <w:bookmarkStart w:id="390" w:name="_Toc1527"/>
      <w:bookmarkStart w:id="391" w:name="_Toc29699"/>
      <w:bookmarkStart w:id="392" w:name="_Toc15409"/>
      <w:bookmarkStart w:id="393" w:name="_Toc22077"/>
      <w:bookmarkStart w:id="394" w:name="_Toc22190"/>
      <w:bookmarkStart w:id="395" w:name="_Toc3268"/>
      <w:bookmarkStart w:id="396" w:name="_Toc14552"/>
      <w:bookmarkStart w:id="397" w:name="_Toc15103"/>
      <w:r>
        <w:rPr>
          <w:rFonts w:hint="eastAsia" w:ascii="Times New Roman" w:hAnsi="Times New Roman" w:eastAsia="宋体" w:cs="Times New Roman"/>
          <w:color w:val="auto"/>
          <w:lang w:val="en-US" w:eastAsia="zh-CN"/>
        </w:rPr>
        <w:t>8.3 安装与连接质量验收</w:t>
      </w:r>
      <w:bookmarkEnd w:id="390"/>
      <w:bookmarkEnd w:id="391"/>
      <w:bookmarkEnd w:id="392"/>
      <w:bookmarkEnd w:id="393"/>
      <w:bookmarkEnd w:id="394"/>
      <w:bookmarkEnd w:id="395"/>
      <w:bookmarkEnd w:id="396"/>
      <w:bookmarkEnd w:id="397"/>
    </w:p>
    <w:p w14:paraId="2E3559B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outlineLvl w:val="9"/>
        <w:rPr>
          <w:rFonts w:hint="eastAsia"/>
        </w:rPr>
      </w:pPr>
      <w:bookmarkStart w:id="398" w:name="OLE_LINK6"/>
      <w:r>
        <w:rPr>
          <w:rFonts w:hint="eastAsia" w:cs="Times New Roman"/>
          <w:b/>
          <w:color w:val="000000"/>
          <w:sz w:val="24"/>
          <w:szCs w:val="24"/>
          <w:lang w:val="en-US" w:eastAsia="zh-CN"/>
        </w:rPr>
        <w:t>8</w:t>
      </w:r>
      <w:r>
        <w:rPr>
          <w:rFonts w:hint="default" w:ascii="Times New Roman" w:hAnsi="Times New Roman" w:cs="Times New Roman"/>
          <w:b/>
          <w:color w:val="000000"/>
          <w:sz w:val="24"/>
          <w:szCs w:val="24"/>
        </w:rPr>
        <w:t>.</w:t>
      </w:r>
      <w:r>
        <w:rPr>
          <w:rFonts w:hint="eastAsia" w:cs="Times New Roman"/>
          <w:b/>
          <w:color w:val="000000"/>
          <w:sz w:val="24"/>
          <w:szCs w:val="24"/>
          <w:lang w:val="en-US" w:eastAsia="zh-CN"/>
        </w:rPr>
        <w:t>3</w:t>
      </w:r>
      <w:r>
        <w:rPr>
          <w:rFonts w:hint="default" w:ascii="Times New Roman" w:hAnsi="Times New Roman" w:cs="Times New Roman"/>
          <w:b/>
          <w:color w:val="000000"/>
          <w:sz w:val="24"/>
          <w:szCs w:val="24"/>
        </w:rPr>
        <w:t>.</w:t>
      </w:r>
      <w:r>
        <w:rPr>
          <w:rFonts w:hint="eastAsia" w:cs="Times New Roman"/>
          <w:b/>
          <w:color w:val="000000"/>
          <w:sz w:val="24"/>
          <w:szCs w:val="24"/>
          <w:lang w:val="en-US" w:eastAsia="zh-CN"/>
        </w:rPr>
        <w:t>5</w:t>
      </w:r>
      <w:r>
        <w:rPr>
          <w:rFonts w:hint="default" w:ascii="Times New Roman" w:hAnsi="Times New Roman" w:cs="Times New Roman"/>
          <w:b/>
          <w:color w:val="000000"/>
          <w:sz w:val="24"/>
          <w:szCs w:val="24"/>
        </w:rPr>
        <w:t xml:space="preserve"> </w:t>
      </w:r>
      <w:r>
        <w:rPr>
          <w:rFonts w:hint="eastAsia"/>
        </w:rPr>
        <w:t>本规程中的灌浆料的抗压强度可以参考现行国家标准《普通混凝土力学性能试验方法标准》GB/T 50081和《混凝土强度检验评定标准》GB/T 50107的有</w:t>
      </w:r>
      <w:bookmarkEnd w:id="398"/>
      <w:r>
        <w:rPr>
          <w:rFonts w:hint="eastAsia"/>
        </w:rPr>
        <w:t>关规定进行检验和评定。</w:t>
      </w:r>
    </w:p>
    <w:p w14:paraId="3E37CC3C">
      <w:pPr>
        <w:pStyle w:val="2"/>
        <w:ind w:left="0" w:leftChars="0" w:firstLine="0" w:firstLineChars="0"/>
        <w:rPr>
          <w:rFonts w:hint="default"/>
          <w:color w:val="auto"/>
          <w:lang w:val="en-US" w:eastAsia="zh-CN"/>
        </w:rPr>
      </w:pPr>
      <w:r>
        <w:rPr>
          <w:rFonts w:hint="eastAsia" w:cs="Times New Roman"/>
          <w:b/>
          <w:color w:val="000000"/>
          <w:sz w:val="24"/>
          <w:szCs w:val="24"/>
          <w:lang w:val="en-US" w:eastAsia="zh-CN"/>
        </w:rPr>
        <w:t>8</w:t>
      </w:r>
      <w:r>
        <w:rPr>
          <w:rFonts w:hint="default" w:ascii="Times New Roman" w:hAnsi="Times New Roman" w:cs="Times New Roman"/>
          <w:b/>
          <w:color w:val="000000"/>
          <w:sz w:val="24"/>
          <w:szCs w:val="24"/>
        </w:rPr>
        <w:t>.</w:t>
      </w:r>
      <w:r>
        <w:rPr>
          <w:rFonts w:hint="eastAsia" w:cs="Times New Roman"/>
          <w:b/>
          <w:color w:val="000000"/>
          <w:sz w:val="24"/>
          <w:szCs w:val="24"/>
          <w:lang w:val="en-US" w:eastAsia="zh-CN"/>
        </w:rPr>
        <w:t>3</w:t>
      </w:r>
      <w:r>
        <w:rPr>
          <w:rFonts w:hint="default" w:ascii="Times New Roman" w:hAnsi="Times New Roman" w:cs="Times New Roman"/>
          <w:b/>
          <w:color w:val="000000"/>
          <w:sz w:val="24"/>
          <w:szCs w:val="24"/>
        </w:rPr>
        <w:t>.</w:t>
      </w:r>
      <w:r>
        <w:rPr>
          <w:rFonts w:hint="eastAsia" w:ascii="Times New Roman" w:hAnsi="Times New Roman" w:cs="Times New Roman"/>
          <w:b/>
          <w:color w:val="000000"/>
          <w:sz w:val="24"/>
          <w:szCs w:val="24"/>
          <w:lang w:val="en-US" w:eastAsia="zh-CN"/>
        </w:rPr>
        <w:t>7、8.3.8</w:t>
      </w:r>
      <w:r>
        <w:rPr>
          <w:rFonts w:hint="default" w:ascii="Times New Roman" w:hAnsi="Times New Roman" w:cs="Times New Roman"/>
          <w:b/>
          <w:color w:val="000000"/>
          <w:sz w:val="24"/>
          <w:szCs w:val="24"/>
        </w:rPr>
        <w:t xml:space="preserve"> </w:t>
      </w:r>
      <w:r>
        <w:rPr>
          <w:rFonts w:hint="eastAsia"/>
        </w:rPr>
        <w:t>本规程中</w:t>
      </w:r>
      <w:r>
        <w:rPr>
          <w:rFonts w:hint="eastAsia"/>
          <w:lang w:val="en-US" w:eastAsia="zh-CN"/>
        </w:rPr>
        <w:t>预制梁与预制柱连接段采用细石混凝土浇筑，连接段内既有钢组件又有箍筋，为保证连接施工质量，需重点检验混凝土的强度和浇筑质量。</w:t>
      </w:r>
    </w:p>
    <w:sectPr>
      <w:footerReference r:id="rId18" w:type="default"/>
      <w:pgSz w:w="11906" w:h="16838"/>
      <w:pgMar w:top="1440" w:right="1803" w:bottom="1440" w:left="1803" w:header="283" w:footer="850" w:gutter="0"/>
      <w:pgNumType w:fmt="decimal"/>
      <w:cols w:space="0" w:num="1"/>
      <w:titlePg/>
      <w:rtlGutter w:val="0"/>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Verdana">
    <w:panose1 w:val="020B0604030504040204"/>
    <w:charset w:val="00"/>
    <w:family w:val="swiss"/>
    <w:pitch w:val="default"/>
    <w:sig w:usb0="A00006FF" w:usb1="4000205B" w:usb2="00000010" w:usb3="00000000" w:csb0="2000019F" w:csb1="00000000"/>
  </w:font>
  <w:font w:name="HiddenHorzOCR-Identity-H">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imes-Italic">
    <w:altName w:val="Times New Roman"/>
    <w:panose1 w:val="00000000000000000000"/>
    <w:charset w:val="00"/>
    <w:family w:val="roman"/>
    <w:pitch w:val="default"/>
    <w:sig w:usb0="00000000" w:usb1="00000000" w:usb2="00000000" w:usb3="00000000" w:csb0="00000000" w:csb1="00000000"/>
  </w:font>
  <w:font w:name="ArialMT">
    <w:altName w:val="Segoe Print"/>
    <w:panose1 w:val="00000000000000000000"/>
    <w:charset w:val="00"/>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2FF71">
    <w:pPr>
      <w:pStyle w:val="18"/>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AE699">
    <w:pPr>
      <w:pStyle w:val="18"/>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6576A">
    <w:pPr>
      <w:pStyle w:val="18"/>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FF5E4">
                          <w:pPr>
                            <w:pStyle w:val="18"/>
                            <w:rPr>
                              <w:rStyle w:val="34"/>
                              <w:rFonts w:ascii="Times New Roman" w:hAnsi="Times New Roman"/>
                              <w:sz w:val="21"/>
                              <w:szCs w:val="21"/>
                            </w:rPr>
                          </w:pPr>
                          <w:r>
                            <w:rPr>
                              <w:rFonts w:ascii="Times New Roman" w:hAnsi="Times New Roman"/>
                              <w:sz w:val="21"/>
                              <w:szCs w:val="21"/>
                            </w:rPr>
                            <w:fldChar w:fldCharType="begin"/>
                          </w:r>
                          <w:r>
                            <w:rPr>
                              <w:rStyle w:val="34"/>
                              <w:rFonts w:ascii="Times New Roman" w:hAnsi="Times New Roman"/>
                              <w:sz w:val="21"/>
                              <w:szCs w:val="21"/>
                            </w:rPr>
                            <w:instrText xml:space="preserve">PAGE  </w:instrText>
                          </w:r>
                          <w:r>
                            <w:rPr>
                              <w:rFonts w:ascii="Times New Roman" w:hAnsi="Times New Roman"/>
                              <w:sz w:val="21"/>
                              <w:szCs w:val="21"/>
                            </w:rPr>
                            <w:fldChar w:fldCharType="separate"/>
                          </w:r>
                          <w:r>
                            <w:rPr>
                              <w:rStyle w:val="34"/>
                              <w:rFonts w:ascii="Times New Roman" w:hAnsi="Times New Roman"/>
                              <w:sz w:val="21"/>
                              <w:szCs w:val="21"/>
                            </w:rPr>
                            <w:t>31</w:t>
                          </w:r>
                          <w:r>
                            <w:rPr>
                              <w:rFonts w:ascii="Times New Roman" w:hAnsi="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0AFF5E4">
                    <w:pPr>
                      <w:pStyle w:val="18"/>
                      <w:rPr>
                        <w:rStyle w:val="34"/>
                        <w:rFonts w:ascii="Times New Roman" w:hAnsi="Times New Roman"/>
                        <w:sz w:val="21"/>
                        <w:szCs w:val="21"/>
                      </w:rPr>
                    </w:pPr>
                    <w:r>
                      <w:rPr>
                        <w:rFonts w:ascii="Times New Roman" w:hAnsi="Times New Roman"/>
                        <w:sz w:val="21"/>
                        <w:szCs w:val="21"/>
                      </w:rPr>
                      <w:fldChar w:fldCharType="begin"/>
                    </w:r>
                    <w:r>
                      <w:rPr>
                        <w:rStyle w:val="34"/>
                        <w:rFonts w:ascii="Times New Roman" w:hAnsi="Times New Roman"/>
                        <w:sz w:val="21"/>
                        <w:szCs w:val="21"/>
                      </w:rPr>
                      <w:instrText xml:space="preserve">PAGE  </w:instrText>
                    </w:r>
                    <w:r>
                      <w:rPr>
                        <w:rFonts w:ascii="Times New Roman" w:hAnsi="Times New Roman"/>
                        <w:sz w:val="21"/>
                        <w:szCs w:val="21"/>
                      </w:rPr>
                      <w:fldChar w:fldCharType="separate"/>
                    </w:r>
                    <w:r>
                      <w:rPr>
                        <w:rStyle w:val="34"/>
                        <w:rFonts w:ascii="Times New Roman" w:hAnsi="Times New Roman"/>
                        <w:sz w:val="21"/>
                        <w:szCs w:val="21"/>
                      </w:rPr>
                      <w:t>31</w:t>
                    </w:r>
                    <w:r>
                      <w:rPr>
                        <w:rFonts w:ascii="Times New Roman" w:hAnsi="Times New Roman"/>
                        <w:sz w:val="21"/>
                        <w:szCs w:val="21"/>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2D1E">
    <w:pPr>
      <w:pStyle w:val="18"/>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A75DC">
                          <w:pPr>
                            <w:pStyle w:val="18"/>
                            <w:rPr>
                              <w:rStyle w:val="34"/>
                              <w:rFonts w:ascii="Times New Roman" w:hAnsi="Times New Roman"/>
                              <w:sz w:val="21"/>
                              <w:szCs w:val="21"/>
                            </w:rPr>
                          </w:pPr>
                          <w:r>
                            <w:rPr>
                              <w:rFonts w:ascii="Times New Roman" w:hAnsi="Times New Roman"/>
                              <w:sz w:val="21"/>
                              <w:szCs w:val="21"/>
                            </w:rPr>
                            <w:fldChar w:fldCharType="begin"/>
                          </w:r>
                          <w:r>
                            <w:rPr>
                              <w:rStyle w:val="34"/>
                              <w:rFonts w:ascii="Times New Roman" w:hAnsi="Times New Roman"/>
                              <w:sz w:val="21"/>
                              <w:szCs w:val="21"/>
                            </w:rPr>
                            <w:instrText xml:space="preserve">PAGE  </w:instrText>
                          </w:r>
                          <w:r>
                            <w:rPr>
                              <w:rFonts w:ascii="Times New Roman" w:hAnsi="Times New Roman"/>
                              <w:sz w:val="21"/>
                              <w:szCs w:val="21"/>
                            </w:rPr>
                            <w:fldChar w:fldCharType="separate"/>
                          </w:r>
                          <w:r>
                            <w:rPr>
                              <w:rStyle w:val="34"/>
                              <w:rFonts w:ascii="Times New Roman" w:hAnsi="Times New Roman"/>
                              <w:sz w:val="21"/>
                              <w:szCs w:val="21"/>
                            </w:rPr>
                            <w:t>31</w:t>
                          </w:r>
                          <w:r>
                            <w:rPr>
                              <w:rFonts w:ascii="Times New Roman" w:hAnsi="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0DA75DC">
                    <w:pPr>
                      <w:pStyle w:val="18"/>
                      <w:rPr>
                        <w:rStyle w:val="34"/>
                        <w:rFonts w:ascii="Times New Roman" w:hAnsi="Times New Roman"/>
                        <w:sz w:val="21"/>
                        <w:szCs w:val="21"/>
                      </w:rPr>
                    </w:pPr>
                    <w:r>
                      <w:rPr>
                        <w:rFonts w:ascii="Times New Roman" w:hAnsi="Times New Roman"/>
                        <w:sz w:val="21"/>
                        <w:szCs w:val="21"/>
                      </w:rPr>
                      <w:fldChar w:fldCharType="begin"/>
                    </w:r>
                    <w:r>
                      <w:rPr>
                        <w:rStyle w:val="34"/>
                        <w:rFonts w:ascii="Times New Roman" w:hAnsi="Times New Roman"/>
                        <w:sz w:val="21"/>
                        <w:szCs w:val="21"/>
                      </w:rPr>
                      <w:instrText xml:space="preserve">PAGE  </w:instrText>
                    </w:r>
                    <w:r>
                      <w:rPr>
                        <w:rFonts w:ascii="Times New Roman" w:hAnsi="Times New Roman"/>
                        <w:sz w:val="21"/>
                        <w:szCs w:val="21"/>
                      </w:rPr>
                      <w:fldChar w:fldCharType="separate"/>
                    </w:r>
                    <w:r>
                      <w:rPr>
                        <w:rStyle w:val="34"/>
                        <w:rFonts w:ascii="Times New Roman" w:hAnsi="Times New Roman"/>
                        <w:sz w:val="21"/>
                        <w:szCs w:val="21"/>
                      </w:rPr>
                      <w:t>31</w:t>
                    </w:r>
                    <w:r>
                      <w:rPr>
                        <w:rFonts w:ascii="Times New Roman" w:hAnsi="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46C38">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0BA49">
    <w:pPr>
      <w:pStyle w:val="18"/>
      <w:ind w:firstLine="360"/>
      <w:jc w:val="center"/>
    </w:pPr>
  </w:p>
  <w:p w14:paraId="0B14360B">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20E1C">
    <w:pPr>
      <w:pStyle w:val="1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B4DF5A">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SYQiskBAACZ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JhCKyQEAAJkDAAAOAAAAAAAAAAEAIAAAAB4BAABkcnMvZTJvRG9j&#10;LnhtbFBLBQYAAAAABgAGAFkBAABZBQAAAAA=&#10;">
              <v:fill on="f" focussize="0,0"/>
              <v:stroke on="f"/>
              <v:imagedata o:title=""/>
              <o:lock v:ext="edit" aspectratio="f"/>
              <v:textbox inset="0mm,0mm,0mm,0mm" style="mso-fit-shape-to-text:t;">
                <w:txbxContent>
                  <w:p w14:paraId="56B4DF5A">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501A7">
    <w:pPr>
      <w:pStyle w:val="18"/>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D29E6B">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ITyRccBAACa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ylx3OLAL9+/XX78uvz8SpZF&#10;nz5AjWkPARPT8MYPuDVZt+wHdGbag4o2f5EQwTiqe76qK4dERH60Xq3XFYYExuYL4rDb8xAhvZXe&#10;kmw0NOL4iqr89B7SmDqn5GrO32tjygiN+8uBmNnDbj1mKw37YWp879sz8ulx8g11uOiUmHcOhc1L&#10;MhtxNvazcQxRH7qyRbkehNfHhE2U3nKFEXYqjCMr7Kb1yjvx571k3X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zITyRccBAACaAwAADgAAAAAAAAABACAAAAAeAQAAZHJzL2Uyb0RvYy54&#10;bWxQSwUGAAAAAAYABgBZAQAAVwUAAAAA&#10;">
              <v:fill on="f" focussize="0,0"/>
              <v:stroke on="f"/>
              <v:imagedata o:title=""/>
              <o:lock v:ext="edit" aspectratio="f"/>
              <v:textbox inset="0mm,0mm,0mm,0mm" style="mso-fit-shape-to-text:t;">
                <w:txbxContent>
                  <w:p w14:paraId="54D29E6B">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7D982">
    <w:pPr>
      <w:pStyle w:val="18"/>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33CE61">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or8EMk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5&#10;zP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ivwQyQEAAJoDAAAOAAAAAAAAAAEAIAAAAB4BAABkcnMvZTJvRG9j&#10;LnhtbFBLBQYAAAAABgAGAFkBAABZBQAAAAA=&#10;">
              <v:fill on="f" focussize="0,0"/>
              <v:stroke on="f"/>
              <v:imagedata o:title=""/>
              <o:lock v:ext="edit" aspectratio="f"/>
              <v:textbox inset="0mm,0mm,0mm,0mm" style="mso-fit-shape-to-text:t;">
                <w:txbxContent>
                  <w:p w14:paraId="1433CE61">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44774">
    <w:pPr>
      <w:pStyle w:val="18"/>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EFBCB1">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5hXSMkBAACb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kRJHLc48cv3b5cfvy4/v5Ll&#10;qyxQH6DGvLuAmWl46wdcm9kP6My8BxVt/iIjgnHEOl/llUMiIj9ar9brCkMCY/MF8dnD8xAhvZPe&#10;kmw0NOL8iqz89AHSmDqn5GrO32pjygyN+8uBmNnDcu9jj9lKw36YCO19e0Y+PY6+oQ43nRLz3qGy&#10;2F+ajTgb+9k4hqgPXVmjXA/Cm2PCJkpvucIIOxXGmRV2037lpfjzXrIe/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7mFdIyQEAAJsDAAAOAAAAAAAAAAEAIAAAAB4BAABkcnMvZTJvRG9j&#10;LnhtbFBLBQYAAAAABgAGAFkBAABZBQAAAAA=&#10;">
              <v:fill on="f" focussize="0,0"/>
              <v:stroke on="f"/>
              <v:imagedata o:title=""/>
              <o:lock v:ext="edit" aspectratio="f"/>
              <v:textbox inset="0mm,0mm,0mm,0mm" style="mso-fit-shape-to-text:t;">
                <w:txbxContent>
                  <w:p w14:paraId="25EFBCB1">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E9087">
    <w:pPr>
      <w:pStyle w:val="18"/>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9E7A3E">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IZCMoBAACb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3O3XGLE7/8+H75+fvy6xtZ&#10;3mSB+gA15t0HzEzDWz/g2sx+QGfmPaho8xcZEYyjvOervHJIRORH69V6XWFIYGy+ID57eB4ipHfS&#10;W5KNhkacX5GVnz5AGlPnlFzN+TttTJmhcX85EDN7WO597DFbadgPE6G9b8/Ip8fRN9ThplNi3jtU&#10;Nm/JbMTZ2M/GMUR96Moa5XoQ3hwTNlF6yxVG2Kkwzqywm/YrL8Xje8l6+Ke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IIZCMoBAACbAwAADgAAAAAAAAABACAAAAAeAQAAZHJzL2Uyb0Rv&#10;Yy54bWxQSwUGAAAAAAYABgBZAQAAWgUAAAAA&#10;">
              <v:fill on="f" focussize="0,0"/>
              <v:stroke on="f"/>
              <v:imagedata o:title=""/>
              <o:lock v:ext="edit" aspectratio="f"/>
              <v:textbox inset="0mm,0mm,0mm,0mm" style="mso-fit-shape-to-text:t;">
                <w:txbxContent>
                  <w:p w14:paraId="089E7A3E">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C339C">
    <w:pPr>
      <w:pStyle w:val="18"/>
      <w:ind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E594C7">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DRntMoBAACb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lxS4rjFiV++f7v8+HX5+ZUs&#10;X2eB+gA15t0FzEzDWz/g2sx+QGfmPaho8xcZEYyjvOervHJIRORH69V6XWFIYGy+ID57eB4ipHfS&#10;W5KNhkacX5GVnz5AGlPnlFzN+VttTJmhcX85EDN7WO597DFbadgPE6G9b8/Ip8fRN9ThplNi3jtU&#10;Nm/JbMTZ2M/GMUR96Moa5XoQ3hwTNlF6yxVG2Kkwzqywm/YrL8Wf95L18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DRntMoBAACbAwAADgAAAAAAAAABACAAAAAeAQAAZHJzL2Uyb0Rv&#10;Yy54bWxQSwUGAAAAAAYABgBZAQAAWgUAAAAA&#10;">
              <v:fill on="f" focussize="0,0"/>
              <v:stroke on="f"/>
              <v:imagedata o:title=""/>
              <o:lock v:ext="edit" aspectratio="f"/>
              <v:textbox inset="0mm,0mm,0mm,0mm" style="mso-fit-shape-to-text:t;">
                <w:txbxContent>
                  <w:p w14:paraId="79E594C7">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591F">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F4658">
    <w:pPr>
      <w:pStyle w:val="19"/>
      <w:pBdr>
        <w:bottom w:val="none" w:color="auto" w:sz="0" w:space="0"/>
      </w:pBdr>
      <w:ind w:left="0" w:leftChars="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8B5469"/>
    <w:multiLevelType w:val="singleLevel"/>
    <w:tmpl w:val="CE8B5469"/>
    <w:lvl w:ilvl="0" w:tentative="0">
      <w:start w:val="1"/>
      <w:numFmt w:val="decimal"/>
      <w:suff w:val="space"/>
      <w:lvlText w:val="3.0.%1"/>
      <w:lvlJc w:val="left"/>
      <w:pPr>
        <w:tabs>
          <w:tab w:val="left" w:pos="420"/>
        </w:tabs>
        <w:ind w:left="0" w:leftChars="0" w:firstLine="0" w:firstLineChars="0"/>
      </w:pPr>
      <w:rPr>
        <w:rFonts w:hint="default"/>
        <w:b/>
        <w:bCs/>
        <w:sz w:val="24"/>
      </w:rPr>
    </w:lvl>
  </w:abstractNum>
  <w:abstractNum w:abstractNumId="1">
    <w:nsid w:val="0A0F1D7D"/>
    <w:multiLevelType w:val="multilevel"/>
    <w:tmpl w:val="0A0F1D7D"/>
    <w:lvl w:ilvl="0" w:tentative="0">
      <w:start w:val="1"/>
      <w:numFmt w:val="decimal"/>
      <w:pStyle w:val="39"/>
      <w:suff w:val="space"/>
      <w:lvlText w:val="%1"/>
      <w:lvlJc w:val="left"/>
      <w:pPr>
        <w:ind w:left="0" w:firstLine="0"/>
      </w:pPr>
    </w:lvl>
    <w:lvl w:ilvl="1" w:tentative="0">
      <w:start w:val="1"/>
      <w:numFmt w:val="decimal"/>
      <w:pStyle w:val="41"/>
      <w:suff w:val="space"/>
      <w:lvlText w:val="%1.%2"/>
      <w:lvlJc w:val="left"/>
      <w:pPr>
        <w:ind w:left="0" w:firstLine="0"/>
      </w:pPr>
      <w:rPr>
        <w:rFonts w:hint="default"/>
        <w:sz w:val="24"/>
        <w:szCs w:val="24"/>
      </w:rPr>
    </w:lvl>
    <w:lvl w:ilvl="2" w:tentative="0">
      <w:start w:val="1"/>
      <w:numFmt w:val="decimal"/>
      <w:pStyle w:val="42"/>
      <w:suff w:val="space"/>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color w:val="auto"/>
        <w:spacing w:val="0"/>
        <w:position w:val="0"/>
        <w:sz w:val="24"/>
        <w:szCs w:val="24"/>
        <w:u w:val="none"/>
        <w:vertAlign w:val="baseline"/>
        <w14:ligatures w14:val="none"/>
        <w14:numForm w14:val="default"/>
        <w14:numSpacing w14:val="default"/>
        <w14:cntxtalts w14:val="0"/>
      </w:rPr>
    </w:lvl>
    <w:lvl w:ilvl="3" w:tentative="0">
      <w:start w:val="1"/>
      <w:numFmt w:val="decimal"/>
      <w:pStyle w:val="43"/>
      <w:suff w:val="space"/>
      <w:lvlText w:val="%4"/>
      <w:lvlJc w:val="left"/>
      <w:pPr>
        <w:ind w:left="0" w:firstLine="482"/>
      </w:pPr>
      <w:rPr>
        <w:b/>
        <w:sz w:val="24"/>
        <w:szCs w:val="24"/>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AF44ED"/>
    <w:multiLevelType w:val="multilevel"/>
    <w:tmpl w:val="10AF44ED"/>
    <w:lvl w:ilvl="0" w:tentative="0">
      <w:start w:val="1"/>
      <w:numFmt w:val="decimal"/>
      <w:suff w:val="space"/>
      <w:lvlText w:val="1.0.%1"/>
      <w:lvlJc w:val="left"/>
      <w:pPr>
        <w:ind w:left="0" w:firstLine="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2A370F0"/>
    <w:multiLevelType w:val="multilevel"/>
    <w:tmpl w:val="12A370F0"/>
    <w:lvl w:ilvl="0" w:tentative="0">
      <w:start w:val="1"/>
      <w:numFmt w:val="decimal"/>
      <w:suff w:val="space"/>
      <w:lvlText w:val="%1"/>
      <w:lvlJc w:val="left"/>
      <w:pPr>
        <w:tabs>
          <w:tab w:val="left" w:pos="0"/>
        </w:tabs>
        <w:ind w:left="0" w:firstLine="0"/>
      </w:pPr>
      <w:rPr>
        <w:rFonts w:hint="default" w:ascii="Times New Roman" w:hAnsi="Times New Roman" w:eastAsia="宋体" w:cs="宋体"/>
        <w:b/>
        <w:sz w:val="28"/>
        <w:lang w:eastAsia="zh-CN"/>
      </w:rPr>
    </w:lvl>
    <w:lvl w:ilvl="1" w:tentative="0">
      <w:start w:val="1"/>
      <w:numFmt w:val="decimal"/>
      <w:suff w:val="space"/>
      <w:lvlText w:val="%1.%2"/>
      <w:lvlJc w:val="left"/>
      <w:pPr>
        <w:tabs>
          <w:tab w:val="left" w:pos="0"/>
        </w:tabs>
        <w:ind w:left="0" w:firstLine="0"/>
      </w:pPr>
      <w:rPr>
        <w:rFonts w:hint="default" w:ascii="Times New Roman" w:hAnsi="Times New Roman" w:eastAsia="宋体" w:cs="宋体"/>
        <w:b/>
        <w:sz w:val="24"/>
      </w:rPr>
    </w:lvl>
    <w:lvl w:ilvl="2" w:tentative="0">
      <w:start w:val="1"/>
      <w:numFmt w:val="decimal"/>
      <w:suff w:val="space"/>
      <w:lvlText w:val="%1.%2.%3"/>
      <w:lvlJc w:val="left"/>
      <w:pPr>
        <w:tabs>
          <w:tab w:val="left" w:pos="0"/>
        </w:tabs>
        <w:ind w:left="0" w:firstLine="0"/>
      </w:pPr>
      <w:rPr>
        <w:rFonts w:hint="default" w:ascii="Times New Roman" w:hAnsi="Times New Roman" w:eastAsia="宋体" w:cs="宋体"/>
        <w:b/>
        <w:color w:val="000000"/>
        <w:sz w:val="24"/>
        <w:shd w:val="clear" w:color="auto" w:fill="auto"/>
      </w:rPr>
    </w:lvl>
    <w:lvl w:ilvl="3" w:tentative="0">
      <w:start w:val="1"/>
      <w:numFmt w:val="decimal"/>
      <w:suff w:val="space"/>
      <w:lvlText w:val="%4"/>
      <w:lvlJc w:val="left"/>
      <w:pPr>
        <w:tabs>
          <w:tab w:val="left" w:pos="0"/>
        </w:tabs>
        <w:ind w:left="0" w:firstLine="482"/>
      </w:pPr>
      <w:rPr>
        <w:rFonts w:hint="default" w:ascii="Times New Roman" w:hAnsi="Times New Roman" w:eastAsia="宋体" w:cs="宋体"/>
        <w:b/>
        <w:sz w:val="24"/>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34C8B15B"/>
    <w:multiLevelType w:val="singleLevel"/>
    <w:tmpl w:val="34C8B15B"/>
    <w:lvl w:ilvl="0" w:tentative="0">
      <w:start w:val="1"/>
      <w:numFmt w:val="decimal"/>
      <w:suff w:val="space"/>
      <w:lvlText w:val="4.0.%1"/>
      <w:lvlJc w:val="left"/>
      <w:pPr>
        <w:tabs>
          <w:tab w:val="left" w:pos="0"/>
        </w:tabs>
        <w:ind w:left="0" w:leftChars="0" w:firstLine="0" w:firstLineChars="0"/>
      </w:pPr>
      <w:rPr>
        <w:rFonts w:hint="default" w:ascii="Times New Roman" w:hAnsi="Times New Roman" w:eastAsia="宋体" w:cs="宋体"/>
        <w:b/>
        <w:sz w:val="24"/>
      </w:rPr>
    </w:lvl>
  </w:abstractNum>
  <w:abstractNum w:abstractNumId="5">
    <w:nsid w:val="3D2D207C"/>
    <w:multiLevelType w:val="multilevel"/>
    <w:tmpl w:val="3D2D207C"/>
    <w:lvl w:ilvl="0" w:tentative="0">
      <w:start w:val="5"/>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pStyle w:val="5"/>
      <w:suff w:val="space"/>
      <w:lvlText w:val="5.2.%3"/>
      <w:lvlJc w:val="left"/>
      <w:pPr>
        <w:ind w:left="142" w:hanging="142"/>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
    <w:nsid w:val="49895064"/>
    <w:multiLevelType w:val="multilevel"/>
    <w:tmpl w:val="49895064"/>
    <w:lvl w:ilvl="0" w:tentative="0">
      <w:start w:val="1"/>
      <w:numFmt w:val="decimal"/>
      <w:pStyle w:val="58"/>
      <w:suff w:val="nothing"/>
      <w:lvlText w:val="%1）"/>
      <w:lvlJc w:val="left"/>
      <w:pPr>
        <w:ind w:left="1339" w:hanging="375"/>
      </w:pPr>
      <w:rPr>
        <w:b/>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num w:numId="1">
    <w:abstractNumId w:val="5"/>
  </w:num>
  <w:num w:numId="2">
    <w:abstractNumId w:val="1"/>
  </w:num>
  <w:num w:numId="3">
    <w:abstractNumId w:val="6"/>
  </w:num>
  <w:num w:numId="4">
    <w:abstractNumId w:val="2"/>
  </w:num>
  <w:num w:numId="5">
    <w:abstractNumId w:val="0"/>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hNmEyNTdiOWMxN2Q5NWU0M2FmMWRlNGMwNTMwMGQifQ=="/>
  </w:docVars>
  <w:rsids>
    <w:rsidRoot w:val="0003583E"/>
    <w:rsid w:val="000006C2"/>
    <w:rsid w:val="00000CF1"/>
    <w:rsid w:val="00001DEE"/>
    <w:rsid w:val="00001F18"/>
    <w:rsid w:val="00003AB6"/>
    <w:rsid w:val="00003D1C"/>
    <w:rsid w:val="0000407B"/>
    <w:rsid w:val="000041E2"/>
    <w:rsid w:val="000049C4"/>
    <w:rsid w:val="000049FF"/>
    <w:rsid w:val="00005172"/>
    <w:rsid w:val="000053D7"/>
    <w:rsid w:val="0000541F"/>
    <w:rsid w:val="000054BD"/>
    <w:rsid w:val="000056C4"/>
    <w:rsid w:val="000077BA"/>
    <w:rsid w:val="00007DF9"/>
    <w:rsid w:val="00010808"/>
    <w:rsid w:val="00012196"/>
    <w:rsid w:val="0001225C"/>
    <w:rsid w:val="000128FA"/>
    <w:rsid w:val="00012AFA"/>
    <w:rsid w:val="00012B64"/>
    <w:rsid w:val="00012D66"/>
    <w:rsid w:val="000134F4"/>
    <w:rsid w:val="00013A90"/>
    <w:rsid w:val="00014161"/>
    <w:rsid w:val="00014399"/>
    <w:rsid w:val="00014814"/>
    <w:rsid w:val="00014834"/>
    <w:rsid w:val="00015032"/>
    <w:rsid w:val="000153E3"/>
    <w:rsid w:val="000154AB"/>
    <w:rsid w:val="0001589D"/>
    <w:rsid w:val="00015CF6"/>
    <w:rsid w:val="000164B6"/>
    <w:rsid w:val="00016966"/>
    <w:rsid w:val="0001696B"/>
    <w:rsid w:val="00016BFE"/>
    <w:rsid w:val="00016C7E"/>
    <w:rsid w:val="00016DDB"/>
    <w:rsid w:val="00017246"/>
    <w:rsid w:val="00017574"/>
    <w:rsid w:val="00017A52"/>
    <w:rsid w:val="0002019D"/>
    <w:rsid w:val="00021058"/>
    <w:rsid w:val="00021809"/>
    <w:rsid w:val="00021D8A"/>
    <w:rsid w:val="000221CF"/>
    <w:rsid w:val="00022339"/>
    <w:rsid w:val="00022E5D"/>
    <w:rsid w:val="0002446E"/>
    <w:rsid w:val="000246BF"/>
    <w:rsid w:val="000248B7"/>
    <w:rsid w:val="00024DF1"/>
    <w:rsid w:val="00025197"/>
    <w:rsid w:val="00025281"/>
    <w:rsid w:val="00025A8D"/>
    <w:rsid w:val="0002699B"/>
    <w:rsid w:val="00027121"/>
    <w:rsid w:val="000276E7"/>
    <w:rsid w:val="00030898"/>
    <w:rsid w:val="00032291"/>
    <w:rsid w:val="0003300F"/>
    <w:rsid w:val="000343AC"/>
    <w:rsid w:val="00035124"/>
    <w:rsid w:val="000352EA"/>
    <w:rsid w:val="0003583E"/>
    <w:rsid w:val="00035E93"/>
    <w:rsid w:val="00036382"/>
    <w:rsid w:val="00036C4D"/>
    <w:rsid w:val="0003743A"/>
    <w:rsid w:val="000377D5"/>
    <w:rsid w:val="00037991"/>
    <w:rsid w:val="00041567"/>
    <w:rsid w:val="00041776"/>
    <w:rsid w:val="00042023"/>
    <w:rsid w:val="0004226C"/>
    <w:rsid w:val="00043045"/>
    <w:rsid w:val="00044122"/>
    <w:rsid w:val="000449C2"/>
    <w:rsid w:val="00044A25"/>
    <w:rsid w:val="00045D3F"/>
    <w:rsid w:val="000462A9"/>
    <w:rsid w:val="00046333"/>
    <w:rsid w:val="000465B0"/>
    <w:rsid w:val="00046734"/>
    <w:rsid w:val="00047CE8"/>
    <w:rsid w:val="000512C9"/>
    <w:rsid w:val="00051A50"/>
    <w:rsid w:val="0005225E"/>
    <w:rsid w:val="0005270C"/>
    <w:rsid w:val="00052BD3"/>
    <w:rsid w:val="00052F27"/>
    <w:rsid w:val="00053DA1"/>
    <w:rsid w:val="00053DDD"/>
    <w:rsid w:val="00053FF9"/>
    <w:rsid w:val="000571E6"/>
    <w:rsid w:val="00057C0D"/>
    <w:rsid w:val="0006039D"/>
    <w:rsid w:val="00060419"/>
    <w:rsid w:val="000608FE"/>
    <w:rsid w:val="00060BC4"/>
    <w:rsid w:val="0006108D"/>
    <w:rsid w:val="000621B6"/>
    <w:rsid w:val="00062BBC"/>
    <w:rsid w:val="000635A9"/>
    <w:rsid w:val="000638CC"/>
    <w:rsid w:val="0006454D"/>
    <w:rsid w:val="00064DAE"/>
    <w:rsid w:val="00070EED"/>
    <w:rsid w:val="0007299A"/>
    <w:rsid w:val="00072C0A"/>
    <w:rsid w:val="000730CD"/>
    <w:rsid w:val="00075418"/>
    <w:rsid w:val="0007543C"/>
    <w:rsid w:val="0007649D"/>
    <w:rsid w:val="00076D9D"/>
    <w:rsid w:val="00077172"/>
    <w:rsid w:val="0007739B"/>
    <w:rsid w:val="00077501"/>
    <w:rsid w:val="000776DE"/>
    <w:rsid w:val="00080A27"/>
    <w:rsid w:val="00080F32"/>
    <w:rsid w:val="0008115B"/>
    <w:rsid w:val="000816F2"/>
    <w:rsid w:val="00081BB5"/>
    <w:rsid w:val="0008246C"/>
    <w:rsid w:val="00082696"/>
    <w:rsid w:val="000836BF"/>
    <w:rsid w:val="00083720"/>
    <w:rsid w:val="0008482E"/>
    <w:rsid w:val="00084E07"/>
    <w:rsid w:val="00084F34"/>
    <w:rsid w:val="000850B9"/>
    <w:rsid w:val="00085248"/>
    <w:rsid w:val="00087037"/>
    <w:rsid w:val="00087C83"/>
    <w:rsid w:val="00091DFF"/>
    <w:rsid w:val="000930EC"/>
    <w:rsid w:val="00094030"/>
    <w:rsid w:val="00094DCF"/>
    <w:rsid w:val="0009513D"/>
    <w:rsid w:val="0009524E"/>
    <w:rsid w:val="0009533E"/>
    <w:rsid w:val="00095B0E"/>
    <w:rsid w:val="0009763F"/>
    <w:rsid w:val="00097EA6"/>
    <w:rsid w:val="000A089B"/>
    <w:rsid w:val="000A1414"/>
    <w:rsid w:val="000A1895"/>
    <w:rsid w:val="000A1E32"/>
    <w:rsid w:val="000A27FB"/>
    <w:rsid w:val="000A2853"/>
    <w:rsid w:val="000A2EAD"/>
    <w:rsid w:val="000A328B"/>
    <w:rsid w:val="000A3AB9"/>
    <w:rsid w:val="000A41C9"/>
    <w:rsid w:val="000A43B5"/>
    <w:rsid w:val="000A501D"/>
    <w:rsid w:val="000A68FA"/>
    <w:rsid w:val="000A6C82"/>
    <w:rsid w:val="000A7776"/>
    <w:rsid w:val="000B050F"/>
    <w:rsid w:val="000B062D"/>
    <w:rsid w:val="000B076E"/>
    <w:rsid w:val="000B1491"/>
    <w:rsid w:val="000B16F7"/>
    <w:rsid w:val="000B1AFD"/>
    <w:rsid w:val="000B2015"/>
    <w:rsid w:val="000B2018"/>
    <w:rsid w:val="000B2541"/>
    <w:rsid w:val="000B264D"/>
    <w:rsid w:val="000B3367"/>
    <w:rsid w:val="000B3611"/>
    <w:rsid w:val="000B4FD6"/>
    <w:rsid w:val="000B5671"/>
    <w:rsid w:val="000B581B"/>
    <w:rsid w:val="000B69B1"/>
    <w:rsid w:val="000B7721"/>
    <w:rsid w:val="000B7A96"/>
    <w:rsid w:val="000B7C7A"/>
    <w:rsid w:val="000B7D67"/>
    <w:rsid w:val="000C00F7"/>
    <w:rsid w:val="000C0C6C"/>
    <w:rsid w:val="000C3071"/>
    <w:rsid w:val="000C4815"/>
    <w:rsid w:val="000C4BF9"/>
    <w:rsid w:val="000C6288"/>
    <w:rsid w:val="000C6373"/>
    <w:rsid w:val="000C6667"/>
    <w:rsid w:val="000C6726"/>
    <w:rsid w:val="000C6826"/>
    <w:rsid w:val="000C6E17"/>
    <w:rsid w:val="000C70DA"/>
    <w:rsid w:val="000C7103"/>
    <w:rsid w:val="000D046D"/>
    <w:rsid w:val="000D1375"/>
    <w:rsid w:val="000D154D"/>
    <w:rsid w:val="000D3493"/>
    <w:rsid w:val="000D35AE"/>
    <w:rsid w:val="000D7668"/>
    <w:rsid w:val="000D7EB8"/>
    <w:rsid w:val="000D7FD8"/>
    <w:rsid w:val="000E088F"/>
    <w:rsid w:val="000E0FED"/>
    <w:rsid w:val="000E14A9"/>
    <w:rsid w:val="000E222F"/>
    <w:rsid w:val="000E2726"/>
    <w:rsid w:val="000E3F45"/>
    <w:rsid w:val="000E406F"/>
    <w:rsid w:val="000E45DC"/>
    <w:rsid w:val="000E4CB1"/>
    <w:rsid w:val="000E58C4"/>
    <w:rsid w:val="000E60F2"/>
    <w:rsid w:val="000E697F"/>
    <w:rsid w:val="000E7932"/>
    <w:rsid w:val="000E7971"/>
    <w:rsid w:val="000E7B82"/>
    <w:rsid w:val="000E7D40"/>
    <w:rsid w:val="000F0536"/>
    <w:rsid w:val="000F0E29"/>
    <w:rsid w:val="000F0E3C"/>
    <w:rsid w:val="000F5830"/>
    <w:rsid w:val="000F747E"/>
    <w:rsid w:val="000F7823"/>
    <w:rsid w:val="000F78C5"/>
    <w:rsid w:val="000F7B6A"/>
    <w:rsid w:val="0010182A"/>
    <w:rsid w:val="00101941"/>
    <w:rsid w:val="00101A3D"/>
    <w:rsid w:val="00101ABB"/>
    <w:rsid w:val="0010246F"/>
    <w:rsid w:val="00102760"/>
    <w:rsid w:val="00102A29"/>
    <w:rsid w:val="00102BFD"/>
    <w:rsid w:val="001030D8"/>
    <w:rsid w:val="001031CB"/>
    <w:rsid w:val="00103487"/>
    <w:rsid w:val="0010382A"/>
    <w:rsid w:val="00104815"/>
    <w:rsid w:val="00104F29"/>
    <w:rsid w:val="00105350"/>
    <w:rsid w:val="0010562A"/>
    <w:rsid w:val="001064D7"/>
    <w:rsid w:val="00106631"/>
    <w:rsid w:val="00106EEC"/>
    <w:rsid w:val="001072C9"/>
    <w:rsid w:val="0011030D"/>
    <w:rsid w:val="00110D50"/>
    <w:rsid w:val="00110ED9"/>
    <w:rsid w:val="001110F9"/>
    <w:rsid w:val="001113F7"/>
    <w:rsid w:val="00111496"/>
    <w:rsid w:val="00111DB4"/>
    <w:rsid w:val="00111F56"/>
    <w:rsid w:val="00112336"/>
    <w:rsid w:val="001125F7"/>
    <w:rsid w:val="00114507"/>
    <w:rsid w:val="00114C73"/>
    <w:rsid w:val="00114F48"/>
    <w:rsid w:val="001163D9"/>
    <w:rsid w:val="001202A0"/>
    <w:rsid w:val="00120FB4"/>
    <w:rsid w:val="00121337"/>
    <w:rsid w:val="001219C2"/>
    <w:rsid w:val="00121A55"/>
    <w:rsid w:val="00121A5E"/>
    <w:rsid w:val="00121D29"/>
    <w:rsid w:val="001228AA"/>
    <w:rsid w:val="00122D7D"/>
    <w:rsid w:val="001231EB"/>
    <w:rsid w:val="00123B28"/>
    <w:rsid w:val="00125066"/>
    <w:rsid w:val="00125547"/>
    <w:rsid w:val="00125ADF"/>
    <w:rsid w:val="001266D5"/>
    <w:rsid w:val="00127F86"/>
    <w:rsid w:val="001302FA"/>
    <w:rsid w:val="00130655"/>
    <w:rsid w:val="00130C7B"/>
    <w:rsid w:val="00130F77"/>
    <w:rsid w:val="001310AF"/>
    <w:rsid w:val="00131DA4"/>
    <w:rsid w:val="0013254C"/>
    <w:rsid w:val="001326FB"/>
    <w:rsid w:val="0013300A"/>
    <w:rsid w:val="001338DD"/>
    <w:rsid w:val="00133DA1"/>
    <w:rsid w:val="00133F4D"/>
    <w:rsid w:val="001346AD"/>
    <w:rsid w:val="00134A95"/>
    <w:rsid w:val="0013592E"/>
    <w:rsid w:val="001360F6"/>
    <w:rsid w:val="001364AC"/>
    <w:rsid w:val="001365BD"/>
    <w:rsid w:val="0013678A"/>
    <w:rsid w:val="0013686F"/>
    <w:rsid w:val="00137957"/>
    <w:rsid w:val="00137E9F"/>
    <w:rsid w:val="00140D12"/>
    <w:rsid w:val="00140D51"/>
    <w:rsid w:val="00141E69"/>
    <w:rsid w:val="00142504"/>
    <w:rsid w:val="00142CD1"/>
    <w:rsid w:val="001431A5"/>
    <w:rsid w:val="00143374"/>
    <w:rsid w:val="001436D5"/>
    <w:rsid w:val="00144C89"/>
    <w:rsid w:val="001452B4"/>
    <w:rsid w:val="001456D1"/>
    <w:rsid w:val="001456EE"/>
    <w:rsid w:val="00145CB3"/>
    <w:rsid w:val="00146E79"/>
    <w:rsid w:val="0014712B"/>
    <w:rsid w:val="00147285"/>
    <w:rsid w:val="00147D53"/>
    <w:rsid w:val="00150CE6"/>
    <w:rsid w:val="00150F23"/>
    <w:rsid w:val="0015168D"/>
    <w:rsid w:val="00151A0B"/>
    <w:rsid w:val="00154EC8"/>
    <w:rsid w:val="001557B0"/>
    <w:rsid w:val="00157103"/>
    <w:rsid w:val="0016128A"/>
    <w:rsid w:val="00161801"/>
    <w:rsid w:val="00161D30"/>
    <w:rsid w:val="00162ACC"/>
    <w:rsid w:val="00162E10"/>
    <w:rsid w:val="0016442F"/>
    <w:rsid w:val="001648A7"/>
    <w:rsid w:val="00165835"/>
    <w:rsid w:val="0016758F"/>
    <w:rsid w:val="00170548"/>
    <w:rsid w:val="00170C64"/>
    <w:rsid w:val="00171BF3"/>
    <w:rsid w:val="00171E07"/>
    <w:rsid w:val="001720BA"/>
    <w:rsid w:val="001723CA"/>
    <w:rsid w:val="00173AE8"/>
    <w:rsid w:val="00173F0A"/>
    <w:rsid w:val="001749D9"/>
    <w:rsid w:val="001749F3"/>
    <w:rsid w:val="00174B83"/>
    <w:rsid w:val="00175251"/>
    <w:rsid w:val="00175950"/>
    <w:rsid w:val="00175C83"/>
    <w:rsid w:val="00175CCA"/>
    <w:rsid w:val="00175F32"/>
    <w:rsid w:val="00176352"/>
    <w:rsid w:val="0017648A"/>
    <w:rsid w:val="00176BDF"/>
    <w:rsid w:val="00177DC6"/>
    <w:rsid w:val="00181BB2"/>
    <w:rsid w:val="00181C4D"/>
    <w:rsid w:val="001823CF"/>
    <w:rsid w:val="00182F65"/>
    <w:rsid w:val="001840AA"/>
    <w:rsid w:val="0018470A"/>
    <w:rsid w:val="0018496F"/>
    <w:rsid w:val="00184D15"/>
    <w:rsid w:val="00185403"/>
    <w:rsid w:val="0018577E"/>
    <w:rsid w:val="00191135"/>
    <w:rsid w:val="00192D73"/>
    <w:rsid w:val="00193007"/>
    <w:rsid w:val="001942D2"/>
    <w:rsid w:val="0019473B"/>
    <w:rsid w:val="00194E36"/>
    <w:rsid w:val="001954A2"/>
    <w:rsid w:val="00196003"/>
    <w:rsid w:val="0019633B"/>
    <w:rsid w:val="00197DD9"/>
    <w:rsid w:val="001A0AE1"/>
    <w:rsid w:val="001A209D"/>
    <w:rsid w:val="001A3224"/>
    <w:rsid w:val="001A3CCE"/>
    <w:rsid w:val="001A3F2A"/>
    <w:rsid w:val="001A440F"/>
    <w:rsid w:val="001A4971"/>
    <w:rsid w:val="001A4D6B"/>
    <w:rsid w:val="001A51C2"/>
    <w:rsid w:val="001A65B4"/>
    <w:rsid w:val="001A71E9"/>
    <w:rsid w:val="001A723C"/>
    <w:rsid w:val="001A7252"/>
    <w:rsid w:val="001A73CA"/>
    <w:rsid w:val="001A7771"/>
    <w:rsid w:val="001A78C4"/>
    <w:rsid w:val="001B050F"/>
    <w:rsid w:val="001B1516"/>
    <w:rsid w:val="001B16F9"/>
    <w:rsid w:val="001B215F"/>
    <w:rsid w:val="001B2C32"/>
    <w:rsid w:val="001B2C37"/>
    <w:rsid w:val="001B30BA"/>
    <w:rsid w:val="001B30E8"/>
    <w:rsid w:val="001B3678"/>
    <w:rsid w:val="001B3921"/>
    <w:rsid w:val="001B3B3E"/>
    <w:rsid w:val="001B3C49"/>
    <w:rsid w:val="001B3E54"/>
    <w:rsid w:val="001B3F50"/>
    <w:rsid w:val="001B4152"/>
    <w:rsid w:val="001B44C3"/>
    <w:rsid w:val="001B55DB"/>
    <w:rsid w:val="001B5B28"/>
    <w:rsid w:val="001B5F41"/>
    <w:rsid w:val="001B65DE"/>
    <w:rsid w:val="001B67C2"/>
    <w:rsid w:val="001B6BC5"/>
    <w:rsid w:val="001B7764"/>
    <w:rsid w:val="001B7893"/>
    <w:rsid w:val="001B7CBA"/>
    <w:rsid w:val="001C1526"/>
    <w:rsid w:val="001C22F0"/>
    <w:rsid w:val="001C29C6"/>
    <w:rsid w:val="001C2C05"/>
    <w:rsid w:val="001C2CCD"/>
    <w:rsid w:val="001C35DE"/>
    <w:rsid w:val="001C3E64"/>
    <w:rsid w:val="001C405F"/>
    <w:rsid w:val="001C41C1"/>
    <w:rsid w:val="001C44D5"/>
    <w:rsid w:val="001C5E80"/>
    <w:rsid w:val="001C6559"/>
    <w:rsid w:val="001C6FD4"/>
    <w:rsid w:val="001C711A"/>
    <w:rsid w:val="001C7B3C"/>
    <w:rsid w:val="001D1AB8"/>
    <w:rsid w:val="001D1F7D"/>
    <w:rsid w:val="001D2065"/>
    <w:rsid w:val="001D4C6E"/>
    <w:rsid w:val="001D4FE7"/>
    <w:rsid w:val="001D53C4"/>
    <w:rsid w:val="001D5416"/>
    <w:rsid w:val="001D72CB"/>
    <w:rsid w:val="001D776A"/>
    <w:rsid w:val="001D7A69"/>
    <w:rsid w:val="001D7E21"/>
    <w:rsid w:val="001E0F4C"/>
    <w:rsid w:val="001E0F85"/>
    <w:rsid w:val="001E0F9B"/>
    <w:rsid w:val="001E111E"/>
    <w:rsid w:val="001E1E14"/>
    <w:rsid w:val="001E26DF"/>
    <w:rsid w:val="001E35F3"/>
    <w:rsid w:val="001E37C4"/>
    <w:rsid w:val="001E3DD8"/>
    <w:rsid w:val="001E4917"/>
    <w:rsid w:val="001E60B5"/>
    <w:rsid w:val="001E7AE3"/>
    <w:rsid w:val="001E7EEF"/>
    <w:rsid w:val="001F0048"/>
    <w:rsid w:val="001F0A4C"/>
    <w:rsid w:val="001F191F"/>
    <w:rsid w:val="001F1E3F"/>
    <w:rsid w:val="001F2C3B"/>
    <w:rsid w:val="001F37F1"/>
    <w:rsid w:val="001F3DBF"/>
    <w:rsid w:val="001F4596"/>
    <w:rsid w:val="001F47FB"/>
    <w:rsid w:val="001F49AD"/>
    <w:rsid w:val="001F5203"/>
    <w:rsid w:val="001F5591"/>
    <w:rsid w:val="001F5D6C"/>
    <w:rsid w:val="001F5F88"/>
    <w:rsid w:val="00200A55"/>
    <w:rsid w:val="002013B7"/>
    <w:rsid w:val="0020156E"/>
    <w:rsid w:val="00201C05"/>
    <w:rsid w:val="0020258D"/>
    <w:rsid w:val="00202AD2"/>
    <w:rsid w:val="00202B4A"/>
    <w:rsid w:val="00203D8C"/>
    <w:rsid w:val="0020564A"/>
    <w:rsid w:val="0020616C"/>
    <w:rsid w:val="002066D9"/>
    <w:rsid w:val="00206929"/>
    <w:rsid w:val="00206C65"/>
    <w:rsid w:val="002072CF"/>
    <w:rsid w:val="00211A7A"/>
    <w:rsid w:val="00212361"/>
    <w:rsid w:val="00212374"/>
    <w:rsid w:val="00212D27"/>
    <w:rsid w:val="00213576"/>
    <w:rsid w:val="0021380E"/>
    <w:rsid w:val="00214421"/>
    <w:rsid w:val="00214431"/>
    <w:rsid w:val="00214B1C"/>
    <w:rsid w:val="00214C48"/>
    <w:rsid w:val="00214D90"/>
    <w:rsid w:val="00214FEC"/>
    <w:rsid w:val="00215272"/>
    <w:rsid w:val="00215A52"/>
    <w:rsid w:val="00216193"/>
    <w:rsid w:val="0021671B"/>
    <w:rsid w:val="0021694B"/>
    <w:rsid w:val="00217228"/>
    <w:rsid w:val="0022061C"/>
    <w:rsid w:val="00220B9E"/>
    <w:rsid w:val="00221092"/>
    <w:rsid w:val="00221461"/>
    <w:rsid w:val="00222142"/>
    <w:rsid w:val="0022218F"/>
    <w:rsid w:val="002228FF"/>
    <w:rsid w:val="002229E8"/>
    <w:rsid w:val="00222EE2"/>
    <w:rsid w:val="00223D77"/>
    <w:rsid w:val="00224E9A"/>
    <w:rsid w:val="00225705"/>
    <w:rsid w:val="002267DA"/>
    <w:rsid w:val="002269BF"/>
    <w:rsid w:val="00226D0B"/>
    <w:rsid w:val="00227173"/>
    <w:rsid w:val="002279F8"/>
    <w:rsid w:val="00231100"/>
    <w:rsid w:val="00231AED"/>
    <w:rsid w:val="00231F8E"/>
    <w:rsid w:val="002333F7"/>
    <w:rsid w:val="0023436B"/>
    <w:rsid w:val="00234620"/>
    <w:rsid w:val="00235BF8"/>
    <w:rsid w:val="00235C82"/>
    <w:rsid w:val="00235E39"/>
    <w:rsid w:val="0023675E"/>
    <w:rsid w:val="00236A44"/>
    <w:rsid w:val="002372CB"/>
    <w:rsid w:val="002378B4"/>
    <w:rsid w:val="002420F8"/>
    <w:rsid w:val="00243EAE"/>
    <w:rsid w:val="00244856"/>
    <w:rsid w:val="0024569D"/>
    <w:rsid w:val="002456C5"/>
    <w:rsid w:val="002456D2"/>
    <w:rsid w:val="002462B9"/>
    <w:rsid w:val="00251BEA"/>
    <w:rsid w:val="00251E1B"/>
    <w:rsid w:val="002533E3"/>
    <w:rsid w:val="00253743"/>
    <w:rsid w:val="00253802"/>
    <w:rsid w:val="00253D07"/>
    <w:rsid w:val="00255F6B"/>
    <w:rsid w:val="00256159"/>
    <w:rsid w:val="0025671D"/>
    <w:rsid w:val="0025767A"/>
    <w:rsid w:val="0025788F"/>
    <w:rsid w:val="002579A7"/>
    <w:rsid w:val="00260DFA"/>
    <w:rsid w:val="0026123B"/>
    <w:rsid w:val="002613D7"/>
    <w:rsid w:val="0026229C"/>
    <w:rsid w:val="0026276E"/>
    <w:rsid w:val="00263A42"/>
    <w:rsid w:val="00263AAF"/>
    <w:rsid w:val="00264A5E"/>
    <w:rsid w:val="00265128"/>
    <w:rsid w:val="00265348"/>
    <w:rsid w:val="00265655"/>
    <w:rsid w:val="00265CC7"/>
    <w:rsid w:val="00266B74"/>
    <w:rsid w:val="00266F4E"/>
    <w:rsid w:val="00267070"/>
    <w:rsid w:val="0026738E"/>
    <w:rsid w:val="00267EC0"/>
    <w:rsid w:val="002702A1"/>
    <w:rsid w:val="002707BE"/>
    <w:rsid w:val="00271694"/>
    <w:rsid w:val="00271B03"/>
    <w:rsid w:val="00271C07"/>
    <w:rsid w:val="002724BD"/>
    <w:rsid w:val="00272E16"/>
    <w:rsid w:val="0027362E"/>
    <w:rsid w:val="002741D0"/>
    <w:rsid w:val="002744A3"/>
    <w:rsid w:val="00274BC3"/>
    <w:rsid w:val="00274C86"/>
    <w:rsid w:val="00274CA6"/>
    <w:rsid w:val="00274D2E"/>
    <w:rsid w:val="002754F7"/>
    <w:rsid w:val="00280EE0"/>
    <w:rsid w:val="0028250C"/>
    <w:rsid w:val="00282BF4"/>
    <w:rsid w:val="00283659"/>
    <w:rsid w:val="0028373A"/>
    <w:rsid w:val="00283D96"/>
    <w:rsid w:val="0028498A"/>
    <w:rsid w:val="002853B6"/>
    <w:rsid w:val="002855F3"/>
    <w:rsid w:val="00285EB0"/>
    <w:rsid w:val="00285FB5"/>
    <w:rsid w:val="002866AA"/>
    <w:rsid w:val="00286B33"/>
    <w:rsid w:val="00287D2D"/>
    <w:rsid w:val="00287EAF"/>
    <w:rsid w:val="00290C83"/>
    <w:rsid w:val="0029115F"/>
    <w:rsid w:val="002911EE"/>
    <w:rsid w:val="002914E7"/>
    <w:rsid w:val="002925BE"/>
    <w:rsid w:val="002938B1"/>
    <w:rsid w:val="00293D9D"/>
    <w:rsid w:val="00293DDC"/>
    <w:rsid w:val="00294061"/>
    <w:rsid w:val="0029487A"/>
    <w:rsid w:val="00294F54"/>
    <w:rsid w:val="00295033"/>
    <w:rsid w:val="00295359"/>
    <w:rsid w:val="00296707"/>
    <w:rsid w:val="00297B1B"/>
    <w:rsid w:val="002A01D8"/>
    <w:rsid w:val="002A0B5B"/>
    <w:rsid w:val="002A176E"/>
    <w:rsid w:val="002A1BFB"/>
    <w:rsid w:val="002A1F59"/>
    <w:rsid w:val="002A2F55"/>
    <w:rsid w:val="002A3AA5"/>
    <w:rsid w:val="002A4D5A"/>
    <w:rsid w:val="002A56C3"/>
    <w:rsid w:val="002A61D2"/>
    <w:rsid w:val="002A6304"/>
    <w:rsid w:val="002A6D48"/>
    <w:rsid w:val="002A6DEB"/>
    <w:rsid w:val="002A6F89"/>
    <w:rsid w:val="002A7A25"/>
    <w:rsid w:val="002B0B11"/>
    <w:rsid w:val="002B0ECA"/>
    <w:rsid w:val="002B1A2A"/>
    <w:rsid w:val="002B1B55"/>
    <w:rsid w:val="002B2C01"/>
    <w:rsid w:val="002B357C"/>
    <w:rsid w:val="002B4017"/>
    <w:rsid w:val="002B4410"/>
    <w:rsid w:val="002B472E"/>
    <w:rsid w:val="002B4AEF"/>
    <w:rsid w:val="002B5E24"/>
    <w:rsid w:val="002C107E"/>
    <w:rsid w:val="002C1622"/>
    <w:rsid w:val="002C1C2A"/>
    <w:rsid w:val="002C2914"/>
    <w:rsid w:val="002C2C87"/>
    <w:rsid w:val="002C2F73"/>
    <w:rsid w:val="002C3068"/>
    <w:rsid w:val="002C4F31"/>
    <w:rsid w:val="002C6048"/>
    <w:rsid w:val="002C6747"/>
    <w:rsid w:val="002C773A"/>
    <w:rsid w:val="002D0282"/>
    <w:rsid w:val="002D15F5"/>
    <w:rsid w:val="002D191A"/>
    <w:rsid w:val="002D196B"/>
    <w:rsid w:val="002D1AEE"/>
    <w:rsid w:val="002D1D2A"/>
    <w:rsid w:val="002D2125"/>
    <w:rsid w:val="002D216E"/>
    <w:rsid w:val="002D26F5"/>
    <w:rsid w:val="002D30A3"/>
    <w:rsid w:val="002D3742"/>
    <w:rsid w:val="002D37A2"/>
    <w:rsid w:val="002D38C2"/>
    <w:rsid w:val="002D451B"/>
    <w:rsid w:val="002D5201"/>
    <w:rsid w:val="002D5295"/>
    <w:rsid w:val="002D6625"/>
    <w:rsid w:val="002D705B"/>
    <w:rsid w:val="002D7229"/>
    <w:rsid w:val="002E1C67"/>
    <w:rsid w:val="002E203E"/>
    <w:rsid w:val="002E44EF"/>
    <w:rsid w:val="002E4954"/>
    <w:rsid w:val="002E5D92"/>
    <w:rsid w:val="002E5DB4"/>
    <w:rsid w:val="002E67DD"/>
    <w:rsid w:val="002E6862"/>
    <w:rsid w:val="002E698D"/>
    <w:rsid w:val="002E69F2"/>
    <w:rsid w:val="002E78BB"/>
    <w:rsid w:val="002E7B6D"/>
    <w:rsid w:val="002E7C1C"/>
    <w:rsid w:val="002E7CB0"/>
    <w:rsid w:val="002E7D68"/>
    <w:rsid w:val="002F0B43"/>
    <w:rsid w:val="002F1B84"/>
    <w:rsid w:val="002F1EC0"/>
    <w:rsid w:val="002F20D5"/>
    <w:rsid w:val="002F219F"/>
    <w:rsid w:val="002F24B8"/>
    <w:rsid w:val="002F3CFF"/>
    <w:rsid w:val="002F4AA5"/>
    <w:rsid w:val="002F5066"/>
    <w:rsid w:val="002F542D"/>
    <w:rsid w:val="002F5C47"/>
    <w:rsid w:val="002F6176"/>
    <w:rsid w:val="002F62C1"/>
    <w:rsid w:val="002F6517"/>
    <w:rsid w:val="002F6A3D"/>
    <w:rsid w:val="002F704E"/>
    <w:rsid w:val="002F7D77"/>
    <w:rsid w:val="00301102"/>
    <w:rsid w:val="00301105"/>
    <w:rsid w:val="003015D0"/>
    <w:rsid w:val="00301F1C"/>
    <w:rsid w:val="003021DA"/>
    <w:rsid w:val="0030220A"/>
    <w:rsid w:val="003028F8"/>
    <w:rsid w:val="00302AEA"/>
    <w:rsid w:val="00302EB2"/>
    <w:rsid w:val="00303A74"/>
    <w:rsid w:val="00306627"/>
    <w:rsid w:val="00306B65"/>
    <w:rsid w:val="00306F84"/>
    <w:rsid w:val="0030709F"/>
    <w:rsid w:val="00307236"/>
    <w:rsid w:val="00307D59"/>
    <w:rsid w:val="0031024B"/>
    <w:rsid w:val="003104F1"/>
    <w:rsid w:val="00311155"/>
    <w:rsid w:val="00311799"/>
    <w:rsid w:val="003121AE"/>
    <w:rsid w:val="00314332"/>
    <w:rsid w:val="00314990"/>
    <w:rsid w:val="00315BDA"/>
    <w:rsid w:val="00316B9A"/>
    <w:rsid w:val="00316D41"/>
    <w:rsid w:val="003200F8"/>
    <w:rsid w:val="0032015F"/>
    <w:rsid w:val="003209FB"/>
    <w:rsid w:val="00321283"/>
    <w:rsid w:val="003217D6"/>
    <w:rsid w:val="00322276"/>
    <w:rsid w:val="0032306F"/>
    <w:rsid w:val="0032399C"/>
    <w:rsid w:val="00323E76"/>
    <w:rsid w:val="003263D4"/>
    <w:rsid w:val="0032691C"/>
    <w:rsid w:val="00327A9E"/>
    <w:rsid w:val="0033039E"/>
    <w:rsid w:val="0033225D"/>
    <w:rsid w:val="00333B5A"/>
    <w:rsid w:val="003340FD"/>
    <w:rsid w:val="00334276"/>
    <w:rsid w:val="003344B8"/>
    <w:rsid w:val="00334FC4"/>
    <w:rsid w:val="0033594D"/>
    <w:rsid w:val="00336358"/>
    <w:rsid w:val="003378F1"/>
    <w:rsid w:val="00337D8C"/>
    <w:rsid w:val="003401CB"/>
    <w:rsid w:val="00340862"/>
    <w:rsid w:val="00340954"/>
    <w:rsid w:val="00340D60"/>
    <w:rsid w:val="0034125A"/>
    <w:rsid w:val="00341710"/>
    <w:rsid w:val="00341A45"/>
    <w:rsid w:val="003421C5"/>
    <w:rsid w:val="003421F8"/>
    <w:rsid w:val="00342307"/>
    <w:rsid w:val="00342880"/>
    <w:rsid w:val="00342D4F"/>
    <w:rsid w:val="00343016"/>
    <w:rsid w:val="00343F84"/>
    <w:rsid w:val="00344581"/>
    <w:rsid w:val="003446F8"/>
    <w:rsid w:val="00344A1A"/>
    <w:rsid w:val="00346174"/>
    <w:rsid w:val="00346C63"/>
    <w:rsid w:val="00347037"/>
    <w:rsid w:val="00350439"/>
    <w:rsid w:val="003504FB"/>
    <w:rsid w:val="003507C5"/>
    <w:rsid w:val="00350E34"/>
    <w:rsid w:val="0035120D"/>
    <w:rsid w:val="00351A50"/>
    <w:rsid w:val="00352598"/>
    <w:rsid w:val="003545A2"/>
    <w:rsid w:val="00355032"/>
    <w:rsid w:val="003550C8"/>
    <w:rsid w:val="00355E93"/>
    <w:rsid w:val="00357398"/>
    <w:rsid w:val="003577BA"/>
    <w:rsid w:val="00357868"/>
    <w:rsid w:val="00357B87"/>
    <w:rsid w:val="00361344"/>
    <w:rsid w:val="003617A2"/>
    <w:rsid w:val="00361A03"/>
    <w:rsid w:val="00361CF9"/>
    <w:rsid w:val="00362533"/>
    <w:rsid w:val="00363CA7"/>
    <w:rsid w:val="0036400E"/>
    <w:rsid w:val="00364322"/>
    <w:rsid w:val="00364C73"/>
    <w:rsid w:val="00364EDB"/>
    <w:rsid w:val="00364F23"/>
    <w:rsid w:val="00365071"/>
    <w:rsid w:val="00365FFE"/>
    <w:rsid w:val="00367082"/>
    <w:rsid w:val="003673F2"/>
    <w:rsid w:val="0036762F"/>
    <w:rsid w:val="003679A6"/>
    <w:rsid w:val="0037088C"/>
    <w:rsid w:val="00370941"/>
    <w:rsid w:val="00370A67"/>
    <w:rsid w:val="00371866"/>
    <w:rsid w:val="00371B4F"/>
    <w:rsid w:val="00371D34"/>
    <w:rsid w:val="003720B7"/>
    <w:rsid w:val="00372390"/>
    <w:rsid w:val="00372664"/>
    <w:rsid w:val="00372C06"/>
    <w:rsid w:val="00373A92"/>
    <w:rsid w:val="00373BFD"/>
    <w:rsid w:val="003769ED"/>
    <w:rsid w:val="00377248"/>
    <w:rsid w:val="00377431"/>
    <w:rsid w:val="00377C94"/>
    <w:rsid w:val="0038186C"/>
    <w:rsid w:val="00382571"/>
    <w:rsid w:val="00383750"/>
    <w:rsid w:val="00383BB1"/>
    <w:rsid w:val="003846F7"/>
    <w:rsid w:val="003855E7"/>
    <w:rsid w:val="0038598D"/>
    <w:rsid w:val="00385C73"/>
    <w:rsid w:val="00386647"/>
    <w:rsid w:val="00386A8D"/>
    <w:rsid w:val="00386DC5"/>
    <w:rsid w:val="00387795"/>
    <w:rsid w:val="003877CE"/>
    <w:rsid w:val="003901CA"/>
    <w:rsid w:val="003907EA"/>
    <w:rsid w:val="0039137F"/>
    <w:rsid w:val="00391384"/>
    <w:rsid w:val="003914A4"/>
    <w:rsid w:val="0039257F"/>
    <w:rsid w:val="003927D5"/>
    <w:rsid w:val="0039351D"/>
    <w:rsid w:val="00393C4B"/>
    <w:rsid w:val="003945A3"/>
    <w:rsid w:val="00394AF5"/>
    <w:rsid w:val="00394F1E"/>
    <w:rsid w:val="00395539"/>
    <w:rsid w:val="003977FC"/>
    <w:rsid w:val="003978DB"/>
    <w:rsid w:val="00397DBC"/>
    <w:rsid w:val="003A12D8"/>
    <w:rsid w:val="003A1B59"/>
    <w:rsid w:val="003A20C6"/>
    <w:rsid w:val="003A234B"/>
    <w:rsid w:val="003A24ED"/>
    <w:rsid w:val="003A2FCA"/>
    <w:rsid w:val="003A35C4"/>
    <w:rsid w:val="003A3EF5"/>
    <w:rsid w:val="003A3F54"/>
    <w:rsid w:val="003A421E"/>
    <w:rsid w:val="003A50E0"/>
    <w:rsid w:val="003A5541"/>
    <w:rsid w:val="003A6078"/>
    <w:rsid w:val="003A65BE"/>
    <w:rsid w:val="003A69A1"/>
    <w:rsid w:val="003A6DAD"/>
    <w:rsid w:val="003A7974"/>
    <w:rsid w:val="003A7E8C"/>
    <w:rsid w:val="003B0051"/>
    <w:rsid w:val="003B015B"/>
    <w:rsid w:val="003B0DBA"/>
    <w:rsid w:val="003B1226"/>
    <w:rsid w:val="003B13B6"/>
    <w:rsid w:val="003B2450"/>
    <w:rsid w:val="003B3380"/>
    <w:rsid w:val="003B5511"/>
    <w:rsid w:val="003B5849"/>
    <w:rsid w:val="003B598C"/>
    <w:rsid w:val="003B5AE5"/>
    <w:rsid w:val="003B5E73"/>
    <w:rsid w:val="003B607A"/>
    <w:rsid w:val="003B6674"/>
    <w:rsid w:val="003B6EDD"/>
    <w:rsid w:val="003B6EE0"/>
    <w:rsid w:val="003B7148"/>
    <w:rsid w:val="003B7302"/>
    <w:rsid w:val="003B7CA9"/>
    <w:rsid w:val="003C000C"/>
    <w:rsid w:val="003C0817"/>
    <w:rsid w:val="003C17EE"/>
    <w:rsid w:val="003C1E0C"/>
    <w:rsid w:val="003C22EC"/>
    <w:rsid w:val="003C2A9D"/>
    <w:rsid w:val="003C2D8B"/>
    <w:rsid w:val="003C3056"/>
    <w:rsid w:val="003C4821"/>
    <w:rsid w:val="003C53C0"/>
    <w:rsid w:val="003C5CC1"/>
    <w:rsid w:val="003C63EE"/>
    <w:rsid w:val="003C6DE5"/>
    <w:rsid w:val="003C7D9C"/>
    <w:rsid w:val="003C7EA0"/>
    <w:rsid w:val="003D00D1"/>
    <w:rsid w:val="003D04A5"/>
    <w:rsid w:val="003D0D63"/>
    <w:rsid w:val="003D315D"/>
    <w:rsid w:val="003D392A"/>
    <w:rsid w:val="003D3F9A"/>
    <w:rsid w:val="003D4CB9"/>
    <w:rsid w:val="003D57AD"/>
    <w:rsid w:val="003D69BC"/>
    <w:rsid w:val="003D7109"/>
    <w:rsid w:val="003D7697"/>
    <w:rsid w:val="003D7DB6"/>
    <w:rsid w:val="003E0112"/>
    <w:rsid w:val="003E01EB"/>
    <w:rsid w:val="003E02B2"/>
    <w:rsid w:val="003E12CA"/>
    <w:rsid w:val="003E137A"/>
    <w:rsid w:val="003E1B27"/>
    <w:rsid w:val="003E1DE7"/>
    <w:rsid w:val="003E223F"/>
    <w:rsid w:val="003E3A14"/>
    <w:rsid w:val="003E48BA"/>
    <w:rsid w:val="003E4A74"/>
    <w:rsid w:val="003E4AA9"/>
    <w:rsid w:val="003E5551"/>
    <w:rsid w:val="003E5EB5"/>
    <w:rsid w:val="003E6673"/>
    <w:rsid w:val="003E6A16"/>
    <w:rsid w:val="003E752E"/>
    <w:rsid w:val="003E7DE5"/>
    <w:rsid w:val="003E7E02"/>
    <w:rsid w:val="003F0347"/>
    <w:rsid w:val="003F0688"/>
    <w:rsid w:val="003F1092"/>
    <w:rsid w:val="003F1C6B"/>
    <w:rsid w:val="003F34F6"/>
    <w:rsid w:val="003F3D6A"/>
    <w:rsid w:val="003F3DCF"/>
    <w:rsid w:val="003F40E9"/>
    <w:rsid w:val="003F45FE"/>
    <w:rsid w:val="003F4BA6"/>
    <w:rsid w:val="003F4F5B"/>
    <w:rsid w:val="003F5AB2"/>
    <w:rsid w:val="003F6275"/>
    <w:rsid w:val="003F6779"/>
    <w:rsid w:val="003F7AA8"/>
    <w:rsid w:val="00400583"/>
    <w:rsid w:val="0040140F"/>
    <w:rsid w:val="004017C7"/>
    <w:rsid w:val="0040206C"/>
    <w:rsid w:val="004023C5"/>
    <w:rsid w:val="004027B1"/>
    <w:rsid w:val="00402852"/>
    <w:rsid w:val="004035E7"/>
    <w:rsid w:val="0040382F"/>
    <w:rsid w:val="004041B1"/>
    <w:rsid w:val="0040452C"/>
    <w:rsid w:val="00404C5A"/>
    <w:rsid w:val="00404DCB"/>
    <w:rsid w:val="00405287"/>
    <w:rsid w:val="00405F00"/>
    <w:rsid w:val="004063AA"/>
    <w:rsid w:val="00406551"/>
    <w:rsid w:val="0041071E"/>
    <w:rsid w:val="004119AF"/>
    <w:rsid w:val="00413148"/>
    <w:rsid w:val="00413426"/>
    <w:rsid w:val="00413BC2"/>
    <w:rsid w:val="00413E26"/>
    <w:rsid w:val="00413F7F"/>
    <w:rsid w:val="00414E55"/>
    <w:rsid w:val="004160E9"/>
    <w:rsid w:val="00416710"/>
    <w:rsid w:val="00416CDF"/>
    <w:rsid w:val="004173C8"/>
    <w:rsid w:val="0042021F"/>
    <w:rsid w:val="004202E2"/>
    <w:rsid w:val="004214EB"/>
    <w:rsid w:val="00421592"/>
    <w:rsid w:val="004217F6"/>
    <w:rsid w:val="004219F6"/>
    <w:rsid w:val="00421AA7"/>
    <w:rsid w:val="00421B7E"/>
    <w:rsid w:val="00421F60"/>
    <w:rsid w:val="0042279A"/>
    <w:rsid w:val="004230A2"/>
    <w:rsid w:val="00423C55"/>
    <w:rsid w:val="00424A3B"/>
    <w:rsid w:val="00424B93"/>
    <w:rsid w:val="00424BBF"/>
    <w:rsid w:val="00424D0A"/>
    <w:rsid w:val="004252E1"/>
    <w:rsid w:val="00426138"/>
    <w:rsid w:val="004261D6"/>
    <w:rsid w:val="00426349"/>
    <w:rsid w:val="00426469"/>
    <w:rsid w:val="00426C6B"/>
    <w:rsid w:val="0042752C"/>
    <w:rsid w:val="00427CE4"/>
    <w:rsid w:val="00430B27"/>
    <w:rsid w:val="00431430"/>
    <w:rsid w:val="004319C6"/>
    <w:rsid w:val="00432926"/>
    <w:rsid w:val="004330C9"/>
    <w:rsid w:val="00433900"/>
    <w:rsid w:val="00433B27"/>
    <w:rsid w:val="00434C50"/>
    <w:rsid w:val="0043522C"/>
    <w:rsid w:val="0043537A"/>
    <w:rsid w:val="00435D5C"/>
    <w:rsid w:val="004362CD"/>
    <w:rsid w:val="0043670B"/>
    <w:rsid w:val="0043683F"/>
    <w:rsid w:val="00436CA6"/>
    <w:rsid w:val="00436FAF"/>
    <w:rsid w:val="00436FF8"/>
    <w:rsid w:val="004370FD"/>
    <w:rsid w:val="00437848"/>
    <w:rsid w:val="00437F02"/>
    <w:rsid w:val="00440061"/>
    <w:rsid w:val="004400E9"/>
    <w:rsid w:val="0044072E"/>
    <w:rsid w:val="00441158"/>
    <w:rsid w:val="00441E03"/>
    <w:rsid w:val="00442F0B"/>
    <w:rsid w:val="00443C1D"/>
    <w:rsid w:val="004451BC"/>
    <w:rsid w:val="00445B0B"/>
    <w:rsid w:val="00445B4F"/>
    <w:rsid w:val="00445EAA"/>
    <w:rsid w:val="004464AB"/>
    <w:rsid w:val="004478FE"/>
    <w:rsid w:val="00447D3D"/>
    <w:rsid w:val="00447FE4"/>
    <w:rsid w:val="00450150"/>
    <w:rsid w:val="00450C3C"/>
    <w:rsid w:val="0045191E"/>
    <w:rsid w:val="00451B85"/>
    <w:rsid w:val="00451D14"/>
    <w:rsid w:val="00452688"/>
    <w:rsid w:val="00453048"/>
    <w:rsid w:val="0045402F"/>
    <w:rsid w:val="004541C6"/>
    <w:rsid w:val="00455C54"/>
    <w:rsid w:val="00456366"/>
    <w:rsid w:val="00456BE9"/>
    <w:rsid w:val="0045709A"/>
    <w:rsid w:val="00457424"/>
    <w:rsid w:val="00460121"/>
    <w:rsid w:val="00460247"/>
    <w:rsid w:val="00460FFA"/>
    <w:rsid w:val="00461DE2"/>
    <w:rsid w:val="0046313D"/>
    <w:rsid w:val="0046381E"/>
    <w:rsid w:val="004648D6"/>
    <w:rsid w:val="00464BA3"/>
    <w:rsid w:val="00464E22"/>
    <w:rsid w:val="00464EED"/>
    <w:rsid w:val="004668C7"/>
    <w:rsid w:val="004673E6"/>
    <w:rsid w:val="00471E1E"/>
    <w:rsid w:val="00472912"/>
    <w:rsid w:val="00472E3A"/>
    <w:rsid w:val="00473120"/>
    <w:rsid w:val="004735B6"/>
    <w:rsid w:val="004741BD"/>
    <w:rsid w:val="004743A8"/>
    <w:rsid w:val="0047512B"/>
    <w:rsid w:val="00475A49"/>
    <w:rsid w:val="00475B2A"/>
    <w:rsid w:val="00475B9D"/>
    <w:rsid w:val="00475D07"/>
    <w:rsid w:val="0047610B"/>
    <w:rsid w:val="00476AE6"/>
    <w:rsid w:val="004802E6"/>
    <w:rsid w:val="004818ED"/>
    <w:rsid w:val="00482E95"/>
    <w:rsid w:val="004837D6"/>
    <w:rsid w:val="0048408E"/>
    <w:rsid w:val="00484474"/>
    <w:rsid w:val="004844B5"/>
    <w:rsid w:val="0048463A"/>
    <w:rsid w:val="00484891"/>
    <w:rsid w:val="0048491B"/>
    <w:rsid w:val="00484D65"/>
    <w:rsid w:val="00484DD7"/>
    <w:rsid w:val="00484E20"/>
    <w:rsid w:val="004854B5"/>
    <w:rsid w:val="00485784"/>
    <w:rsid w:val="004857B3"/>
    <w:rsid w:val="00486079"/>
    <w:rsid w:val="0048614A"/>
    <w:rsid w:val="00486A68"/>
    <w:rsid w:val="004870CE"/>
    <w:rsid w:val="00487195"/>
    <w:rsid w:val="00490557"/>
    <w:rsid w:val="00490E8E"/>
    <w:rsid w:val="00491360"/>
    <w:rsid w:val="0049154D"/>
    <w:rsid w:val="00491583"/>
    <w:rsid w:val="00491588"/>
    <w:rsid w:val="00492170"/>
    <w:rsid w:val="004928DC"/>
    <w:rsid w:val="0049395D"/>
    <w:rsid w:val="00493E50"/>
    <w:rsid w:val="00494205"/>
    <w:rsid w:val="00497370"/>
    <w:rsid w:val="00497E56"/>
    <w:rsid w:val="00497EDC"/>
    <w:rsid w:val="004A12E9"/>
    <w:rsid w:val="004A1F0E"/>
    <w:rsid w:val="004A24BA"/>
    <w:rsid w:val="004A2762"/>
    <w:rsid w:val="004A2DC1"/>
    <w:rsid w:val="004A2FFB"/>
    <w:rsid w:val="004A321A"/>
    <w:rsid w:val="004A3364"/>
    <w:rsid w:val="004A3E89"/>
    <w:rsid w:val="004A43CE"/>
    <w:rsid w:val="004A4982"/>
    <w:rsid w:val="004A5672"/>
    <w:rsid w:val="004A6121"/>
    <w:rsid w:val="004A6850"/>
    <w:rsid w:val="004B05C6"/>
    <w:rsid w:val="004B1300"/>
    <w:rsid w:val="004B1573"/>
    <w:rsid w:val="004B16AB"/>
    <w:rsid w:val="004B1C76"/>
    <w:rsid w:val="004B3275"/>
    <w:rsid w:val="004B3CCA"/>
    <w:rsid w:val="004B560E"/>
    <w:rsid w:val="004B5E12"/>
    <w:rsid w:val="004B604A"/>
    <w:rsid w:val="004B62B7"/>
    <w:rsid w:val="004B6381"/>
    <w:rsid w:val="004B6A84"/>
    <w:rsid w:val="004C06D2"/>
    <w:rsid w:val="004C0A22"/>
    <w:rsid w:val="004C0B4C"/>
    <w:rsid w:val="004C1794"/>
    <w:rsid w:val="004C17D5"/>
    <w:rsid w:val="004C18D2"/>
    <w:rsid w:val="004C2164"/>
    <w:rsid w:val="004C2F08"/>
    <w:rsid w:val="004C46CD"/>
    <w:rsid w:val="004C47F5"/>
    <w:rsid w:val="004C5063"/>
    <w:rsid w:val="004C5669"/>
    <w:rsid w:val="004C5E6D"/>
    <w:rsid w:val="004C6510"/>
    <w:rsid w:val="004C65AA"/>
    <w:rsid w:val="004C6B31"/>
    <w:rsid w:val="004C6FF3"/>
    <w:rsid w:val="004D0259"/>
    <w:rsid w:val="004D109E"/>
    <w:rsid w:val="004D1A79"/>
    <w:rsid w:val="004D1AAD"/>
    <w:rsid w:val="004D2DB3"/>
    <w:rsid w:val="004D43EC"/>
    <w:rsid w:val="004D5C3C"/>
    <w:rsid w:val="004D6734"/>
    <w:rsid w:val="004D7C14"/>
    <w:rsid w:val="004D7D70"/>
    <w:rsid w:val="004E01BC"/>
    <w:rsid w:val="004E0CAA"/>
    <w:rsid w:val="004E1405"/>
    <w:rsid w:val="004E26E0"/>
    <w:rsid w:val="004E2D51"/>
    <w:rsid w:val="004E417D"/>
    <w:rsid w:val="004E4AE9"/>
    <w:rsid w:val="004E5290"/>
    <w:rsid w:val="004E5799"/>
    <w:rsid w:val="004E6040"/>
    <w:rsid w:val="004E627F"/>
    <w:rsid w:val="004E64A4"/>
    <w:rsid w:val="004E6B94"/>
    <w:rsid w:val="004E716E"/>
    <w:rsid w:val="004F0509"/>
    <w:rsid w:val="004F085C"/>
    <w:rsid w:val="004F0E3B"/>
    <w:rsid w:val="004F0EBA"/>
    <w:rsid w:val="004F0ED3"/>
    <w:rsid w:val="004F103D"/>
    <w:rsid w:val="004F2D03"/>
    <w:rsid w:val="004F2EAC"/>
    <w:rsid w:val="004F32CE"/>
    <w:rsid w:val="004F40BB"/>
    <w:rsid w:val="004F442F"/>
    <w:rsid w:val="004F47D1"/>
    <w:rsid w:val="004F4FDC"/>
    <w:rsid w:val="004F5042"/>
    <w:rsid w:val="004F53B4"/>
    <w:rsid w:val="004F584C"/>
    <w:rsid w:val="004F5DA7"/>
    <w:rsid w:val="004F5F96"/>
    <w:rsid w:val="004F6884"/>
    <w:rsid w:val="004F6D97"/>
    <w:rsid w:val="0050075A"/>
    <w:rsid w:val="00500A7A"/>
    <w:rsid w:val="00500A8F"/>
    <w:rsid w:val="00500BDB"/>
    <w:rsid w:val="005024BF"/>
    <w:rsid w:val="00502C44"/>
    <w:rsid w:val="0050356D"/>
    <w:rsid w:val="005048EC"/>
    <w:rsid w:val="00505646"/>
    <w:rsid w:val="00505A5A"/>
    <w:rsid w:val="0050604B"/>
    <w:rsid w:val="00506A82"/>
    <w:rsid w:val="00506EB2"/>
    <w:rsid w:val="005071BF"/>
    <w:rsid w:val="005109A0"/>
    <w:rsid w:val="00510E63"/>
    <w:rsid w:val="005112AE"/>
    <w:rsid w:val="00511930"/>
    <w:rsid w:val="00511C1C"/>
    <w:rsid w:val="005121B8"/>
    <w:rsid w:val="00512659"/>
    <w:rsid w:val="00513791"/>
    <w:rsid w:val="005146BA"/>
    <w:rsid w:val="005150F1"/>
    <w:rsid w:val="0051515E"/>
    <w:rsid w:val="005154CA"/>
    <w:rsid w:val="00515B7E"/>
    <w:rsid w:val="005163C6"/>
    <w:rsid w:val="00516FEF"/>
    <w:rsid w:val="00517445"/>
    <w:rsid w:val="00517A6A"/>
    <w:rsid w:val="00517C97"/>
    <w:rsid w:val="00520923"/>
    <w:rsid w:val="00520A74"/>
    <w:rsid w:val="00520ACB"/>
    <w:rsid w:val="00522597"/>
    <w:rsid w:val="00522865"/>
    <w:rsid w:val="005229FE"/>
    <w:rsid w:val="00523041"/>
    <w:rsid w:val="005234D8"/>
    <w:rsid w:val="00523F69"/>
    <w:rsid w:val="00526414"/>
    <w:rsid w:val="0052667F"/>
    <w:rsid w:val="0052677C"/>
    <w:rsid w:val="00526ADD"/>
    <w:rsid w:val="00526CC3"/>
    <w:rsid w:val="00527022"/>
    <w:rsid w:val="00530756"/>
    <w:rsid w:val="0053106F"/>
    <w:rsid w:val="00531758"/>
    <w:rsid w:val="00531F07"/>
    <w:rsid w:val="005322E9"/>
    <w:rsid w:val="00533DC0"/>
    <w:rsid w:val="005345A6"/>
    <w:rsid w:val="00536F95"/>
    <w:rsid w:val="00537228"/>
    <w:rsid w:val="00537386"/>
    <w:rsid w:val="005373D7"/>
    <w:rsid w:val="00537708"/>
    <w:rsid w:val="00537BBF"/>
    <w:rsid w:val="00537FC5"/>
    <w:rsid w:val="00540B1C"/>
    <w:rsid w:val="005410FC"/>
    <w:rsid w:val="005421D8"/>
    <w:rsid w:val="0054263A"/>
    <w:rsid w:val="005435A8"/>
    <w:rsid w:val="00543DE0"/>
    <w:rsid w:val="005444F6"/>
    <w:rsid w:val="00545337"/>
    <w:rsid w:val="00545DE6"/>
    <w:rsid w:val="0054637F"/>
    <w:rsid w:val="0054669F"/>
    <w:rsid w:val="00546B43"/>
    <w:rsid w:val="005504A0"/>
    <w:rsid w:val="00550874"/>
    <w:rsid w:val="00550DBD"/>
    <w:rsid w:val="005524A3"/>
    <w:rsid w:val="00552510"/>
    <w:rsid w:val="0055282B"/>
    <w:rsid w:val="005532C4"/>
    <w:rsid w:val="00553970"/>
    <w:rsid w:val="00554E3A"/>
    <w:rsid w:val="00555A85"/>
    <w:rsid w:val="00555F79"/>
    <w:rsid w:val="005566A4"/>
    <w:rsid w:val="005568A4"/>
    <w:rsid w:val="00556B96"/>
    <w:rsid w:val="00557EFE"/>
    <w:rsid w:val="0056045A"/>
    <w:rsid w:val="0056063F"/>
    <w:rsid w:val="00561913"/>
    <w:rsid w:val="00563E59"/>
    <w:rsid w:val="0056526E"/>
    <w:rsid w:val="00565556"/>
    <w:rsid w:val="00565D0B"/>
    <w:rsid w:val="00565EEF"/>
    <w:rsid w:val="00566343"/>
    <w:rsid w:val="005665A6"/>
    <w:rsid w:val="00566D58"/>
    <w:rsid w:val="00567AAC"/>
    <w:rsid w:val="00567E95"/>
    <w:rsid w:val="005708A2"/>
    <w:rsid w:val="00570E38"/>
    <w:rsid w:val="00571573"/>
    <w:rsid w:val="005716FA"/>
    <w:rsid w:val="005723F8"/>
    <w:rsid w:val="005724B3"/>
    <w:rsid w:val="00572A95"/>
    <w:rsid w:val="00572D36"/>
    <w:rsid w:val="00572F8B"/>
    <w:rsid w:val="00573087"/>
    <w:rsid w:val="00573198"/>
    <w:rsid w:val="00573D79"/>
    <w:rsid w:val="005742EC"/>
    <w:rsid w:val="00574791"/>
    <w:rsid w:val="005750E0"/>
    <w:rsid w:val="00575D42"/>
    <w:rsid w:val="00575F93"/>
    <w:rsid w:val="005762A2"/>
    <w:rsid w:val="00577508"/>
    <w:rsid w:val="00577CCE"/>
    <w:rsid w:val="00580877"/>
    <w:rsid w:val="00581511"/>
    <w:rsid w:val="00581654"/>
    <w:rsid w:val="00581726"/>
    <w:rsid w:val="00581C8D"/>
    <w:rsid w:val="00581E4B"/>
    <w:rsid w:val="0058241D"/>
    <w:rsid w:val="00583680"/>
    <w:rsid w:val="00583881"/>
    <w:rsid w:val="00584474"/>
    <w:rsid w:val="00584A6D"/>
    <w:rsid w:val="00584E85"/>
    <w:rsid w:val="00584FAC"/>
    <w:rsid w:val="00585850"/>
    <w:rsid w:val="00586061"/>
    <w:rsid w:val="005862D7"/>
    <w:rsid w:val="00586A6C"/>
    <w:rsid w:val="00586F93"/>
    <w:rsid w:val="005876FE"/>
    <w:rsid w:val="005914F8"/>
    <w:rsid w:val="0059186A"/>
    <w:rsid w:val="00591CBB"/>
    <w:rsid w:val="00591F24"/>
    <w:rsid w:val="005922DF"/>
    <w:rsid w:val="00592A73"/>
    <w:rsid w:val="00592BDA"/>
    <w:rsid w:val="0059361A"/>
    <w:rsid w:val="005937D8"/>
    <w:rsid w:val="00594574"/>
    <w:rsid w:val="00596823"/>
    <w:rsid w:val="00596A3C"/>
    <w:rsid w:val="00597018"/>
    <w:rsid w:val="005974DB"/>
    <w:rsid w:val="00597CD8"/>
    <w:rsid w:val="005A03E1"/>
    <w:rsid w:val="005A092A"/>
    <w:rsid w:val="005A2187"/>
    <w:rsid w:val="005A25D5"/>
    <w:rsid w:val="005A4751"/>
    <w:rsid w:val="005A48F8"/>
    <w:rsid w:val="005A4FB9"/>
    <w:rsid w:val="005A50BB"/>
    <w:rsid w:val="005A5CC9"/>
    <w:rsid w:val="005A5EFD"/>
    <w:rsid w:val="005A791B"/>
    <w:rsid w:val="005B0162"/>
    <w:rsid w:val="005B18E0"/>
    <w:rsid w:val="005B23A6"/>
    <w:rsid w:val="005B2472"/>
    <w:rsid w:val="005B2863"/>
    <w:rsid w:val="005B36CB"/>
    <w:rsid w:val="005B3B01"/>
    <w:rsid w:val="005B5D57"/>
    <w:rsid w:val="005B6425"/>
    <w:rsid w:val="005B689A"/>
    <w:rsid w:val="005B7B57"/>
    <w:rsid w:val="005B7F78"/>
    <w:rsid w:val="005C0426"/>
    <w:rsid w:val="005C0CC2"/>
    <w:rsid w:val="005C24E5"/>
    <w:rsid w:val="005C3AED"/>
    <w:rsid w:val="005C5A33"/>
    <w:rsid w:val="005C7AC1"/>
    <w:rsid w:val="005D09DA"/>
    <w:rsid w:val="005D1583"/>
    <w:rsid w:val="005D15E8"/>
    <w:rsid w:val="005D1BA2"/>
    <w:rsid w:val="005D3CCD"/>
    <w:rsid w:val="005D4004"/>
    <w:rsid w:val="005D4FF0"/>
    <w:rsid w:val="005D6536"/>
    <w:rsid w:val="005D678B"/>
    <w:rsid w:val="005D6D52"/>
    <w:rsid w:val="005D7532"/>
    <w:rsid w:val="005D7E83"/>
    <w:rsid w:val="005E1389"/>
    <w:rsid w:val="005E1426"/>
    <w:rsid w:val="005E15BF"/>
    <w:rsid w:val="005E15E0"/>
    <w:rsid w:val="005E185C"/>
    <w:rsid w:val="005E2174"/>
    <w:rsid w:val="005E22B4"/>
    <w:rsid w:val="005E256B"/>
    <w:rsid w:val="005E34CF"/>
    <w:rsid w:val="005E3829"/>
    <w:rsid w:val="005E3D0C"/>
    <w:rsid w:val="005E5194"/>
    <w:rsid w:val="005E58F4"/>
    <w:rsid w:val="005E6308"/>
    <w:rsid w:val="005E710E"/>
    <w:rsid w:val="005E7364"/>
    <w:rsid w:val="005E746F"/>
    <w:rsid w:val="005E7960"/>
    <w:rsid w:val="005E7C71"/>
    <w:rsid w:val="005F0A95"/>
    <w:rsid w:val="005F0B5F"/>
    <w:rsid w:val="005F2C29"/>
    <w:rsid w:val="005F33E8"/>
    <w:rsid w:val="005F41E8"/>
    <w:rsid w:val="005F45CA"/>
    <w:rsid w:val="005F4910"/>
    <w:rsid w:val="005F4A67"/>
    <w:rsid w:val="005F4CAE"/>
    <w:rsid w:val="005F4EDF"/>
    <w:rsid w:val="005F51BB"/>
    <w:rsid w:val="005F5329"/>
    <w:rsid w:val="005F5362"/>
    <w:rsid w:val="005F5E0E"/>
    <w:rsid w:val="005F6E7F"/>
    <w:rsid w:val="005F6EA7"/>
    <w:rsid w:val="005F7171"/>
    <w:rsid w:val="005F71AF"/>
    <w:rsid w:val="005F7D9B"/>
    <w:rsid w:val="00600289"/>
    <w:rsid w:val="0060053F"/>
    <w:rsid w:val="00600B49"/>
    <w:rsid w:val="00600F61"/>
    <w:rsid w:val="006020EF"/>
    <w:rsid w:val="00602533"/>
    <w:rsid w:val="00603012"/>
    <w:rsid w:val="00603466"/>
    <w:rsid w:val="006053AC"/>
    <w:rsid w:val="00605CCE"/>
    <w:rsid w:val="006063C1"/>
    <w:rsid w:val="00607677"/>
    <w:rsid w:val="00607F31"/>
    <w:rsid w:val="006101B4"/>
    <w:rsid w:val="006101DB"/>
    <w:rsid w:val="0061083E"/>
    <w:rsid w:val="00610C6C"/>
    <w:rsid w:val="006110D7"/>
    <w:rsid w:val="006113B2"/>
    <w:rsid w:val="006119C3"/>
    <w:rsid w:val="00611E6F"/>
    <w:rsid w:val="006125C3"/>
    <w:rsid w:val="0061268E"/>
    <w:rsid w:val="00612B28"/>
    <w:rsid w:val="00612CA1"/>
    <w:rsid w:val="0061333A"/>
    <w:rsid w:val="00614008"/>
    <w:rsid w:val="0061706D"/>
    <w:rsid w:val="00617724"/>
    <w:rsid w:val="00617A00"/>
    <w:rsid w:val="00617A78"/>
    <w:rsid w:val="00617F7A"/>
    <w:rsid w:val="006207E0"/>
    <w:rsid w:val="0062131C"/>
    <w:rsid w:val="006213B4"/>
    <w:rsid w:val="006216CD"/>
    <w:rsid w:val="00621766"/>
    <w:rsid w:val="00621BAC"/>
    <w:rsid w:val="00622F45"/>
    <w:rsid w:val="0062342F"/>
    <w:rsid w:val="00624892"/>
    <w:rsid w:val="00624DE8"/>
    <w:rsid w:val="00624EB2"/>
    <w:rsid w:val="0062620E"/>
    <w:rsid w:val="00626FAA"/>
    <w:rsid w:val="006278D2"/>
    <w:rsid w:val="00627AC2"/>
    <w:rsid w:val="00627B49"/>
    <w:rsid w:val="006303D4"/>
    <w:rsid w:val="006305F5"/>
    <w:rsid w:val="00632807"/>
    <w:rsid w:val="00633E8E"/>
    <w:rsid w:val="00634A76"/>
    <w:rsid w:val="006355C9"/>
    <w:rsid w:val="00635DF6"/>
    <w:rsid w:val="006365E1"/>
    <w:rsid w:val="00640199"/>
    <w:rsid w:val="0064028B"/>
    <w:rsid w:val="00640811"/>
    <w:rsid w:val="00640CB6"/>
    <w:rsid w:val="006410F6"/>
    <w:rsid w:val="0064185B"/>
    <w:rsid w:val="0064251C"/>
    <w:rsid w:val="00642A58"/>
    <w:rsid w:val="00642F7B"/>
    <w:rsid w:val="00643634"/>
    <w:rsid w:val="0064465E"/>
    <w:rsid w:val="00644668"/>
    <w:rsid w:val="00645072"/>
    <w:rsid w:val="006450EB"/>
    <w:rsid w:val="006456C0"/>
    <w:rsid w:val="00645FD5"/>
    <w:rsid w:val="00646427"/>
    <w:rsid w:val="006465DF"/>
    <w:rsid w:val="00646F40"/>
    <w:rsid w:val="00647039"/>
    <w:rsid w:val="00650057"/>
    <w:rsid w:val="00651D7D"/>
    <w:rsid w:val="00652FA5"/>
    <w:rsid w:val="00653677"/>
    <w:rsid w:val="00654072"/>
    <w:rsid w:val="006540CB"/>
    <w:rsid w:val="006546A8"/>
    <w:rsid w:val="00654B34"/>
    <w:rsid w:val="00655092"/>
    <w:rsid w:val="0065570A"/>
    <w:rsid w:val="00655E1A"/>
    <w:rsid w:val="00655F2B"/>
    <w:rsid w:val="0065661A"/>
    <w:rsid w:val="00656F31"/>
    <w:rsid w:val="00657086"/>
    <w:rsid w:val="0066060B"/>
    <w:rsid w:val="00660CC5"/>
    <w:rsid w:val="00661EEE"/>
    <w:rsid w:val="006624AA"/>
    <w:rsid w:val="0066295B"/>
    <w:rsid w:val="0066439E"/>
    <w:rsid w:val="006646E2"/>
    <w:rsid w:val="00664729"/>
    <w:rsid w:val="0066485D"/>
    <w:rsid w:val="006650D5"/>
    <w:rsid w:val="00665A59"/>
    <w:rsid w:val="00666240"/>
    <w:rsid w:val="00667764"/>
    <w:rsid w:val="006677F5"/>
    <w:rsid w:val="00667AA0"/>
    <w:rsid w:val="0067049A"/>
    <w:rsid w:val="006706C2"/>
    <w:rsid w:val="00671537"/>
    <w:rsid w:val="00671923"/>
    <w:rsid w:val="00671A77"/>
    <w:rsid w:val="0067213F"/>
    <w:rsid w:val="00672AD8"/>
    <w:rsid w:val="00672D21"/>
    <w:rsid w:val="00672DD7"/>
    <w:rsid w:val="00673029"/>
    <w:rsid w:val="00673F10"/>
    <w:rsid w:val="006756ED"/>
    <w:rsid w:val="006762C9"/>
    <w:rsid w:val="00676E41"/>
    <w:rsid w:val="00677031"/>
    <w:rsid w:val="0067713D"/>
    <w:rsid w:val="00677216"/>
    <w:rsid w:val="00677554"/>
    <w:rsid w:val="00677D12"/>
    <w:rsid w:val="00680E86"/>
    <w:rsid w:val="0068159E"/>
    <w:rsid w:val="00681ABE"/>
    <w:rsid w:val="00681D07"/>
    <w:rsid w:val="00681D0E"/>
    <w:rsid w:val="006827BD"/>
    <w:rsid w:val="006828DE"/>
    <w:rsid w:val="00682A00"/>
    <w:rsid w:val="00683BE3"/>
    <w:rsid w:val="00683E39"/>
    <w:rsid w:val="00684526"/>
    <w:rsid w:val="006872DB"/>
    <w:rsid w:val="00690108"/>
    <w:rsid w:val="00691ABE"/>
    <w:rsid w:val="00692F2D"/>
    <w:rsid w:val="006940BA"/>
    <w:rsid w:val="006944BB"/>
    <w:rsid w:val="0069481E"/>
    <w:rsid w:val="0069547C"/>
    <w:rsid w:val="00695E42"/>
    <w:rsid w:val="00696226"/>
    <w:rsid w:val="006967DC"/>
    <w:rsid w:val="00696DEA"/>
    <w:rsid w:val="00696FA1"/>
    <w:rsid w:val="0069781D"/>
    <w:rsid w:val="006A0CAA"/>
    <w:rsid w:val="006A18AA"/>
    <w:rsid w:val="006A2411"/>
    <w:rsid w:val="006A46AE"/>
    <w:rsid w:val="006A506E"/>
    <w:rsid w:val="006A5C36"/>
    <w:rsid w:val="006A5DC3"/>
    <w:rsid w:val="006A6FA1"/>
    <w:rsid w:val="006A7220"/>
    <w:rsid w:val="006B00BC"/>
    <w:rsid w:val="006B03CE"/>
    <w:rsid w:val="006B0A27"/>
    <w:rsid w:val="006B0A47"/>
    <w:rsid w:val="006B0BF2"/>
    <w:rsid w:val="006B20A7"/>
    <w:rsid w:val="006B2166"/>
    <w:rsid w:val="006B3211"/>
    <w:rsid w:val="006B32D6"/>
    <w:rsid w:val="006B3776"/>
    <w:rsid w:val="006B3B0F"/>
    <w:rsid w:val="006B3F1B"/>
    <w:rsid w:val="006B40EC"/>
    <w:rsid w:val="006B41CE"/>
    <w:rsid w:val="006B42EF"/>
    <w:rsid w:val="006B5554"/>
    <w:rsid w:val="006B6576"/>
    <w:rsid w:val="006B6A63"/>
    <w:rsid w:val="006B7588"/>
    <w:rsid w:val="006C1A23"/>
    <w:rsid w:val="006C1B95"/>
    <w:rsid w:val="006C20B5"/>
    <w:rsid w:val="006C2353"/>
    <w:rsid w:val="006C27E6"/>
    <w:rsid w:val="006C2FD1"/>
    <w:rsid w:val="006C3A40"/>
    <w:rsid w:val="006C3C09"/>
    <w:rsid w:val="006C3FF2"/>
    <w:rsid w:val="006C45F4"/>
    <w:rsid w:val="006C4DD8"/>
    <w:rsid w:val="006C5271"/>
    <w:rsid w:val="006C59F1"/>
    <w:rsid w:val="006C6231"/>
    <w:rsid w:val="006C6AED"/>
    <w:rsid w:val="006C6BDE"/>
    <w:rsid w:val="006C7BE3"/>
    <w:rsid w:val="006D1598"/>
    <w:rsid w:val="006D24A4"/>
    <w:rsid w:val="006D2BA7"/>
    <w:rsid w:val="006D4135"/>
    <w:rsid w:val="006D4382"/>
    <w:rsid w:val="006D48E7"/>
    <w:rsid w:val="006D4BE5"/>
    <w:rsid w:val="006D55EA"/>
    <w:rsid w:val="006D5B2D"/>
    <w:rsid w:val="006D5D3B"/>
    <w:rsid w:val="006D6779"/>
    <w:rsid w:val="006D74F1"/>
    <w:rsid w:val="006D7E92"/>
    <w:rsid w:val="006E0890"/>
    <w:rsid w:val="006E0903"/>
    <w:rsid w:val="006E0CD9"/>
    <w:rsid w:val="006E286D"/>
    <w:rsid w:val="006E2AB1"/>
    <w:rsid w:val="006E306F"/>
    <w:rsid w:val="006E319B"/>
    <w:rsid w:val="006E32A0"/>
    <w:rsid w:val="006E4874"/>
    <w:rsid w:val="006E4A45"/>
    <w:rsid w:val="006E4B21"/>
    <w:rsid w:val="006E4F7A"/>
    <w:rsid w:val="006E5518"/>
    <w:rsid w:val="006E5E43"/>
    <w:rsid w:val="006E7137"/>
    <w:rsid w:val="006F07D0"/>
    <w:rsid w:val="006F1AFB"/>
    <w:rsid w:val="006F2D57"/>
    <w:rsid w:val="006F3BA5"/>
    <w:rsid w:val="006F4136"/>
    <w:rsid w:val="006F479F"/>
    <w:rsid w:val="006F4943"/>
    <w:rsid w:val="006F4A3C"/>
    <w:rsid w:val="006F4C9E"/>
    <w:rsid w:val="006F4F4A"/>
    <w:rsid w:val="006F59CC"/>
    <w:rsid w:val="006F6F02"/>
    <w:rsid w:val="006F742A"/>
    <w:rsid w:val="006F7EC6"/>
    <w:rsid w:val="00702355"/>
    <w:rsid w:val="007029D3"/>
    <w:rsid w:val="0070380A"/>
    <w:rsid w:val="00706FE7"/>
    <w:rsid w:val="0070700B"/>
    <w:rsid w:val="007075BA"/>
    <w:rsid w:val="00707A77"/>
    <w:rsid w:val="00707EA0"/>
    <w:rsid w:val="0071015A"/>
    <w:rsid w:val="00710D21"/>
    <w:rsid w:val="00710DD9"/>
    <w:rsid w:val="007123C7"/>
    <w:rsid w:val="00713205"/>
    <w:rsid w:val="007133AB"/>
    <w:rsid w:val="0071452D"/>
    <w:rsid w:val="0071570C"/>
    <w:rsid w:val="00715A34"/>
    <w:rsid w:val="00715D53"/>
    <w:rsid w:val="00715E00"/>
    <w:rsid w:val="00715E03"/>
    <w:rsid w:val="00716251"/>
    <w:rsid w:val="00716528"/>
    <w:rsid w:val="007166ED"/>
    <w:rsid w:val="00716C16"/>
    <w:rsid w:val="00717113"/>
    <w:rsid w:val="007175BC"/>
    <w:rsid w:val="007175F5"/>
    <w:rsid w:val="00721920"/>
    <w:rsid w:val="00721B37"/>
    <w:rsid w:val="00721EE2"/>
    <w:rsid w:val="00721FCC"/>
    <w:rsid w:val="00722801"/>
    <w:rsid w:val="0072293D"/>
    <w:rsid w:val="00723BBF"/>
    <w:rsid w:val="007249AE"/>
    <w:rsid w:val="00724A94"/>
    <w:rsid w:val="00724B15"/>
    <w:rsid w:val="00725C12"/>
    <w:rsid w:val="00725E49"/>
    <w:rsid w:val="007261F2"/>
    <w:rsid w:val="0072641C"/>
    <w:rsid w:val="00726B98"/>
    <w:rsid w:val="007271C7"/>
    <w:rsid w:val="00727C06"/>
    <w:rsid w:val="007302B6"/>
    <w:rsid w:val="007324FB"/>
    <w:rsid w:val="00732B71"/>
    <w:rsid w:val="00732D3C"/>
    <w:rsid w:val="00732E26"/>
    <w:rsid w:val="00732F1E"/>
    <w:rsid w:val="00733723"/>
    <w:rsid w:val="0073384F"/>
    <w:rsid w:val="00733DEC"/>
    <w:rsid w:val="00733F20"/>
    <w:rsid w:val="00734315"/>
    <w:rsid w:val="007343E8"/>
    <w:rsid w:val="00734EB2"/>
    <w:rsid w:val="00736209"/>
    <w:rsid w:val="00736350"/>
    <w:rsid w:val="00736AF5"/>
    <w:rsid w:val="00736E9C"/>
    <w:rsid w:val="00736EC4"/>
    <w:rsid w:val="00737E7E"/>
    <w:rsid w:val="00740874"/>
    <w:rsid w:val="00740AF8"/>
    <w:rsid w:val="007414FC"/>
    <w:rsid w:val="00741F24"/>
    <w:rsid w:val="00742211"/>
    <w:rsid w:val="00742634"/>
    <w:rsid w:val="00742B63"/>
    <w:rsid w:val="007430F1"/>
    <w:rsid w:val="007435B8"/>
    <w:rsid w:val="00744DDB"/>
    <w:rsid w:val="0074505D"/>
    <w:rsid w:val="00745B8D"/>
    <w:rsid w:val="00745F06"/>
    <w:rsid w:val="00747072"/>
    <w:rsid w:val="007500F8"/>
    <w:rsid w:val="00750112"/>
    <w:rsid w:val="007502D2"/>
    <w:rsid w:val="007503F5"/>
    <w:rsid w:val="007509DA"/>
    <w:rsid w:val="007512B4"/>
    <w:rsid w:val="00751967"/>
    <w:rsid w:val="00751E79"/>
    <w:rsid w:val="007527F3"/>
    <w:rsid w:val="00752CB4"/>
    <w:rsid w:val="007536F4"/>
    <w:rsid w:val="00753E32"/>
    <w:rsid w:val="00754430"/>
    <w:rsid w:val="00754648"/>
    <w:rsid w:val="00755F1B"/>
    <w:rsid w:val="007568C7"/>
    <w:rsid w:val="007569CB"/>
    <w:rsid w:val="0075715F"/>
    <w:rsid w:val="00757DFB"/>
    <w:rsid w:val="007617E0"/>
    <w:rsid w:val="00761D93"/>
    <w:rsid w:val="007623E7"/>
    <w:rsid w:val="00762672"/>
    <w:rsid w:val="00762C5C"/>
    <w:rsid w:val="007631D6"/>
    <w:rsid w:val="00763B80"/>
    <w:rsid w:val="00763ECC"/>
    <w:rsid w:val="0076437B"/>
    <w:rsid w:val="00764871"/>
    <w:rsid w:val="00765598"/>
    <w:rsid w:val="00765B45"/>
    <w:rsid w:val="007662A7"/>
    <w:rsid w:val="00767450"/>
    <w:rsid w:val="00767B7C"/>
    <w:rsid w:val="0077017F"/>
    <w:rsid w:val="00770293"/>
    <w:rsid w:val="00770BA5"/>
    <w:rsid w:val="007720D7"/>
    <w:rsid w:val="00773255"/>
    <w:rsid w:val="00773376"/>
    <w:rsid w:val="00773E6E"/>
    <w:rsid w:val="00773F5F"/>
    <w:rsid w:val="0077415A"/>
    <w:rsid w:val="00775313"/>
    <w:rsid w:val="007759E7"/>
    <w:rsid w:val="00775EDA"/>
    <w:rsid w:val="00776814"/>
    <w:rsid w:val="007769B8"/>
    <w:rsid w:val="00777B74"/>
    <w:rsid w:val="007800CD"/>
    <w:rsid w:val="00780B1F"/>
    <w:rsid w:val="00781A55"/>
    <w:rsid w:val="00782894"/>
    <w:rsid w:val="00782D79"/>
    <w:rsid w:val="0078347E"/>
    <w:rsid w:val="00783D82"/>
    <w:rsid w:val="00784E70"/>
    <w:rsid w:val="007850BB"/>
    <w:rsid w:val="007856C3"/>
    <w:rsid w:val="00785725"/>
    <w:rsid w:val="00785EB4"/>
    <w:rsid w:val="00786760"/>
    <w:rsid w:val="0078680E"/>
    <w:rsid w:val="0078692B"/>
    <w:rsid w:val="007879A4"/>
    <w:rsid w:val="00787E4C"/>
    <w:rsid w:val="00790349"/>
    <w:rsid w:val="0079121E"/>
    <w:rsid w:val="007914DE"/>
    <w:rsid w:val="007914E7"/>
    <w:rsid w:val="00791717"/>
    <w:rsid w:val="00791CD2"/>
    <w:rsid w:val="00791EEE"/>
    <w:rsid w:val="0079294A"/>
    <w:rsid w:val="00792A7D"/>
    <w:rsid w:val="00792ACE"/>
    <w:rsid w:val="00794623"/>
    <w:rsid w:val="00795178"/>
    <w:rsid w:val="00795735"/>
    <w:rsid w:val="0079624E"/>
    <w:rsid w:val="007963A2"/>
    <w:rsid w:val="0079651F"/>
    <w:rsid w:val="00797DC0"/>
    <w:rsid w:val="007A0492"/>
    <w:rsid w:val="007A10E2"/>
    <w:rsid w:val="007A238C"/>
    <w:rsid w:val="007A3BBC"/>
    <w:rsid w:val="007A4C59"/>
    <w:rsid w:val="007A6493"/>
    <w:rsid w:val="007A6E28"/>
    <w:rsid w:val="007A7F5D"/>
    <w:rsid w:val="007B1C5F"/>
    <w:rsid w:val="007B27AE"/>
    <w:rsid w:val="007B3A1E"/>
    <w:rsid w:val="007B484D"/>
    <w:rsid w:val="007B559F"/>
    <w:rsid w:val="007B57AA"/>
    <w:rsid w:val="007B58D8"/>
    <w:rsid w:val="007B7160"/>
    <w:rsid w:val="007B7D0D"/>
    <w:rsid w:val="007C133F"/>
    <w:rsid w:val="007C15FD"/>
    <w:rsid w:val="007C1FED"/>
    <w:rsid w:val="007C2239"/>
    <w:rsid w:val="007C330D"/>
    <w:rsid w:val="007C495C"/>
    <w:rsid w:val="007C532A"/>
    <w:rsid w:val="007C5697"/>
    <w:rsid w:val="007C7675"/>
    <w:rsid w:val="007D0261"/>
    <w:rsid w:val="007D08AF"/>
    <w:rsid w:val="007D0B68"/>
    <w:rsid w:val="007D1737"/>
    <w:rsid w:val="007D198E"/>
    <w:rsid w:val="007D1D93"/>
    <w:rsid w:val="007D2B20"/>
    <w:rsid w:val="007D3665"/>
    <w:rsid w:val="007D3749"/>
    <w:rsid w:val="007D3A33"/>
    <w:rsid w:val="007D3BDA"/>
    <w:rsid w:val="007D407D"/>
    <w:rsid w:val="007D4404"/>
    <w:rsid w:val="007D453A"/>
    <w:rsid w:val="007D63AB"/>
    <w:rsid w:val="007D7CAF"/>
    <w:rsid w:val="007E015D"/>
    <w:rsid w:val="007E0D31"/>
    <w:rsid w:val="007E14EE"/>
    <w:rsid w:val="007E2013"/>
    <w:rsid w:val="007E34B8"/>
    <w:rsid w:val="007E38BF"/>
    <w:rsid w:val="007E4544"/>
    <w:rsid w:val="007E48CE"/>
    <w:rsid w:val="007E5008"/>
    <w:rsid w:val="007E5D12"/>
    <w:rsid w:val="007E6B64"/>
    <w:rsid w:val="007E6B95"/>
    <w:rsid w:val="007E76D2"/>
    <w:rsid w:val="007F1399"/>
    <w:rsid w:val="007F1BE8"/>
    <w:rsid w:val="007F1ED5"/>
    <w:rsid w:val="007F2058"/>
    <w:rsid w:val="007F3DD7"/>
    <w:rsid w:val="007F427F"/>
    <w:rsid w:val="007F4292"/>
    <w:rsid w:val="007F4330"/>
    <w:rsid w:val="007F4D3D"/>
    <w:rsid w:val="007F60CB"/>
    <w:rsid w:val="007F707E"/>
    <w:rsid w:val="007F77A8"/>
    <w:rsid w:val="00800584"/>
    <w:rsid w:val="00800618"/>
    <w:rsid w:val="008011EF"/>
    <w:rsid w:val="00801238"/>
    <w:rsid w:val="008012DD"/>
    <w:rsid w:val="008014A1"/>
    <w:rsid w:val="00801732"/>
    <w:rsid w:val="00802394"/>
    <w:rsid w:val="008025BE"/>
    <w:rsid w:val="0080282A"/>
    <w:rsid w:val="00803713"/>
    <w:rsid w:val="00803D70"/>
    <w:rsid w:val="00804736"/>
    <w:rsid w:val="00804AE8"/>
    <w:rsid w:val="00804C4E"/>
    <w:rsid w:val="008051C2"/>
    <w:rsid w:val="008055E0"/>
    <w:rsid w:val="00807424"/>
    <w:rsid w:val="0080761D"/>
    <w:rsid w:val="00807ACD"/>
    <w:rsid w:val="00810640"/>
    <w:rsid w:val="00810A5F"/>
    <w:rsid w:val="00810A65"/>
    <w:rsid w:val="00810C3E"/>
    <w:rsid w:val="008110DB"/>
    <w:rsid w:val="0081183F"/>
    <w:rsid w:val="00811D84"/>
    <w:rsid w:val="0081286B"/>
    <w:rsid w:val="00814625"/>
    <w:rsid w:val="00815836"/>
    <w:rsid w:val="008166FE"/>
    <w:rsid w:val="00817634"/>
    <w:rsid w:val="0082075E"/>
    <w:rsid w:val="00820FB6"/>
    <w:rsid w:val="008216ED"/>
    <w:rsid w:val="008228AF"/>
    <w:rsid w:val="00822CFC"/>
    <w:rsid w:val="008236CF"/>
    <w:rsid w:val="008237B8"/>
    <w:rsid w:val="00823A36"/>
    <w:rsid w:val="00823AC2"/>
    <w:rsid w:val="00824815"/>
    <w:rsid w:val="00825145"/>
    <w:rsid w:val="00826B2A"/>
    <w:rsid w:val="00827BE6"/>
    <w:rsid w:val="00827DD5"/>
    <w:rsid w:val="0083034B"/>
    <w:rsid w:val="008303B2"/>
    <w:rsid w:val="00830CC4"/>
    <w:rsid w:val="008321F0"/>
    <w:rsid w:val="00832D00"/>
    <w:rsid w:val="008340D5"/>
    <w:rsid w:val="00834959"/>
    <w:rsid w:val="00834ACD"/>
    <w:rsid w:val="00834D3D"/>
    <w:rsid w:val="00835850"/>
    <w:rsid w:val="00837EB5"/>
    <w:rsid w:val="00842180"/>
    <w:rsid w:val="00842571"/>
    <w:rsid w:val="008432DF"/>
    <w:rsid w:val="00843EA2"/>
    <w:rsid w:val="00844D9C"/>
    <w:rsid w:val="008450FF"/>
    <w:rsid w:val="00845590"/>
    <w:rsid w:val="008461DE"/>
    <w:rsid w:val="00846B34"/>
    <w:rsid w:val="008476DF"/>
    <w:rsid w:val="0085035F"/>
    <w:rsid w:val="008507A7"/>
    <w:rsid w:val="0085086B"/>
    <w:rsid w:val="008519A3"/>
    <w:rsid w:val="00852070"/>
    <w:rsid w:val="00853D9B"/>
    <w:rsid w:val="00854CE8"/>
    <w:rsid w:val="00854CF6"/>
    <w:rsid w:val="00854D7C"/>
    <w:rsid w:val="00854E58"/>
    <w:rsid w:val="0085546F"/>
    <w:rsid w:val="008556A5"/>
    <w:rsid w:val="00855A20"/>
    <w:rsid w:val="00856BEF"/>
    <w:rsid w:val="00857203"/>
    <w:rsid w:val="00857245"/>
    <w:rsid w:val="008578BB"/>
    <w:rsid w:val="008579A5"/>
    <w:rsid w:val="00857A72"/>
    <w:rsid w:val="00857C92"/>
    <w:rsid w:val="008604D7"/>
    <w:rsid w:val="0086050F"/>
    <w:rsid w:val="00861363"/>
    <w:rsid w:val="00862AFA"/>
    <w:rsid w:val="00862D85"/>
    <w:rsid w:val="0086416A"/>
    <w:rsid w:val="008644D9"/>
    <w:rsid w:val="00864A3F"/>
    <w:rsid w:val="00864D24"/>
    <w:rsid w:val="00864DF5"/>
    <w:rsid w:val="008658D0"/>
    <w:rsid w:val="00865CB4"/>
    <w:rsid w:val="008670A7"/>
    <w:rsid w:val="0086768E"/>
    <w:rsid w:val="008706CE"/>
    <w:rsid w:val="0087094C"/>
    <w:rsid w:val="00870D69"/>
    <w:rsid w:val="00870DA6"/>
    <w:rsid w:val="008710A8"/>
    <w:rsid w:val="008713D9"/>
    <w:rsid w:val="0087184F"/>
    <w:rsid w:val="00871DDE"/>
    <w:rsid w:val="00872984"/>
    <w:rsid w:val="0087389C"/>
    <w:rsid w:val="00873C9F"/>
    <w:rsid w:val="00874511"/>
    <w:rsid w:val="00876682"/>
    <w:rsid w:val="0087695F"/>
    <w:rsid w:val="0087731F"/>
    <w:rsid w:val="00880BB1"/>
    <w:rsid w:val="0088132F"/>
    <w:rsid w:val="008813CB"/>
    <w:rsid w:val="00881612"/>
    <w:rsid w:val="00881D55"/>
    <w:rsid w:val="008822D6"/>
    <w:rsid w:val="00882927"/>
    <w:rsid w:val="00883087"/>
    <w:rsid w:val="0088429A"/>
    <w:rsid w:val="0088456E"/>
    <w:rsid w:val="008848CB"/>
    <w:rsid w:val="00884D6C"/>
    <w:rsid w:val="00885AD4"/>
    <w:rsid w:val="008863F9"/>
    <w:rsid w:val="00886FA8"/>
    <w:rsid w:val="00890F89"/>
    <w:rsid w:val="00891928"/>
    <w:rsid w:val="00891EAA"/>
    <w:rsid w:val="008927B3"/>
    <w:rsid w:val="00892E6B"/>
    <w:rsid w:val="00893D5E"/>
    <w:rsid w:val="00894054"/>
    <w:rsid w:val="0089405F"/>
    <w:rsid w:val="00897684"/>
    <w:rsid w:val="00897ADA"/>
    <w:rsid w:val="00897DE4"/>
    <w:rsid w:val="008A153B"/>
    <w:rsid w:val="008A16C6"/>
    <w:rsid w:val="008A1A3B"/>
    <w:rsid w:val="008A1CF7"/>
    <w:rsid w:val="008A3305"/>
    <w:rsid w:val="008A34B3"/>
    <w:rsid w:val="008A4AF2"/>
    <w:rsid w:val="008A4E0A"/>
    <w:rsid w:val="008A51E6"/>
    <w:rsid w:val="008A5324"/>
    <w:rsid w:val="008A76D8"/>
    <w:rsid w:val="008A7C33"/>
    <w:rsid w:val="008B0831"/>
    <w:rsid w:val="008B09B2"/>
    <w:rsid w:val="008B1BA8"/>
    <w:rsid w:val="008B1BCF"/>
    <w:rsid w:val="008B1CB5"/>
    <w:rsid w:val="008B1ECF"/>
    <w:rsid w:val="008B1FD6"/>
    <w:rsid w:val="008B2B57"/>
    <w:rsid w:val="008B2C06"/>
    <w:rsid w:val="008B40C3"/>
    <w:rsid w:val="008B40C5"/>
    <w:rsid w:val="008B425D"/>
    <w:rsid w:val="008B51D0"/>
    <w:rsid w:val="008B57DD"/>
    <w:rsid w:val="008B5927"/>
    <w:rsid w:val="008B5ABB"/>
    <w:rsid w:val="008B5BE3"/>
    <w:rsid w:val="008B5E2F"/>
    <w:rsid w:val="008B6B02"/>
    <w:rsid w:val="008C059F"/>
    <w:rsid w:val="008C0A4A"/>
    <w:rsid w:val="008C0AD9"/>
    <w:rsid w:val="008C2E56"/>
    <w:rsid w:val="008C5706"/>
    <w:rsid w:val="008C5E29"/>
    <w:rsid w:val="008C5EA1"/>
    <w:rsid w:val="008C60A7"/>
    <w:rsid w:val="008C6897"/>
    <w:rsid w:val="008C775B"/>
    <w:rsid w:val="008C7D93"/>
    <w:rsid w:val="008D0634"/>
    <w:rsid w:val="008D0BF8"/>
    <w:rsid w:val="008D1B57"/>
    <w:rsid w:val="008D1E79"/>
    <w:rsid w:val="008D1F83"/>
    <w:rsid w:val="008D28FB"/>
    <w:rsid w:val="008D2E73"/>
    <w:rsid w:val="008D38CD"/>
    <w:rsid w:val="008D3AED"/>
    <w:rsid w:val="008D52E2"/>
    <w:rsid w:val="008D5CF4"/>
    <w:rsid w:val="008D5DAC"/>
    <w:rsid w:val="008D5ED9"/>
    <w:rsid w:val="008D6B25"/>
    <w:rsid w:val="008E03A0"/>
    <w:rsid w:val="008E20A5"/>
    <w:rsid w:val="008E251E"/>
    <w:rsid w:val="008E2E91"/>
    <w:rsid w:val="008E2EFF"/>
    <w:rsid w:val="008E36FC"/>
    <w:rsid w:val="008E3B3E"/>
    <w:rsid w:val="008E5958"/>
    <w:rsid w:val="008E5D5A"/>
    <w:rsid w:val="008E62B4"/>
    <w:rsid w:val="008E6FAC"/>
    <w:rsid w:val="008E7B00"/>
    <w:rsid w:val="008F032D"/>
    <w:rsid w:val="008F0AA6"/>
    <w:rsid w:val="008F0B36"/>
    <w:rsid w:val="008F0E65"/>
    <w:rsid w:val="008F1F50"/>
    <w:rsid w:val="008F27E7"/>
    <w:rsid w:val="008F3076"/>
    <w:rsid w:val="008F3291"/>
    <w:rsid w:val="008F3DD9"/>
    <w:rsid w:val="008F3E22"/>
    <w:rsid w:val="008F5115"/>
    <w:rsid w:val="008F57F0"/>
    <w:rsid w:val="008F65CE"/>
    <w:rsid w:val="008F68FC"/>
    <w:rsid w:val="008F6B01"/>
    <w:rsid w:val="008F74CC"/>
    <w:rsid w:val="008F7A81"/>
    <w:rsid w:val="0090058C"/>
    <w:rsid w:val="00900678"/>
    <w:rsid w:val="00900ECF"/>
    <w:rsid w:val="00902034"/>
    <w:rsid w:val="0090226A"/>
    <w:rsid w:val="009024E6"/>
    <w:rsid w:val="009034A3"/>
    <w:rsid w:val="009037A5"/>
    <w:rsid w:val="00903D14"/>
    <w:rsid w:val="009040D5"/>
    <w:rsid w:val="0090426B"/>
    <w:rsid w:val="0090432D"/>
    <w:rsid w:val="0090479A"/>
    <w:rsid w:val="0090492D"/>
    <w:rsid w:val="00904CD3"/>
    <w:rsid w:val="0090539A"/>
    <w:rsid w:val="009054CA"/>
    <w:rsid w:val="00905E18"/>
    <w:rsid w:val="0090601D"/>
    <w:rsid w:val="00906253"/>
    <w:rsid w:val="00906A86"/>
    <w:rsid w:val="009071C3"/>
    <w:rsid w:val="009075A6"/>
    <w:rsid w:val="00907B42"/>
    <w:rsid w:val="009102FB"/>
    <w:rsid w:val="00910EC2"/>
    <w:rsid w:val="009111DD"/>
    <w:rsid w:val="00911815"/>
    <w:rsid w:val="0091207C"/>
    <w:rsid w:val="009125D7"/>
    <w:rsid w:val="009137BD"/>
    <w:rsid w:val="0091455E"/>
    <w:rsid w:val="00914782"/>
    <w:rsid w:val="00914957"/>
    <w:rsid w:val="00914F0D"/>
    <w:rsid w:val="00915606"/>
    <w:rsid w:val="0091709F"/>
    <w:rsid w:val="0091724F"/>
    <w:rsid w:val="0091768B"/>
    <w:rsid w:val="00920391"/>
    <w:rsid w:val="00920E77"/>
    <w:rsid w:val="00921384"/>
    <w:rsid w:val="00921786"/>
    <w:rsid w:val="00921D5B"/>
    <w:rsid w:val="009227D3"/>
    <w:rsid w:val="00922A1E"/>
    <w:rsid w:val="0092314D"/>
    <w:rsid w:val="0092317C"/>
    <w:rsid w:val="00923F90"/>
    <w:rsid w:val="00924B38"/>
    <w:rsid w:val="00924C26"/>
    <w:rsid w:val="00924CA8"/>
    <w:rsid w:val="00924E19"/>
    <w:rsid w:val="0092523C"/>
    <w:rsid w:val="00925546"/>
    <w:rsid w:val="00925681"/>
    <w:rsid w:val="0092599E"/>
    <w:rsid w:val="009259A9"/>
    <w:rsid w:val="00927ABD"/>
    <w:rsid w:val="00927AEC"/>
    <w:rsid w:val="009310E1"/>
    <w:rsid w:val="00931892"/>
    <w:rsid w:val="009318C4"/>
    <w:rsid w:val="0093379E"/>
    <w:rsid w:val="00934050"/>
    <w:rsid w:val="0093432A"/>
    <w:rsid w:val="00934BC7"/>
    <w:rsid w:val="00934F1C"/>
    <w:rsid w:val="009362F7"/>
    <w:rsid w:val="00936387"/>
    <w:rsid w:val="009363AE"/>
    <w:rsid w:val="00936882"/>
    <w:rsid w:val="009368E9"/>
    <w:rsid w:val="00940B12"/>
    <w:rsid w:val="00941089"/>
    <w:rsid w:val="009410D2"/>
    <w:rsid w:val="00941BDF"/>
    <w:rsid w:val="00943B49"/>
    <w:rsid w:val="009457B2"/>
    <w:rsid w:val="009468B5"/>
    <w:rsid w:val="00947234"/>
    <w:rsid w:val="009475BC"/>
    <w:rsid w:val="00947642"/>
    <w:rsid w:val="00947AD1"/>
    <w:rsid w:val="00951E56"/>
    <w:rsid w:val="00951E77"/>
    <w:rsid w:val="00952382"/>
    <w:rsid w:val="009524D8"/>
    <w:rsid w:val="009536B3"/>
    <w:rsid w:val="009544FA"/>
    <w:rsid w:val="00955E8B"/>
    <w:rsid w:val="00955F91"/>
    <w:rsid w:val="0095734B"/>
    <w:rsid w:val="00960666"/>
    <w:rsid w:val="00960AF3"/>
    <w:rsid w:val="00961366"/>
    <w:rsid w:val="00962D6E"/>
    <w:rsid w:val="00963C22"/>
    <w:rsid w:val="00963EA1"/>
    <w:rsid w:val="009657F1"/>
    <w:rsid w:val="009662B5"/>
    <w:rsid w:val="0096694E"/>
    <w:rsid w:val="009675D4"/>
    <w:rsid w:val="00971280"/>
    <w:rsid w:val="0097296B"/>
    <w:rsid w:val="009739EC"/>
    <w:rsid w:val="00973D25"/>
    <w:rsid w:val="009741E6"/>
    <w:rsid w:val="00974F41"/>
    <w:rsid w:val="00975020"/>
    <w:rsid w:val="00975897"/>
    <w:rsid w:val="009760D5"/>
    <w:rsid w:val="00977494"/>
    <w:rsid w:val="00977560"/>
    <w:rsid w:val="00977966"/>
    <w:rsid w:val="00980D0E"/>
    <w:rsid w:val="00982C43"/>
    <w:rsid w:val="00983253"/>
    <w:rsid w:val="009849C3"/>
    <w:rsid w:val="009849D6"/>
    <w:rsid w:val="0098573D"/>
    <w:rsid w:val="009864B3"/>
    <w:rsid w:val="00986987"/>
    <w:rsid w:val="00986FBA"/>
    <w:rsid w:val="009871A1"/>
    <w:rsid w:val="009874B3"/>
    <w:rsid w:val="00990910"/>
    <w:rsid w:val="00990C05"/>
    <w:rsid w:val="00990EC7"/>
    <w:rsid w:val="0099107D"/>
    <w:rsid w:val="0099115C"/>
    <w:rsid w:val="00991977"/>
    <w:rsid w:val="00991F8F"/>
    <w:rsid w:val="00992D27"/>
    <w:rsid w:val="009942F4"/>
    <w:rsid w:val="009943D0"/>
    <w:rsid w:val="00994BBC"/>
    <w:rsid w:val="00995A0C"/>
    <w:rsid w:val="0099621F"/>
    <w:rsid w:val="00996B59"/>
    <w:rsid w:val="0099706A"/>
    <w:rsid w:val="009977A0"/>
    <w:rsid w:val="009A03EC"/>
    <w:rsid w:val="009A1B0F"/>
    <w:rsid w:val="009A2E00"/>
    <w:rsid w:val="009A37C1"/>
    <w:rsid w:val="009A38AC"/>
    <w:rsid w:val="009A4E6E"/>
    <w:rsid w:val="009A5062"/>
    <w:rsid w:val="009A52FB"/>
    <w:rsid w:val="009A5670"/>
    <w:rsid w:val="009A5EED"/>
    <w:rsid w:val="009A5F34"/>
    <w:rsid w:val="009A6721"/>
    <w:rsid w:val="009A7049"/>
    <w:rsid w:val="009A7266"/>
    <w:rsid w:val="009A7340"/>
    <w:rsid w:val="009A7728"/>
    <w:rsid w:val="009B08AF"/>
    <w:rsid w:val="009B155F"/>
    <w:rsid w:val="009B4247"/>
    <w:rsid w:val="009B4439"/>
    <w:rsid w:val="009B50C0"/>
    <w:rsid w:val="009B5366"/>
    <w:rsid w:val="009B5D60"/>
    <w:rsid w:val="009B688B"/>
    <w:rsid w:val="009B7797"/>
    <w:rsid w:val="009C150E"/>
    <w:rsid w:val="009C1759"/>
    <w:rsid w:val="009C247D"/>
    <w:rsid w:val="009C3599"/>
    <w:rsid w:val="009C3631"/>
    <w:rsid w:val="009C39A5"/>
    <w:rsid w:val="009C3A6E"/>
    <w:rsid w:val="009C3DE1"/>
    <w:rsid w:val="009C529A"/>
    <w:rsid w:val="009C537B"/>
    <w:rsid w:val="009C792B"/>
    <w:rsid w:val="009D016C"/>
    <w:rsid w:val="009D094A"/>
    <w:rsid w:val="009D0FF8"/>
    <w:rsid w:val="009D1029"/>
    <w:rsid w:val="009D201A"/>
    <w:rsid w:val="009D3FC5"/>
    <w:rsid w:val="009D42D1"/>
    <w:rsid w:val="009D4AF7"/>
    <w:rsid w:val="009D4EC7"/>
    <w:rsid w:val="009D51E0"/>
    <w:rsid w:val="009D53E5"/>
    <w:rsid w:val="009D542B"/>
    <w:rsid w:val="009D57C6"/>
    <w:rsid w:val="009E0F65"/>
    <w:rsid w:val="009E1209"/>
    <w:rsid w:val="009E15DC"/>
    <w:rsid w:val="009E1D5F"/>
    <w:rsid w:val="009E2738"/>
    <w:rsid w:val="009E6135"/>
    <w:rsid w:val="009E6816"/>
    <w:rsid w:val="009E6963"/>
    <w:rsid w:val="009E6C18"/>
    <w:rsid w:val="009E6FDF"/>
    <w:rsid w:val="009E7F83"/>
    <w:rsid w:val="009F0361"/>
    <w:rsid w:val="009F0732"/>
    <w:rsid w:val="009F1DF6"/>
    <w:rsid w:val="009F30BE"/>
    <w:rsid w:val="009F3324"/>
    <w:rsid w:val="009F38F4"/>
    <w:rsid w:val="009F44E1"/>
    <w:rsid w:val="009F4F1E"/>
    <w:rsid w:val="009F696E"/>
    <w:rsid w:val="009F7645"/>
    <w:rsid w:val="009F7C23"/>
    <w:rsid w:val="009F7E64"/>
    <w:rsid w:val="00A0002B"/>
    <w:rsid w:val="00A007CA"/>
    <w:rsid w:val="00A00FDC"/>
    <w:rsid w:val="00A0111D"/>
    <w:rsid w:val="00A01760"/>
    <w:rsid w:val="00A0261F"/>
    <w:rsid w:val="00A0369E"/>
    <w:rsid w:val="00A04005"/>
    <w:rsid w:val="00A041E3"/>
    <w:rsid w:val="00A05403"/>
    <w:rsid w:val="00A059A8"/>
    <w:rsid w:val="00A06E76"/>
    <w:rsid w:val="00A07440"/>
    <w:rsid w:val="00A0748D"/>
    <w:rsid w:val="00A075AF"/>
    <w:rsid w:val="00A078F4"/>
    <w:rsid w:val="00A11410"/>
    <w:rsid w:val="00A11572"/>
    <w:rsid w:val="00A126B8"/>
    <w:rsid w:val="00A12FD4"/>
    <w:rsid w:val="00A1373F"/>
    <w:rsid w:val="00A13E1D"/>
    <w:rsid w:val="00A148DE"/>
    <w:rsid w:val="00A157A3"/>
    <w:rsid w:val="00A162DA"/>
    <w:rsid w:val="00A163E1"/>
    <w:rsid w:val="00A1648E"/>
    <w:rsid w:val="00A178E3"/>
    <w:rsid w:val="00A20D31"/>
    <w:rsid w:val="00A217DC"/>
    <w:rsid w:val="00A235BC"/>
    <w:rsid w:val="00A24DC1"/>
    <w:rsid w:val="00A25153"/>
    <w:rsid w:val="00A254C9"/>
    <w:rsid w:val="00A25AEA"/>
    <w:rsid w:val="00A27923"/>
    <w:rsid w:val="00A279E0"/>
    <w:rsid w:val="00A27F50"/>
    <w:rsid w:val="00A3029D"/>
    <w:rsid w:val="00A30545"/>
    <w:rsid w:val="00A30F5C"/>
    <w:rsid w:val="00A31886"/>
    <w:rsid w:val="00A31FB2"/>
    <w:rsid w:val="00A323F6"/>
    <w:rsid w:val="00A326E2"/>
    <w:rsid w:val="00A346AB"/>
    <w:rsid w:val="00A354FD"/>
    <w:rsid w:val="00A36122"/>
    <w:rsid w:val="00A364A9"/>
    <w:rsid w:val="00A37149"/>
    <w:rsid w:val="00A408B3"/>
    <w:rsid w:val="00A41B4E"/>
    <w:rsid w:val="00A4220F"/>
    <w:rsid w:val="00A42700"/>
    <w:rsid w:val="00A42804"/>
    <w:rsid w:val="00A43454"/>
    <w:rsid w:val="00A4396F"/>
    <w:rsid w:val="00A443B4"/>
    <w:rsid w:val="00A44900"/>
    <w:rsid w:val="00A4546B"/>
    <w:rsid w:val="00A4573B"/>
    <w:rsid w:val="00A46381"/>
    <w:rsid w:val="00A5068D"/>
    <w:rsid w:val="00A50CDA"/>
    <w:rsid w:val="00A514C2"/>
    <w:rsid w:val="00A51A65"/>
    <w:rsid w:val="00A524C9"/>
    <w:rsid w:val="00A531B8"/>
    <w:rsid w:val="00A5373E"/>
    <w:rsid w:val="00A5420B"/>
    <w:rsid w:val="00A54260"/>
    <w:rsid w:val="00A543D7"/>
    <w:rsid w:val="00A544D3"/>
    <w:rsid w:val="00A55036"/>
    <w:rsid w:val="00A555EF"/>
    <w:rsid w:val="00A5576F"/>
    <w:rsid w:val="00A55F8E"/>
    <w:rsid w:val="00A57083"/>
    <w:rsid w:val="00A572AC"/>
    <w:rsid w:val="00A5788E"/>
    <w:rsid w:val="00A578F2"/>
    <w:rsid w:val="00A57D0D"/>
    <w:rsid w:val="00A57D88"/>
    <w:rsid w:val="00A57E46"/>
    <w:rsid w:val="00A60138"/>
    <w:rsid w:val="00A60377"/>
    <w:rsid w:val="00A603BD"/>
    <w:rsid w:val="00A6045C"/>
    <w:rsid w:val="00A60620"/>
    <w:rsid w:val="00A608A7"/>
    <w:rsid w:val="00A60C62"/>
    <w:rsid w:val="00A60FDF"/>
    <w:rsid w:val="00A61BDB"/>
    <w:rsid w:val="00A62996"/>
    <w:rsid w:val="00A6300E"/>
    <w:rsid w:val="00A6304B"/>
    <w:rsid w:val="00A6304C"/>
    <w:rsid w:val="00A63D0B"/>
    <w:rsid w:val="00A64E63"/>
    <w:rsid w:val="00A6557A"/>
    <w:rsid w:val="00A669DD"/>
    <w:rsid w:val="00A67A20"/>
    <w:rsid w:val="00A67B91"/>
    <w:rsid w:val="00A70035"/>
    <w:rsid w:val="00A70B70"/>
    <w:rsid w:val="00A71C3C"/>
    <w:rsid w:val="00A72B71"/>
    <w:rsid w:val="00A733B1"/>
    <w:rsid w:val="00A739C2"/>
    <w:rsid w:val="00A74252"/>
    <w:rsid w:val="00A743AE"/>
    <w:rsid w:val="00A74599"/>
    <w:rsid w:val="00A74A28"/>
    <w:rsid w:val="00A7590B"/>
    <w:rsid w:val="00A75D5D"/>
    <w:rsid w:val="00A769E7"/>
    <w:rsid w:val="00A80745"/>
    <w:rsid w:val="00A80F19"/>
    <w:rsid w:val="00A83C47"/>
    <w:rsid w:val="00A83D6F"/>
    <w:rsid w:val="00A84E49"/>
    <w:rsid w:val="00A8518F"/>
    <w:rsid w:val="00A8530B"/>
    <w:rsid w:val="00A87185"/>
    <w:rsid w:val="00A875F4"/>
    <w:rsid w:val="00A901C3"/>
    <w:rsid w:val="00A91D04"/>
    <w:rsid w:val="00A92880"/>
    <w:rsid w:val="00A9361D"/>
    <w:rsid w:val="00A93FA5"/>
    <w:rsid w:val="00A9499D"/>
    <w:rsid w:val="00A94EDE"/>
    <w:rsid w:val="00A9550F"/>
    <w:rsid w:val="00A95795"/>
    <w:rsid w:val="00A957F7"/>
    <w:rsid w:val="00A95E9E"/>
    <w:rsid w:val="00A96E4F"/>
    <w:rsid w:val="00A97493"/>
    <w:rsid w:val="00AA01B2"/>
    <w:rsid w:val="00AA039A"/>
    <w:rsid w:val="00AA097A"/>
    <w:rsid w:val="00AA1872"/>
    <w:rsid w:val="00AA231E"/>
    <w:rsid w:val="00AA29AC"/>
    <w:rsid w:val="00AA302D"/>
    <w:rsid w:val="00AA3C19"/>
    <w:rsid w:val="00AA4E7B"/>
    <w:rsid w:val="00AA6E38"/>
    <w:rsid w:val="00AA724E"/>
    <w:rsid w:val="00AA73DF"/>
    <w:rsid w:val="00AA7A4C"/>
    <w:rsid w:val="00AB0E05"/>
    <w:rsid w:val="00AB134A"/>
    <w:rsid w:val="00AB1442"/>
    <w:rsid w:val="00AB18E1"/>
    <w:rsid w:val="00AB1E1A"/>
    <w:rsid w:val="00AB347F"/>
    <w:rsid w:val="00AB564F"/>
    <w:rsid w:val="00AB5712"/>
    <w:rsid w:val="00AB637B"/>
    <w:rsid w:val="00AB70BA"/>
    <w:rsid w:val="00AB7EE2"/>
    <w:rsid w:val="00AC02AB"/>
    <w:rsid w:val="00AC0550"/>
    <w:rsid w:val="00AC0930"/>
    <w:rsid w:val="00AC0A32"/>
    <w:rsid w:val="00AC0D80"/>
    <w:rsid w:val="00AC1411"/>
    <w:rsid w:val="00AC158F"/>
    <w:rsid w:val="00AC1F90"/>
    <w:rsid w:val="00AC22EB"/>
    <w:rsid w:val="00AC3D10"/>
    <w:rsid w:val="00AC4574"/>
    <w:rsid w:val="00AC4777"/>
    <w:rsid w:val="00AC49CA"/>
    <w:rsid w:val="00AC509C"/>
    <w:rsid w:val="00AC51D1"/>
    <w:rsid w:val="00AC670E"/>
    <w:rsid w:val="00AC6BE1"/>
    <w:rsid w:val="00AC7125"/>
    <w:rsid w:val="00AD075A"/>
    <w:rsid w:val="00AD2F5F"/>
    <w:rsid w:val="00AD30C5"/>
    <w:rsid w:val="00AD3927"/>
    <w:rsid w:val="00AD3F70"/>
    <w:rsid w:val="00AD44FD"/>
    <w:rsid w:val="00AD5DFF"/>
    <w:rsid w:val="00AD7750"/>
    <w:rsid w:val="00AD79D3"/>
    <w:rsid w:val="00AD7FA1"/>
    <w:rsid w:val="00AE05FF"/>
    <w:rsid w:val="00AE0D88"/>
    <w:rsid w:val="00AE1045"/>
    <w:rsid w:val="00AE1543"/>
    <w:rsid w:val="00AE2C15"/>
    <w:rsid w:val="00AE37E8"/>
    <w:rsid w:val="00AE386F"/>
    <w:rsid w:val="00AE41E3"/>
    <w:rsid w:val="00AE5B95"/>
    <w:rsid w:val="00AE645A"/>
    <w:rsid w:val="00AE6D61"/>
    <w:rsid w:val="00AE721A"/>
    <w:rsid w:val="00AE743D"/>
    <w:rsid w:val="00AE778B"/>
    <w:rsid w:val="00AF0DE1"/>
    <w:rsid w:val="00AF105E"/>
    <w:rsid w:val="00AF1475"/>
    <w:rsid w:val="00AF1707"/>
    <w:rsid w:val="00AF21BD"/>
    <w:rsid w:val="00AF3038"/>
    <w:rsid w:val="00AF3418"/>
    <w:rsid w:val="00AF3B84"/>
    <w:rsid w:val="00AF3BD9"/>
    <w:rsid w:val="00AF4A02"/>
    <w:rsid w:val="00AF5217"/>
    <w:rsid w:val="00AF5446"/>
    <w:rsid w:val="00AF5689"/>
    <w:rsid w:val="00AF591B"/>
    <w:rsid w:val="00AF5FC6"/>
    <w:rsid w:val="00AF6A47"/>
    <w:rsid w:val="00AF6B88"/>
    <w:rsid w:val="00AF6D02"/>
    <w:rsid w:val="00AF7161"/>
    <w:rsid w:val="00AF77C3"/>
    <w:rsid w:val="00AF78D7"/>
    <w:rsid w:val="00AF7924"/>
    <w:rsid w:val="00AF7A53"/>
    <w:rsid w:val="00B00462"/>
    <w:rsid w:val="00B006A5"/>
    <w:rsid w:val="00B0088B"/>
    <w:rsid w:val="00B00C83"/>
    <w:rsid w:val="00B0100F"/>
    <w:rsid w:val="00B01506"/>
    <w:rsid w:val="00B0151A"/>
    <w:rsid w:val="00B018E1"/>
    <w:rsid w:val="00B0194F"/>
    <w:rsid w:val="00B01BAB"/>
    <w:rsid w:val="00B01C44"/>
    <w:rsid w:val="00B02253"/>
    <w:rsid w:val="00B02737"/>
    <w:rsid w:val="00B03A4A"/>
    <w:rsid w:val="00B03D51"/>
    <w:rsid w:val="00B04AE3"/>
    <w:rsid w:val="00B04BBF"/>
    <w:rsid w:val="00B05776"/>
    <w:rsid w:val="00B06817"/>
    <w:rsid w:val="00B102F3"/>
    <w:rsid w:val="00B104B4"/>
    <w:rsid w:val="00B1090A"/>
    <w:rsid w:val="00B1215F"/>
    <w:rsid w:val="00B12906"/>
    <w:rsid w:val="00B132D2"/>
    <w:rsid w:val="00B13CAF"/>
    <w:rsid w:val="00B13ED5"/>
    <w:rsid w:val="00B141BB"/>
    <w:rsid w:val="00B16AB3"/>
    <w:rsid w:val="00B176B7"/>
    <w:rsid w:val="00B17876"/>
    <w:rsid w:val="00B216E8"/>
    <w:rsid w:val="00B21794"/>
    <w:rsid w:val="00B2189F"/>
    <w:rsid w:val="00B21CC8"/>
    <w:rsid w:val="00B224D7"/>
    <w:rsid w:val="00B226CE"/>
    <w:rsid w:val="00B22E61"/>
    <w:rsid w:val="00B25392"/>
    <w:rsid w:val="00B2547E"/>
    <w:rsid w:val="00B267E4"/>
    <w:rsid w:val="00B26DB7"/>
    <w:rsid w:val="00B2725C"/>
    <w:rsid w:val="00B27674"/>
    <w:rsid w:val="00B279D6"/>
    <w:rsid w:val="00B30B95"/>
    <w:rsid w:val="00B33469"/>
    <w:rsid w:val="00B33AF5"/>
    <w:rsid w:val="00B33B10"/>
    <w:rsid w:val="00B33F8C"/>
    <w:rsid w:val="00B340E5"/>
    <w:rsid w:val="00B3456A"/>
    <w:rsid w:val="00B34594"/>
    <w:rsid w:val="00B352B6"/>
    <w:rsid w:val="00B35AEF"/>
    <w:rsid w:val="00B36688"/>
    <w:rsid w:val="00B36733"/>
    <w:rsid w:val="00B368C4"/>
    <w:rsid w:val="00B36F6A"/>
    <w:rsid w:val="00B3792D"/>
    <w:rsid w:val="00B37B4C"/>
    <w:rsid w:val="00B4073A"/>
    <w:rsid w:val="00B411D3"/>
    <w:rsid w:val="00B412E3"/>
    <w:rsid w:val="00B414F2"/>
    <w:rsid w:val="00B41EC7"/>
    <w:rsid w:val="00B42CDA"/>
    <w:rsid w:val="00B43096"/>
    <w:rsid w:val="00B43124"/>
    <w:rsid w:val="00B434E8"/>
    <w:rsid w:val="00B44210"/>
    <w:rsid w:val="00B443BC"/>
    <w:rsid w:val="00B445DE"/>
    <w:rsid w:val="00B44C11"/>
    <w:rsid w:val="00B45267"/>
    <w:rsid w:val="00B455E5"/>
    <w:rsid w:val="00B457CD"/>
    <w:rsid w:val="00B45969"/>
    <w:rsid w:val="00B46465"/>
    <w:rsid w:val="00B466AA"/>
    <w:rsid w:val="00B467E6"/>
    <w:rsid w:val="00B47F5F"/>
    <w:rsid w:val="00B50157"/>
    <w:rsid w:val="00B5039F"/>
    <w:rsid w:val="00B50BB3"/>
    <w:rsid w:val="00B51D6E"/>
    <w:rsid w:val="00B5309D"/>
    <w:rsid w:val="00B535EE"/>
    <w:rsid w:val="00B53817"/>
    <w:rsid w:val="00B53D45"/>
    <w:rsid w:val="00B540D4"/>
    <w:rsid w:val="00B54605"/>
    <w:rsid w:val="00B547D8"/>
    <w:rsid w:val="00B54BCB"/>
    <w:rsid w:val="00B55445"/>
    <w:rsid w:val="00B5557F"/>
    <w:rsid w:val="00B55FFB"/>
    <w:rsid w:val="00B5745B"/>
    <w:rsid w:val="00B57C2E"/>
    <w:rsid w:val="00B57D9F"/>
    <w:rsid w:val="00B60659"/>
    <w:rsid w:val="00B60CBD"/>
    <w:rsid w:val="00B60CE9"/>
    <w:rsid w:val="00B60F31"/>
    <w:rsid w:val="00B61432"/>
    <w:rsid w:val="00B61F7A"/>
    <w:rsid w:val="00B61F98"/>
    <w:rsid w:val="00B6289B"/>
    <w:rsid w:val="00B6416D"/>
    <w:rsid w:val="00B645E8"/>
    <w:rsid w:val="00B6469A"/>
    <w:rsid w:val="00B6485E"/>
    <w:rsid w:val="00B64987"/>
    <w:rsid w:val="00B64A14"/>
    <w:rsid w:val="00B64A1B"/>
    <w:rsid w:val="00B64B24"/>
    <w:rsid w:val="00B65131"/>
    <w:rsid w:val="00B65C26"/>
    <w:rsid w:val="00B66463"/>
    <w:rsid w:val="00B667EC"/>
    <w:rsid w:val="00B6789D"/>
    <w:rsid w:val="00B7018F"/>
    <w:rsid w:val="00B7080E"/>
    <w:rsid w:val="00B72E5C"/>
    <w:rsid w:val="00B731EE"/>
    <w:rsid w:val="00B737FC"/>
    <w:rsid w:val="00B7389B"/>
    <w:rsid w:val="00B73CC9"/>
    <w:rsid w:val="00B73DEB"/>
    <w:rsid w:val="00B762FF"/>
    <w:rsid w:val="00B76B35"/>
    <w:rsid w:val="00B76BDB"/>
    <w:rsid w:val="00B77326"/>
    <w:rsid w:val="00B80325"/>
    <w:rsid w:val="00B808A0"/>
    <w:rsid w:val="00B81A34"/>
    <w:rsid w:val="00B81AF4"/>
    <w:rsid w:val="00B8237D"/>
    <w:rsid w:val="00B8284C"/>
    <w:rsid w:val="00B82A27"/>
    <w:rsid w:val="00B82BE4"/>
    <w:rsid w:val="00B839A2"/>
    <w:rsid w:val="00B84014"/>
    <w:rsid w:val="00B85287"/>
    <w:rsid w:val="00B85EF7"/>
    <w:rsid w:val="00B85FD2"/>
    <w:rsid w:val="00B86517"/>
    <w:rsid w:val="00B86AB3"/>
    <w:rsid w:val="00B86F2A"/>
    <w:rsid w:val="00B87352"/>
    <w:rsid w:val="00B87A8B"/>
    <w:rsid w:val="00B901B1"/>
    <w:rsid w:val="00B9104C"/>
    <w:rsid w:val="00B913E9"/>
    <w:rsid w:val="00B91A5D"/>
    <w:rsid w:val="00B91C99"/>
    <w:rsid w:val="00B91ECE"/>
    <w:rsid w:val="00B91F06"/>
    <w:rsid w:val="00B930FA"/>
    <w:rsid w:val="00B941A4"/>
    <w:rsid w:val="00B94229"/>
    <w:rsid w:val="00B94B8B"/>
    <w:rsid w:val="00B94D7C"/>
    <w:rsid w:val="00B94FFE"/>
    <w:rsid w:val="00B95321"/>
    <w:rsid w:val="00B95C9C"/>
    <w:rsid w:val="00B95E0E"/>
    <w:rsid w:val="00B969C9"/>
    <w:rsid w:val="00B97781"/>
    <w:rsid w:val="00B977DE"/>
    <w:rsid w:val="00BA068C"/>
    <w:rsid w:val="00BA073E"/>
    <w:rsid w:val="00BA0B14"/>
    <w:rsid w:val="00BA11AA"/>
    <w:rsid w:val="00BA1760"/>
    <w:rsid w:val="00BA26B3"/>
    <w:rsid w:val="00BA26B9"/>
    <w:rsid w:val="00BA39D6"/>
    <w:rsid w:val="00BA3A60"/>
    <w:rsid w:val="00BA47D3"/>
    <w:rsid w:val="00BA47E9"/>
    <w:rsid w:val="00BA499A"/>
    <w:rsid w:val="00BA4DFB"/>
    <w:rsid w:val="00BA5519"/>
    <w:rsid w:val="00BA5800"/>
    <w:rsid w:val="00BA5CB8"/>
    <w:rsid w:val="00BA7A02"/>
    <w:rsid w:val="00BA7B0D"/>
    <w:rsid w:val="00BB0DDB"/>
    <w:rsid w:val="00BB0F5E"/>
    <w:rsid w:val="00BB1339"/>
    <w:rsid w:val="00BB151E"/>
    <w:rsid w:val="00BB2B09"/>
    <w:rsid w:val="00BB3C96"/>
    <w:rsid w:val="00BB3E79"/>
    <w:rsid w:val="00BB3FB1"/>
    <w:rsid w:val="00BB47B6"/>
    <w:rsid w:val="00BB47E5"/>
    <w:rsid w:val="00BB6A4B"/>
    <w:rsid w:val="00BB6DAB"/>
    <w:rsid w:val="00BB6E16"/>
    <w:rsid w:val="00BC0B29"/>
    <w:rsid w:val="00BC0D54"/>
    <w:rsid w:val="00BC1548"/>
    <w:rsid w:val="00BC1D18"/>
    <w:rsid w:val="00BC310A"/>
    <w:rsid w:val="00BC4346"/>
    <w:rsid w:val="00BC50B4"/>
    <w:rsid w:val="00BC5314"/>
    <w:rsid w:val="00BC5B59"/>
    <w:rsid w:val="00BC5C32"/>
    <w:rsid w:val="00BC5D63"/>
    <w:rsid w:val="00BC6EF9"/>
    <w:rsid w:val="00BC7C96"/>
    <w:rsid w:val="00BD024C"/>
    <w:rsid w:val="00BD0574"/>
    <w:rsid w:val="00BD0F91"/>
    <w:rsid w:val="00BD1874"/>
    <w:rsid w:val="00BD2365"/>
    <w:rsid w:val="00BD2390"/>
    <w:rsid w:val="00BD2868"/>
    <w:rsid w:val="00BD32F2"/>
    <w:rsid w:val="00BD34BF"/>
    <w:rsid w:val="00BD3DA6"/>
    <w:rsid w:val="00BD4A9F"/>
    <w:rsid w:val="00BD5C4B"/>
    <w:rsid w:val="00BD608C"/>
    <w:rsid w:val="00BD6098"/>
    <w:rsid w:val="00BD645F"/>
    <w:rsid w:val="00BD687B"/>
    <w:rsid w:val="00BD7042"/>
    <w:rsid w:val="00BD7F75"/>
    <w:rsid w:val="00BD7FBE"/>
    <w:rsid w:val="00BE01E5"/>
    <w:rsid w:val="00BE1645"/>
    <w:rsid w:val="00BE34B4"/>
    <w:rsid w:val="00BE4311"/>
    <w:rsid w:val="00BE56AB"/>
    <w:rsid w:val="00BE5862"/>
    <w:rsid w:val="00BE5881"/>
    <w:rsid w:val="00BE5AC7"/>
    <w:rsid w:val="00BE5BDC"/>
    <w:rsid w:val="00BE60FE"/>
    <w:rsid w:val="00BE6202"/>
    <w:rsid w:val="00BE65E9"/>
    <w:rsid w:val="00BE6778"/>
    <w:rsid w:val="00BE6829"/>
    <w:rsid w:val="00BE7A38"/>
    <w:rsid w:val="00BE7AF9"/>
    <w:rsid w:val="00BF07DD"/>
    <w:rsid w:val="00BF1D5D"/>
    <w:rsid w:val="00BF2B3B"/>
    <w:rsid w:val="00BF311C"/>
    <w:rsid w:val="00BF4276"/>
    <w:rsid w:val="00BF45E5"/>
    <w:rsid w:val="00BF4BC4"/>
    <w:rsid w:val="00BF5344"/>
    <w:rsid w:val="00BF70B3"/>
    <w:rsid w:val="00BF7142"/>
    <w:rsid w:val="00BF7173"/>
    <w:rsid w:val="00BF7587"/>
    <w:rsid w:val="00BF7A6D"/>
    <w:rsid w:val="00BF7D77"/>
    <w:rsid w:val="00BF7F70"/>
    <w:rsid w:val="00C010B9"/>
    <w:rsid w:val="00C0110A"/>
    <w:rsid w:val="00C011B2"/>
    <w:rsid w:val="00C017D5"/>
    <w:rsid w:val="00C03836"/>
    <w:rsid w:val="00C03AC0"/>
    <w:rsid w:val="00C04611"/>
    <w:rsid w:val="00C04902"/>
    <w:rsid w:val="00C04DCB"/>
    <w:rsid w:val="00C05104"/>
    <w:rsid w:val="00C0516E"/>
    <w:rsid w:val="00C05F1C"/>
    <w:rsid w:val="00C061C1"/>
    <w:rsid w:val="00C06F40"/>
    <w:rsid w:val="00C07DD2"/>
    <w:rsid w:val="00C114A1"/>
    <w:rsid w:val="00C1211F"/>
    <w:rsid w:val="00C12524"/>
    <w:rsid w:val="00C1277B"/>
    <w:rsid w:val="00C12F3C"/>
    <w:rsid w:val="00C14051"/>
    <w:rsid w:val="00C145D9"/>
    <w:rsid w:val="00C1507F"/>
    <w:rsid w:val="00C15610"/>
    <w:rsid w:val="00C15A21"/>
    <w:rsid w:val="00C15D51"/>
    <w:rsid w:val="00C17E41"/>
    <w:rsid w:val="00C2205D"/>
    <w:rsid w:val="00C22FC5"/>
    <w:rsid w:val="00C23AA8"/>
    <w:rsid w:val="00C24820"/>
    <w:rsid w:val="00C2485B"/>
    <w:rsid w:val="00C24C81"/>
    <w:rsid w:val="00C24E29"/>
    <w:rsid w:val="00C27582"/>
    <w:rsid w:val="00C27AE8"/>
    <w:rsid w:val="00C27D3D"/>
    <w:rsid w:val="00C3204B"/>
    <w:rsid w:val="00C328DF"/>
    <w:rsid w:val="00C340ED"/>
    <w:rsid w:val="00C34CA7"/>
    <w:rsid w:val="00C35E08"/>
    <w:rsid w:val="00C36207"/>
    <w:rsid w:val="00C364D8"/>
    <w:rsid w:val="00C3666A"/>
    <w:rsid w:val="00C366F2"/>
    <w:rsid w:val="00C3791E"/>
    <w:rsid w:val="00C37923"/>
    <w:rsid w:val="00C37AA9"/>
    <w:rsid w:val="00C37BC8"/>
    <w:rsid w:val="00C401F0"/>
    <w:rsid w:val="00C40B87"/>
    <w:rsid w:val="00C41706"/>
    <w:rsid w:val="00C41A3D"/>
    <w:rsid w:val="00C41A7C"/>
    <w:rsid w:val="00C41DD8"/>
    <w:rsid w:val="00C425A3"/>
    <w:rsid w:val="00C42664"/>
    <w:rsid w:val="00C42AAF"/>
    <w:rsid w:val="00C432F8"/>
    <w:rsid w:val="00C4348B"/>
    <w:rsid w:val="00C43749"/>
    <w:rsid w:val="00C43DDA"/>
    <w:rsid w:val="00C44112"/>
    <w:rsid w:val="00C441D3"/>
    <w:rsid w:val="00C446AD"/>
    <w:rsid w:val="00C44860"/>
    <w:rsid w:val="00C44DD8"/>
    <w:rsid w:val="00C44DE1"/>
    <w:rsid w:val="00C4520C"/>
    <w:rsid w:val="00C45E2F"/>
    <w:rsid w:val="00C45F18"/>
    <w:rsid w:val="00C5056E"/>
    <w:rsid w:val="00C51320"/>
    <w:rsid w:val="00C51D7B"/>
    <w:rsid w:val="00C53A81"/>
    <w:rsid w:val="00C5431F"/>
    <w:rsid w:val="00C543CB"/>
    <w:rsid w:val="00C54B6D"/>
    <w:rsid w:val="00C54E62"/>
    <w:rsid w:val="00C558B5"/>
    <w:rsid w:val="00C55906"/>
    <w:rsid w:val="00C57800"/>
    <w:rsid w:val="00C60675"/>
    <w:rsid w:val="00C60B67"/>
    <w:rsid w:val="00C60C5C"/>
    <w:rsid w:val="00C6506B"/>
    <w:rsid w:val="00C6597F"/>
    <w:rsid w:val="00C66ACE"/>
    <w:rsid w:val="00C66C27"/>
    <w:rsid w:val="00C674AA"/>
    <w:rsid w:val="00C70070"/>
    <w:rsid w:val="00C7061A"/>
    <w:rsid w:val="00C70671"/>
    <w:rsid w:val="00C7075C"/>
    <w:rsid w:val="00C70DCA"/>
    <w:rsid w:val="00C72C55"/>
    <w:rsid w:val="00C72F51"/>
    <w:rsid w:val="00C72F5F"/>
    <w:rsid w:val="00C72FED"/>
    <w:rsid w:val="00C7335A"/>
    <w:rsid w:val="00C75008"/>
    <w:rsid w:val="00C77010"/>
    <w:rsid w:val="00C77444"/>
    <w:rsid w:val="00C7762A"/>
    <w:rsid w:val="00C80004"/>
    <w:rsid w:val="00C800B4"/>
    <w:rsid w:val="00C815A1"/>
    <w:rsid w:val="00C815AF"/>
    <w:rsid w:val="00C81BA4"/>
    <w:rsid w:val="00C82164"/>
    <w:rsid w:val="00C82FFB"/>
    <w:rsid w:val="00C8307E"/>
    <w:rsid w:val="00C84F4A"/>
    <w:rsid w:val="00C87A06"/>
    <w:rsid w:val="00C913FD"/>
    <w:rsid w:val="00C91A55"/>
    <w:rsid w:val="00C91D12"/>
    <w:rsid w:val="00C91EE3"/>
    <w:rsid w:val="00C92365"/>
    <w:rsid w:val="00C9283B"/>
    <w:rsid w:val="00C9339A"/>
    <w:rsid w:val="00C93412"/>
    <w:rsid w:val="00C936FF"/>
    <w:rsid w:val="00C93A8D"/>
    <w:rsid w:val="00C947A9"/>
    <w:rsid w:val="00C94AD2"/>
    <w:rsid w:val="00C95593"/>
    <w:rsid w:val="00C95A5D"/>
    <w:rsid w:val="00C9618A"/>
    <w:rsid w:val="00C97536"/>
    <w:rsid w:val="00C978F7"/>
    <w:rsid w:val="00CA018F"/>
    <w:rsid w:val="00CA0710"/>
    <w:rsid w:val="00CA14B8"/>
    <w:rsid w:val="00CA1A77"/>
    <w:rsid w:val="00CA2C2C"/>
    <w:rsid w:val="00CA3D81"/>
    <w:rsid w:val="00CA474C"/>
    <w:rsid w:val="00CA5090"/>
    <w:rsid w:val="00CA5532"/>
    <w:rsid w:val="00CA5756"/>
    <w:rsid w:val="00CA5812"/>
    <w:rsid w:val="00CA5E6F"/>
    <w:rsid w:val="00CA62EC"/>
    <w:rsid w:val="00CA682E"/>
    <w:rsid w:val="00CA7CCB"/>
    <w:rsid w:val="00CB09F6"/>
    <w:rsid w:val="00CB108C"/>
    <w:rsid w:val="00CB1B6F"/>
    <w:rsid w:val="00CB1FBE"/>
    <w:rsid w:val="00CB29BE"/>
    <w:rsid w:val="00CB3001"/>
    <w:rsid w:val="00CB4C18"/>
    <w:rsid w:val="00CB5494"/>
    <w:rsid w:val="00CB5582"/>
    <w:rsid w:val="00CB560C"/>
    <w:rsid w:val="00CB5695"/>
    <w:rsid w:val="00CB5DA6"/>
    <w:rsid w:val="00CB5E6B"/>
    <w:rsid w:val="00CB610C"/>
    <w:rsid w:val="00CB78AE"/>
    <w:rsid w:val="00CB7995"/>
    <w:rsid w:val="00CB7B0F"/>
    <w:rsid w:val="00CC070B"/>
    <w:rsid w:val="00CC079B"/>
    <w:rsid w:val="00CC0C24"/>
    <w:rsid w:val="00CC1316"/>
    <w:rsid w:val="00CC1C48"/>
    <w:rsid w:val="00CC1EA8"/>
    <w:rsid w:val="00CC2B79"/>
    <w:rsid w:val="00CC2E2B"/>
    <w:rsid w:val="00CC3374"/>
    <w:rsid w:val="00CC3437"/>
    <w:rsid w:val="00CC3A70"/>
    <w:rsid w:val="00CC3EB0"/>
    <w:rsid w:val="00CC4CD2"/>
    <w:rsid w:val="00CC53F7"/>
    <w:rsid w:val="00CC69C2"/>
    <w:rsid w:val="00CC6ECC"/>
    <w:rsid w:val="00CC728B"/>
    <w:rsid w:val="00CC75F9"/>
    <w:rsid w:val="00CC7DA8"/>
    <w:rsid w:val="00CD0256"/>
    <w:rsid w:val="00CD0577"/>
    <w:rsid w:val="00CD0829"/>
    <w:rsid w:val="00CD09C2"/>
    <w:rsid w:val="00CD17E4"/>
    <w:rsid w:val="00CD2617"/>
    <w:rsid w:val="00CD2F9B"/>
    <w:rsid w:val="00CD31FC"/>
    <w:rsid w:val="00CD3282"/>
    <w:rsid w:val="00CD3573"/>
    <w:rsid w:val="00CD360D"/>
    <w:rsid w:val="00CD39D6"/>
    <w:rsid w:val="00CD4173"/>
    <w:rsid w:val="00CD6039"/>
    <w:rsid w:val="00CD6357"/>
    <w:rsid w:val="00CD6763"/>
    <w:rsid w:val="00CD7F7D"/>
    <w:rsid w:val="00CE1DE8"/>
    <w:rsid w:val="00CE3068"/>
    <w:rsid w:val="00CE3EA6"/>
    <w:rsid w:val="00CE49E6"/>
    <w:rsid w:val="00CE4E23"/>
    <w:rsid w:val="00CE63D0"/>
    <w:rsid w:val="00CE6C7F"/>
    <w:rsid w:val="00CF0482"/>
    <w:rsid w:val="00CF0974"/>
    <w:rsid w:val="00CF0EAA"/>
    <w:rsid w:val="00CF27BA"/>
    <w:rsid w:val="00CF285C"/>
    <w:rsid w:val="00CF299E"/>
    <w:rsid w:val="00CF39BF"/>
    <w:rsid w:val="00CF3B88"/>
    <w:rsid w:val="00CF65AE"/>
    <w:rsid w:val="00CF6FFA"/>
    <w:rsid w:val="00CF7B14"/>
    <w:rsid w:val="00D003E2"/>
    <w:rsid w:val="00D00B42"/>
    <w:rsid w:val="00D00B8D"/>
    <w:rsid w:val="00D01B01"/>
    <w:rsid w:val="00D02935"/>
    <w:rsid w:val="00D029FE"/>
    <w:rsid w:val="00D02B85"/>
    <w:rsid w:val="00D0378F"/>
    <w:rsid w:val="00D038F6"/>
    <w:rsid w:val="00D03B59"/>
    <w:rsid w:val="00D03BA3"/>
    <w:rsid w:val="00D042C5"/>
    <w:rsid w:val="00D04ABA"/>
    <w:rsid w:val="00D04B3B"/>
    <w:rsid w:val="00D050E1"/>
    <w:rsid w:val="00D05359"/>
    <w:rsid w:val="00D069ED"/>
    <w:rsid w:val="00D06DF7"/>
    <w:rsid w:val="00D06FE0"/>
    <w:rsid w:val="00D06FE9"/>
    <w:rsid w:val="00D0730E"/>
    <w:rsid w:val="00D076EE"/>
    <w:rsid w:val="00D101B2"/>
    <w:rsid w:val="00D10281"/>
    <w:rsid w:val="00D11357"/>
    <w:rsid w:val="00D11A22"/>
    <w:rsid w:val="00D1350B"/>
    <w:rsid w:val="00D1365D"/>
    <w:rsid w:val="00D13AF7"/>
    <w:rsid w:val="00D13BA3"/>
    <w:rsid w:val="00D14CB0"/>
    <w:rsid w:val="00D16B8A"/>
    <w:rsid w:val="00D171B3"/>
    <w:rsid w:val="00D177DA"/>
    <w:rsid w:val="00D178BF"/>
    <w:rsid w:val="00D20457"/>
    <w:rsid w:val="00D21242"/>
    <w:rsid w:val="00D21405"/>
    <w:rsid w:val="00D21D27"/>
    <w:rsid w:val="00D232A8"/>
    <w:rsid w:val="00D23922"/>
    <w:rsid w:val="00D24BC8"/>
    <w:rsid w:val="00D26E61"/>
    <w:rsid w:val="00D27BBD"/>
    <w:rsid w:val="00D27DB9"/>
    <w:rsid w:val="00D30904"/>
    <w:rsid w:val="00D30CBF"/>
    <w:rsid w:val="00D30DBA"/>
    <w:rsid w:val="00D31365"/>
    <w:rsid w:val="00D32065"/>
    <w:rsid w:val="00D329CE"/>
    <w:rsid w:val="00D332BC"/>
    <w:rsid w:val="00D334B1"/>
    <w:rsid w:val="00D3432C"/>
    <w:rsid w:val="00D3442F"/>
    <w:rsid w:val="00D34B12"/>
    <w:rsid w:val="00D34B33"/>
    <w:rsid w:val="00D34BAE"/>
    <w:rsid w:val="00D3501F"/>
    <w:rsid w:val="00D352C1"/>
    <w:rsid w:val="00D3537D"/>
    <w:rsid w:val="00D35483"/>
    <w:rsid w:val="00D369F5"/>
    <w:rsid w:val="00D36C94"/>
    <w:rsid w:val="00D37438"/>
    <w:rsid w:val="00D37B25"/>
    <w:rsid w:val="00D37E99"/>
    <w:rsid w:val="00D4061C"/>
    <w:rsid w:val="00D40EC2"/>
    <w:rsid w:val="00D41161"/>
    <w:rsid w:val="00D419AA"/>
    <w:rsid w:val="00D42148"/>
    <w:rsid w:val="00D4255E"/>
    <w:rsid w:val="00D426B2"/>
    <w:rsid w:val="00D43232"/>
    <w:rsid w:val="00D43484"/>
    <w:rsid w:val="00D437A0"/>
    <w:rsid w:val="00D43849"/>
    <w:rsid w:val="00D448F0"/>
    <w:rsid w:val="00D44CAF"/>
    <w:rsid w:val="00D452E3"/>
    <w:rsid w:val="00D459B0"/>
    <w:rsid w:val="00D45D23"/>
    <w:rsid w:val="00D46A78"/>
    <w:rsid w:val="00D475EC"/>
    <w:rsid w:val="00D50250"/>
    <w:rsid w:val="00D5033F"/>
    <w:rsid w:val="00D5241F"/>
    <w:rsid w:val="00D5247E"/>
    <w:rsid w:val="00D52CAD"/>
    <w:rsid w:val="00D52D22"/>
    <w:rsid w:val="00D52DDF"/>
    <w:rsid w:val="00D5304B"/>
    <w:rsid w:val="00D53922"/>
    <w:rsid w:val="00D54E85"/>
    <w:rsid w:val="00D555FA"/>
    <w:rsid w:val="00D55F64"/>
    <w:rsid w:val="00D560D7"/>
    <w:rsid w:val="00D56B61"/>
    <w:rsid w:val="00D572F7"/>
    <w:rsid w:val="00D60029"/>
    <w:rsid w:val="00D60744"/>
    <w:rsid w:val="00D61284"/>
    <w:rsid w:val="00D6165A"/>
    <w:rsid w:val="00D62BFD"/>
    <w:rsid w:val="00D63205"/>
    <w:rsid w:val="00D6321E"/>
    <w:rsid w:val="00D6481A"/>
    <w:rsid w:val="00D6578D"/>
    <w:rsid w:val="00D65973"/>
    <w:rsid w:val="00D6697A"/>
    <w:rsid w:val="00D6738F"/>
    <w:rsid w:val="00D674F9"/>
    <w:rsid w:val="00D6781C"/>
    <w:rsid w:val="00D70371"/>
    <w:rsid w:val="00D71580"/>
    <w:rsid w:val="00D71769"/>
    <w:rsid w:val="00D717FD"/>
    <w:rsid w:val="00D71CDB"/>
    <w:rsid w:val="00D72218"/>
    <w:rsid w:val="00D72E8A"/>
    <w:rsid w:val="00D73209"/>
    <w:rsid w:val="00D7465C"/>
    <w:rsid w:val="00D7537A"/>
    <w:rsid w:val="00D75464"/>
    <w:rsid w:val="00D760A1"/>
    <w:rsid w:val="00D76617"/>
    <w:rsid w:val="00D76A2F"/>
    <w:rsid w:val="00D76A6F"/>
    <w:rsid w:val="00D81B8F"/>
    <w:rsid w:val="00D8231F"/>
    <w:rsid w:val="00D827AF"/>
    <w:rsid w:val="00D82B8A"/>
    <w:rsid w:val="00D82ECE"/>
    <w:rsid w:val="00D836FE"/>
    <w:rsid w:val="00D8374D"/>
    <w:rsid w:val="00D83BDE"/>
    <w:rsid w:val="00D8645F"/>
    <w:rsid w:val="00D864E6"/>
    <w:rsid w:val="00D8717A"/>
    <w:rsid w:val="00D8765B"/>
    <w:rsid w:val="00D87C5B"/>
    <w:rsid w:val="00D907FD"/>
    <w:rsid w:val="00D90D1E"/>
    <w:rsid w:val="00D91D50"/>
    <w:rsid w:val="00D929C5"/>
    <w:rsid w:val="00D92A9A"/>
    <w:rsid w:val="00D92CDC"/>
    <w:rsid w:val="00D93B20"/>
    <w:rsid w:val="00D944CB"/>
    <w:rsid w:val="00D94F96"/>
    <w:rsid w:val="00D9547A"/>
    <w:rsid w:val="00D95AF8"/>
    <w:rsid w:val="00D95F43"/>
    <w:rsid w:val="00D9657A"/>
    <w:rsid w:val="00D96792"/>
    <w:rsid w:val="00D96F1A"/>
    <w:rsid w:val="00D96FDF"/>
    <w:rsid w:val="00D971BF"/>
    <w:rsid w:val="00D972D8"/>
    <w:rsid w:val="00D973BF"/>
    <w:rsid w:val="00D97867"/>
    <w:rsid w:val="00D9789C"/>
    <w:rsid w:val="00DA035B"/>
    <w:rsid w:val="00DA0360"/>
    <w:rsid w:val="00DA04D4"/>
    <w:rsid w:val="00DA0817"/>
    <w:rsid w:val="00DA0905"/>
    <w:rsid w:val="00DA110E"/>
    <w:rsid w:val="00DA20BA"/>
    <w:rsid w:val="00DA262E"/>
    <w:rsid w:val="00DA26BA"/>
    <w:rsid w:val="00DA275F"/>
    <w:rsid w:val="00DA2B4B"/>
    <w:rsid w:val="00DA3618"/>
    <w:rsid w:val="00DA37C8"/>
    <w:rsid w:val="00DA4502"/>
    <w:rsid w:val="00DA4546"/>
    <w:rsid w:val="00DA4A2C"/>
    <w:rsid w:val="00DA4E8E"/>
    <w:rsid w:val="00DA53D2"/>
    <w:rsid w:val="00DA556C"/>
    <w:rsid w:val="00DA56AE"/>
    <w:rsid w:val="00DA5A6F"/>
    <w:rsid w:val="00DA7321"/>
    <w:rsid w:val="00DA7C4E"/>
    <w:rsid w:val="00DA7DE2"/>
    <w:rsid w:val="00DB0767"/>
    <w:rsid w:val="00DB11DA"/>
    <w:rsid w:val="00DB1A3D"/>
    <w:rsid w:val="00DB1F63"/>
    <w:rsid w:val="00DB2577"/>
    <w:rsid w:val="00DB3430"/>
    <w:rsid w:val="00DB3555"/>
    <w:rsid w:val="00DB4128"/>
    <w:rsid w:val="00DB41CE"/>
    <w:rsid w:val="00DB55DD"/>
    <w:rsid w:val="00DB5B2C"/>
    <w:rsid w:val="00DB6033"/>
    <w:rsid w:val="00DB7501"/>
    <w:rsid w:val="00DB794A"/>
    <w:rsid w:val="00DB7991"/>
    <w:rsid w:val="00DB7CF5"/>
    <w:rsid w:val="00DC0429"/>
    <w:rsid w:val="00DC05F3"/>
    <w:rsid w:val="00DC0C1F"/>
    <w:rsid w:val="00DC1100"/>
    <w:rsid w:val="00DC1FD3"/>
    <w:rsid w:val="00DC2CCD"/>
    <w:rsid w:val="00DC2D96"/>
    <w:rsid w:val="00DC392F"/>
    <w:rsid w:val="00DC3F4A"/>
    <w:rsid w:val="00DC46BA"/>
    <w:rsid w:val="00DC4F1E"/>
    <w:rsid w:val="00DC530F"/>
    <w:rsid w:val="00DC5492"/>
    <w:rsid w:val="00DC5CD3"/>
    <w:rsid w:val="00DC5DCD"/>
    <w:rsid w:val="00DC652A"/>
    <w:rsid w:val="00DC6FDA"/>
    <w:rsid w:val="00DD11F7"/>
    <w:rsid w:val="00DD1267"/>
    <w:rsid w:val="00DD1552"/>
    <w:rsid w:val="00DD1CB2"/>
    <w:rsid w:val="00DD1FE1"/>
    <w:rsid w:val="00DD20F1"/>
    <w:rsid w:val="00DD36B3"/>
    <w:rsid w:val="00DD50C2"/>
    <w:rsid w:val="00DD5529"/>
    <w:rsid w:val="00DD58CD"/>
    <w:rsid w:val="00DD6140"/>
    <w:rsid w:val="00DD63A3"/>
    <w:rsid w:val="00DE047A"/>
    <w:rsid w:val="00DE174B"/>
    <w:rsid w:val="00DE2BAA"/>
    <w:rsid w:val="00DE2DE9"/>
    <w:rsid w:val="00DE3017"/>
    <w:rsid w:val="00DE31F6"/>
    <w:rsid w:val="00DE4212"/>
    <w:rsid w:val="00DE5C08"/>
    <w:rsid w:val="00DE6308"/>
    <w:rsid w:val="00DE67D6"/>
    <w:rsid w:val="00DE6E95"/>
    <w:rsid w:val="00DE6F35"/>
    <w:rsid w:val="00DE71F1"/>
    <w:rsid w:val="00DE7912"/>
    <w:rsid w:val="00DE7AC1"/>
    <w:rsid w:val="00DF0D73"/>
    <w:rsid w:val="00DF1718"/>
    <w:rsid w:val="00DF1887"/>
    <w:rsid w:val="00DF1C8A"/>
    <w:rsid w:val="00DF251F"/>
    <w:rsid w:val="00DF31AE"/>
    <w:rsid w:val="00DF33D1"/>
    <w:rsid w:val="00DF446D"/>
    <w:rsid w:val="00DF574F"/>
    <w:rsid w:val="00DF5A43"/>
    <w:rsid w:val="00DF6F25"/>
    <w:rsid w:val="00E006EB"/>
    <w:rsid w:val="00E0084A"/>
    <w:rsid w:val="00E0130F"/>
    <w:rsid w:val="00E02E97"/>
    <w:rsid w:val="00E03697"/>
    <w:rsid w:val="00E0379D"/>
    <w:rsid w:val="00E03C1A"/>
    <w:rsid w:val="00E03C29"/>
    <w:rsid w:val="00E049AE"/>
    <w:rsid w:val="00E057BF"/>
    <w:rsid w:val="00E05806"/>
    <w:rsid w:val="00E05BB3"/>
    <w:rsid w:val="00E101E6"/>
    <w:rsid w:val="00E1039D"/>
    <w:rsid w:val="00E11243"/>
    <w:rsid w:val="00E132DC"/>
    <w:rsid w:val="00E13438"/>
    <w:rsid w:val="00E1384B"/>
    <w:rsid w:val="00E13EB6"/>
    <w:rsid w:val="00E14867"/>
    <w:rsid w:val="00E14C1D"/>
    <w:rsid w:val="00E151E9"/>
    <w:rsid w:val="00E15F11"/>
    <w:rsid w:val="00E164AF"/>
    <w:rsid w:val="00E1793A"/>
    <w:rsid w:val="00E20323"/>
    <w:rsid w:val="00E207EF"/>
    <w:rsid w:val="00E20DED"/>
    <w:rsid w:val="00E21E6B"/>
    <w:rsid w:val="00E22037"/>
    <w:rsid w:val="00E22591"/>
    <w:rsid w:val="00E226C5"/>
    <w:rsid w:val="00E2309F"/>
    <w:rsid w:val="00E23FED"/>
    <w:rsid w:val="00E245D5"/>
    <w:rsid w:val="00E24B4D"/>
    <w:rsid w:val="00E25E5D"/>
    <w:rsid w:val="00E25EF5"/>
    <w:rsid w:val="00E25EF6"/>
    <w:rsid w:val="00E262FE"/>
    <w:rsid w:val="00E26592"/>
    <w:rsid w:val="00E27655"/>
    <w:rsid w:val="00E27A2D"/>
    <w:rsid w:val="00E300DB"/>
    <w:rsid w:val="00E30F5A"/>
    <w:rsid w:val="00E31433"/>
    <w:rsid w:val="00E318A7"/>
    <w:rsid w:val="00E31B90"/>
    <w:rsid w:val="00E31BCD"/>
    <w:rsid w:val="00E31BD9"/>
    <w:rsid w:val="00E32DA7"/>
    <w:rsid w:val="00E331E4"/>
    <w:rsid w:val="00E335F2"/>
    <w:rsid w:val="00E33F42"/>
    <w:rsid w:val="00E3446A"/>
    <w:rsid w:val="00E3603D"/>
    <w:rsid w:val="00E37807"/>
    <w:rsid w:val="00E37FA6"/>
    <w:rsid w:val="00E40763"/>
    <w:rsid w:val="00E40AD1"/>
    <w:rsid w:val="00E417E7"/>
    <w:rsid w:val="00E41B13"/>
    <w:rsid w:val="00E42027"/>
    <w:rsid w:val="00E42160"/>
    <w:rsid w:val="00E423AA"/>
    <w:rsid w:val="00E423D1"/>
    <w:rsid w:val="00E42841"/>
    <w:rsid w:val="00E42ED9"/>
    <w:rsid w:val="00E42EDA"/>
    <w:rsid w:val="00E44795"/>
    <w:rsid w:val="00E44926"/>
    <w:rsid w:val="00E4518C"/>
    <w:rsid w:val="00E454B9"/>
    <w:rsid w:val="00E45B39"/>
    <w:rsid w:val="00E46A5E"/>
    <w:rsid w:val="00E46D0F"/>
    <w:rsid w:val="00E47049"/>
    <w:rsid w:val="00E47941"/>
    <w:rsid w:val="00E47DC9"/>
    <w:rsid w:val="00E510CA"/>
    <w:rsid w:val="00E5160C"/>
    <w:rsid w:val="00E517FF"/>
    <w:rsid w:val="00E51DCC"/>
    <w:rsid w:val="00E52487"/>
    <w:rsid w:val="00E5332A"/>
    <w:rsid w:val="00E533C7"/>
    <w:rsid w:val="00E53C23"/>
    <w:rsid w:val="00E541E1"/>
    <w:rsid w:val="00E5433E"/>
    <w:rsid w:val="00E548D8"/>
    <w:rsid w:val="00E54DCB"/>
    <w:rsid w:val="00E54F96"/>
    <w:rsid w:val="00E553BD"/>
    <w:rsid w:val="00E55B8F"/>
    <w:rsid w:val="00E55C53"/>
    <w:rsid w:val="00E56DBB"/>
    <w:rsid w:val="00E5703A"/>
    <w:rsid w:val="00E576EE"/>
    <w:rsid w:val="00E57774"/>
    <w:rsid w:val="00E5791A"/>
    <w:rsid w:val="00E606E4"/>
    <w:rsid w:val="00E6136B"/>
    <w:rsid w:val="00E619F0"/>
    <w:rsid w:val="00E63005"/>
    <w:rsid w:val="00E6399D"/>
    <w:rsid w:val="00E6406B"/>
    <w:rsid w:val="00E646AC"/>
    <w:rsid w:val="00E65406"/>
    <w:rsid w:val="00E6610E"/>
    <w:rsid w:val="00E6703B"/>
    <w:rsid w:val="00E67611"/>
    <w:rsid w:val="00E67A73"/>
    <w:rsid w:val="00E67AA5"/>
    <w:rsid w:val="00E7036E"/>
    <w:rsid w:val="00E70DEB"/>
    <w:rsid w:val="00E7137A"/>
    <w:rsid w:val="00E7201B"/>
    <w:rsid w:val="00E722A8"/>
    <w:rsid w:val="00E725F1"/>
    <w:rsid w:val="00E731EE"/>
    <w:rsid w:val="00E73949"/>
    <w:rsid w:val="00E73C87"/>
    <w:rsid w:val="00E744D3"/>
    <w:rsid w:val="00E746E9"/>
    <w:rsid w:val="00E74D70"/>
    <w:rsid w:val="00E74F7B"/>
    <w:rsid w:val="00E75773"/>
    <w:rsid w:val="00E75B75"/>
    <w:rsid w:val="00E75BC0"/>
    <w:rsid w:val="00E75EDF"/>
    <w:rsid w:val="00E763BF"/>
    <w:rsid w:val="00E767B7"/>
    <w:rsid w:val="00E80633"/>
    <w:rsid w:val="00E81EC9"/>
    <w:rsid w:val="00E82A79"/>
    <w:rsid w:val="00E830CB"/>
    <w:rsid w:val="00E84069"/>
    <w:rsid w:val="00E842E2"/>
    <w:rsid w:val="00E8493B"/>
    <w:rsid w:val="00E84B10"/>
    <w:rsid w:val="00E8516E"/>
    <w:rsid w:val="00E85EDC"/>
    <w:rsid w:val="00E86124"/>
    <w:rsid w:val="00E87397"/>
    <w:rsid w:val="00E87D1B"/>
    <w:rsid w:val="00E87F8B"/>
    <w:rsid w:val="00E90221"/>
    <w:rsid w:val="00E913E8"/>
    <w:rsid w:val="00E916C0"/>
    <w:rsid w:val="00E92C94"/>
    <w:rsid w:val="00E92D65"/>
    <w:rsid w:val="00E93BF3"/>
    <w:rsid w:val="00E962FA"/>
    <w:rsid w:val="00E970A2"/>
    <w:rsid w:val="00E9715F"/>
    <w:rsid w:val="00E9729F"/>
    <w:rsid w:val="00E972D2"/>
    <w:rsid w:val="00E97C2E"/>
    <w:rsid w:val="00EA0419"/>
    <w:rsid w:val="00EA0AB1"/>
    <w:rsid w:val="00EA0C0C"/>
    <w:rsid w:val="00EA0F85"/>
    <w:rsid w:val="00EA123F"/>
    <w:rsid w:val="00EA146E"/>
    <w:rsid w:val="00EA1639"/>
    <w:rsid w:val="00EA2D2D"/>
    <w:rsid w:val="00EA3481"/>
    <w:rsid w:val="00EA4086"/>
    <w:rsid w:val="00EA47CD"/>
    <w:rsid w:val="00EA5483"/>
    <w:rsid w:val="00EA5BCB"/>
    <w:rsid w:val="00EA6AAA"/>
    <w:rsid w:val="00EA702C"/>
    <w:rsid w:val="00EA72F7"/>
    <w:rsid w:val="00EB0218"/>
    <w:rsid w:val="00EB08D8"/>
    <w:rsid w:val="00EB0A3E"/>
    <w:rsid w:val="00EB0D77"/>
    <w:rsid w:val="00EB16ED"/>
    <w:rsid w:val="00EB2AF8"/>
    <w:rsid w:val="00EB2DB5"/>
    <w:rsid w:val="00EB45AF"/>
    <w:rsid w:val="00EB464F"/>
    <w:rsid w:val="00EB4A5B"/>
    <w:rsid w:val="00EB4B66"/>
    <w:rsid w:val="00EB5044"/>
    <w:rsid w:val="00EB621D"/>
    <w:rsid w:val="00EB74BB"/>
    <w:rsid w:val="00EB7B89"/>
    <w:rsid w:val="00EC01B5"/>
    <w:rsid w:val="00EC03B3"/>
    <w:rsid w:val="00EC0617"/>
    <w:rsid w:val="00EC0D4C"/>
    <w:rsid w:val="00EC1640"/>
    <w:rsid w:val="00EC1B8E"/>
    <w:rsid w:val="00EC211A"/>
    <w:rsid w:val="00EC2A92"/>
    <w:rsid w:val="00EC33BE"/>
    <w:rsid w:val="00EC387E"/>
    <w:rsid w:val="00EC4E0A"/>
    <w:rsid w:val="00EC5B04"/>
    <w:rsid w:val="00EC5B9C"/>
    <w:rsid w:val="00EC69BD"/>
    <w:rsid w:val="00EC6F05"/>
    <w:rsid w:val="00EC7423"/>
    <w:rsid w:val="00EC7A94"/>
    <w:rsid w:val="00ED0644"/>
    <w:rsid w:val="00ED09FA"/>
    <w:rsid w:val="00ED206F"/>
    <w:rsid w:val="00ED45FC"/>
    <w:rsid w:val="00ED4CAB"/>
    <w:rsid w:val="00ED4F8E"/>
    <w:rsid w:val="00ED5942"/>
    <w:rsid w:val="00ED6925"/>
    <w:rsid w:val="00ED703D"/>
    <w:rsid w:val="00EE15EF"/>
    <w:rsid w:val="00EE18B1"/>
    <w:rsid w:val="00EE1BBF"/>
    <w:rsid w:val="00EE24B1"/>
    <w:rsid w:val="00EE3439"/>
    <w:rsid w:val="00EE3CCE"/>
    <w:rsid w:val="00EE3D54"/>
    <w:rsid w:val="00EE4090"/>
    <w:rsid w:val="00EE425D"/>
    <w:rsid w:val="00EE4529"/>
    <w:rsid w:val="00EE4899"/>
    <w:rsid w:val="00EE5312"/>
    <w:rsid w:val="00EE6660"/>
    <w:rsid w:val="00EE7130"/>
    <w:rsid w:val="00EE77E1"/>
    <w:rsid w:val="00EE7BBC"/>
    <w:rsid w:val="00EE7BC7"/>
    <w:rsid w:val="00EE7E11"/>
    <w:rsid w:val="00EF144A"/>
    <w:rsid w:val="00EF1585"/>
    <w:rsid w:val="00EF4011"/>
    <w:rsid w:val="00EF4F28"/>
    <w:rsid w:val="00EF5A09"/>
    <w:rsid w:val="00EF5BB4"/>
    <w:rsid w:val="00EF636B"/>
    <w:rsid w:val="00EF6473"/>
    <w:rsid w:val="00EF6570"/>
    <w:rsid w:val="00EF6FD5"/>
    <w:rsid w:val="00EF75AE"/>
    <w:rsid w:val="00EF780B"/>
    <w:rsid w:val="00EF797D"/>
    <w:rsid w:val="00F00545"/>
    <w:rsid w:val="00F02016"/>
    <w:rsid w:val="00F02206"/>
    <w:rsid w:val="00F025F3"/>
    <w:rsid w:val="00F02D2D"/>
    <w:rsid w:val="00F02EC1"/>
    <w:rsid w:val="00F03708"/>
    <w:rsid w:val="00F03CD0"/>
    <w:rsid w:val="00F057B8"/>
    <w:rsid w:val="00F06590"/>
    <w:rsid w:val="00F0667B"/>
    <w:rsid w:val="00F06A28"/>
    <w:rsid w:val="00F10DC2"/>
    <w:rsid w:val="00F1103F"/>
    <w:rsid w:val="00F1138A"/>
    <w:rsid w:val="00F12925"/>
    <w:rsid w:val="00F12FBC"/>
    <w:rsid w:val="00F13958"/>
    <w:rsid w:val="00F13AC4"/>
    <w:rsid w:val="00F146F9"/>
    <w:rsid w:val="00F150C7"/>
    <w:rsid w:val="00F16368"/>
    <w:rsid w:val="00F166BB"/>
    <w:rsid w:val="00F20750"/>
    <w:rsid w:val="00F2151A"/>
    <w:rsid w:val="00F2252B"/>
    <w:rsid w:val="00F2317A"/>
    <w:rsid w:val="00F23CFA"/>
    <w:rsid w:val="00F24616"/>
    <w:rsid w:val="00F24708"/>
    <w:rsid w:val="00F2470F"/>
    <w:rsid w:val="00F24CA8"/>
    <w:rsid w:val="00F24DD6"/>
    <w:rsid w:val="00F25D68"/>
    <w:rsid w:val="00F27626"/>
    <w:rsid w:val="00F302A4"/>
    <w:rsid w:val="00F30381"/>
    <w:rsid w:val="00F30912"/>
    <w:rsid w:val="00F309E8"/>
    <w:rsid w:val="00F30E6A"/>
    <w:rsid w:val="00F31632"/>
    <w:rsid w:val="00F31961"/>
    <w:rsid w:val="00F31F09"/>
    <w:rsid w:val="00F33287"/>
    <w:rsid w:val="00F33D02"/>
    <w:rsid w:val="00F34577"/>
    <w:rsid w:val="00F3478B"/>
    <w:rsid w:val="00F34E6A"/>
    <w:rsid w:val="00F352FF"/>
    <w:rsid w:val="00F354A0"/>
    <w:rsid w:val="00F368F6"/>
    <w:rsid w:val="00F37398"/>
    <w:rsid w:val="00F4009E"/>
    <w:rsid w:val="00F404B9"/>
    <w:rsid w:val="00F40B87"/>
    <w:rsid w:val="00F41028"/>
    <w:rsid w:val="00F41061"/>
    <w:rsid w:val="00F41793"/>
    <w:rsid w:val="00F418CD"/>
    <w:rsid w:val="00F427EE"/>
    <w:rsid w:val="00F430F1"/>
    <w:rsid w:val="00F43F13"/>
    <w:rsid w:val="00F4401F"/>
    <w:rsid w:val="00F446F4"/>
    <w:rsid w:val="00F448A1"/>
    <w:rsid w:val="00F45F60"/>
    <w:rsid w:val="00F462C2"/>
    <w:rsid w:val="00F466F1"/>
    <w:rsid w:val="00F46716"/>
    <w:rsid w:val="00F46D73"/>
    <w:rsid w:val="00F476F5"/>
    <w:rsid w:val="00F50782"/>
    <w:rsid w:val="00F507D7"/>
    <w:rsid w:val="00F517F2"/>
    <w:rsid w:val="00F52210"/>
    <w:rsid w:val="00F5349B"/>
    <w:rsid w:val="00F5437D"/>
    <w:rsid w:val="00F5487C"/>
    <w:rsid w:val="00F54A22"/>
    <w:rsid w:val="00F54B28"/>
    <w:rsid w:val="00F54FAF"/>
    <w:rsid w:val="00F5580B"/>
    <w:rsid w:val="00F56156"/>
    <w:rsid w:val="00F565B1"/>
    <w:rsid w:val="00F57917"/>
    <w:rsid w:val="00F57DA1"/>
    <w:rsid w:val="00F60D79"/>
    <w:rsid w:val="00F61652"/>
    <w:rsid w:val="00F62AAA"/>
    <w:rsid w:val="00F63BE8"/>
    <w:rsid w:val="00F64289"/>
    <w:rsid w:val="00F64332"/>
    <w:rsid w:val="00F656B0"/>
    <w:rsid w:val="00F6601A"/>
    <w:rsid w:val="00F666CD"/>
    <w:rsid w:val="00F6699F"/>
    <w:rsid w:val="00F676A8"/>
    <w:rsid w:val="00F67F2B"/>
    <w:rsid w:val="00F7041B"/>
    <w:rsid w:val="00F70D8F"/>
    <w:rsid w:val="00F71E6D"/>
    <w:rsid w:val="00F720E5"/>
    <w:rsid w:val="00F73062"/>
    <w:rsid w:val="00F738A5"/>
    <w:rsid w:val="00F73CAE"/>
    <w:rsid w:val="00F7490C"/>
    <w:rsid w:val="00F749B8"/>
    <w:rsid w:val="00F749FB"/>
    <w:rsid w:val="00F75382"/>
    <w:rsid w:val="00F7560C"/>
    <w:rsid w:val="00F758B6"/>
    <w:rsid w:val="00F75F02"/>
    <w:rsid w:val="00F80793"/>
    <w:rsid w:val="00F8164A"/>
    <w:rsid w:val="00F8181E"/>
    <w:rsid w:val="00F82105"/>
    <w:rsid w:val="00F82C9C"/>
    <w:rsid w:val="00F84922"/>
    <w:rsid w:val="00F857CE"/>
    <w:rsid w:val="00F85F60"/>
    <w:rsid w:val="00F8663D"/>
    <w:rsid w:val="00F86DA9"/>
    <w:rsid w:val="00F8713C"/>
    <w:rsid w:val="00F874BC"/>
    <w:rsid w:val="00F87FC6"/>
    <w:rsid w:val="00F9016C"/>
    <w:rsid w:val="00F90407"/>
    <w:rsid w:val="00F90B18"/>
    <w:rsid w:val="00F90CA9"/>
    <w:rsid w:val="00F916B9"/>
    <w:rsid w:val="00F916EE"/>
    <w:rsid w:val="00F92750"/>
    <w:rsid w:val="00F9362B"/>
    <w:rsid w:val="00F9402A"/>
    <w:rsid w:val="00F95179"/>
    <w:rsid w:val="00F9671C"/>
    <w:rsid w:val="00F96B3C"/>
    <w:rsid w:val="00F97B92"/>
    <w:rsid w:val="00FA06D8"/>
    <w:rsid w:val="00FA1DB6"/>
    <w:rsid w:val="00FA26FC"/>
    <w:rsid w:val="00FA2A3C"/>
    <w:rsid w:val="00FA3123"/>
    <w:rsid w:val="00FA39B9"/>
    <w:rsid w:val="00FA3F15"/>
    <w:rsid w:val="00FA3FBC"/>
    <w:rsid w:val="00FA44B0"/>
    <w:rsid w:val="00FA554F"/>
    <w:rsid w:val="00FA57F4"/>
    <w:rsid w:val="00FA63D9"/>
    <w:rsid w:val="00FA668F"/>
    <w:rsid w:val="00FA6915"/>
    <w:rsid w:val="00FA69A3"/>
    <w:rsid w:val="00FA6AA4"/>
    <w:rsid w:val="00FA6EF9"/>
    <w:rsid w:val="00FB0106"/>
    <w:rsid w:val="00FB0C0F"/>
    <w:rsid w:val="00FB0E37"/>
    <w:rsid w:val="00FB15AA"/>
    <w:rsid w:val="00FB1685"/>
    <w:rsid w:val="00FB1AAE"/>
    <w:rsid w:val="00FB35F0"/>
    <w:rsid w:val="00FB3950"/>
    <w:rsid w:val="00FB3AF6"/>
    <w:rsid w:val="00FB4682"/>
    <w:rsid w:val="00FB4847"/>
    <w:rsid w:val="00FB5090"/>
    <w:rsid w:val="00FB5FA4"/>
    <w:rsid w:val="00FB6196"/>
    <w:rsid w:val="00FB7652"/>
    <w:rsid w:val="00FB7C31"/>
    <w:rsid w:val="00FB7E52"/>
    <w:rsid w:val="00FC08D1"/>
    <w:rsid w:val="00FC13D9"/>
    <w:rsid w:val="00FC2A98"/>
    <w:rsid w:val="00FC2B24"/>
    <w:rsid w:val="00FC2C59"/>
    <w:rsid w:val="00FC4ABC"/>
    <w:rsid w:val="00FC50E7"/>
    <w:rsid w:val="00FC5377"/>
    <w:rsid w:val="00FC6385"/>
    <w:rsid w:val="00FC64BB"/>
    <w:rsid w:val="00FC7456"/>
    <w:rsid w:val="00FC7B17"/>
    <w:rsid w:val="00FC7E38"/>
    <w:rsid w:val="00FD0833"/>
    <w:rsid w:val="00FD0D8A"/>
    <w:rsid w:val="00FD1FA9"/>
    <w:rsid w:val="00FD4244"/>
    <w:rsid w:val="00FD4BA5"/>
    <w:rsid w:val="00FD537F"/>
    <w:rsid w:val="00FD54BA"/>
    <w:rsid w:val="00FD5678"/>
    <w:rsid w:val="00FD577D"/>
    <w:rsid w:val="00FD57B4"/>
    <w:rsid w:val="00FD585F"/>
    <w:rsid w:val="00FD58BC"/>
    <w:rsid w:val="00FD5B32"/>
    <w:rsid w:val="00FD64D3"/>
    <w:rsid w:val="00FD7503"/>
    <w:rsid w:val="00FE12BA"/>
    <w:rsid w:val="00FE132C"/>
    <w:rsid w:val="00FE36A5"/>
    <w:rsid w:val="00FE3A86"/>
    <w:rsid w:val="00FE4589"/>
    <w:rsid w:val="00FE4EA9"/>
    <w:rsid w:val="00FE568F"/>
    <w:rsid w:val="00FE59C0"/>
    <w:rsid w:val="00FE5DBE"/>
    <w:rsid w:val="00FE6431"/>
    <w:rsid w:val="00FE6547"/>
    <w:rsid w:val="00FE704D"/>
    <w:rsid w:val="00FE748A"/>
    <w:rsid w:val="00FE79AF"/>
    <w:rsid w:val="00FF0C0F"/>
    <w:rsid w:val="00FF1271"/>
    <w:rsid w:val="00FF1BA8"/>
    <w:rsid w:val="00FF1E85"/>
    <w:rsid w:val="00FF1EDB"/>
    <w:rsid w:val="00FF2034"/>
    <w:rsid w:val="00FF415A"/>
    <w:rsid w:val="00FF4456"/>
    <w:rsid w:val="00FF44A4"/>
    <w:rsid w:val="00FF4535"/>
    <w:rsid w:val="00FF5949"/>
    <w:rsid w:val="00FF59DE"/>
    <w:rsid w:val="00FF6D37"/>
    <w:rsid w:val="00FF7AD3"/>
    <w:rsid w:val="01073BBB"/>
    <w:rsid w:val="010D6029"/>
    <w:rsid w:val="01112B52"/>
    <w:rsid w:val="012558C7"/>
    <w:rsid w:val="0125644A"/>
    <w:rsid w:val="0131783B"/>
    <w:rsid w:val="01431A4A"/>
    <w:rsid w:val="014F71B1"/>
    <w:rsid w:val="01596565"/>
    <w:rsid w:val="015F6F15"/>
    <w:rsid w:val="01625678"/>
    <w:rsid w:val="017217E2"/>
    <w:rsid w:val="01744712"/>
    <w:rsid w:val="017C7025"/>
    <w:rsid w:val="01935B3A"/>
    <w:rsid w:val="019B2BD9"/>
    <w:rsid w:val="01A979EB"/>
    <w:rsid w:val="01B37427"/>
    <w:rsid w:val="01F1594A"/>
    <w:rsid w:val="01F22424"/>
    <w:rsid w:val="020A3CDF"/>
    <w:rsid w:val="021B76A6"/>
    <w:rsid w:val="022B1EB7"/>
    <w:rsid w:val="02624463"/>
    <w:rsid w:val="02667718"/>
    <w:rsid w:val="027D2D3A"/>
    <w:rsid w:val="028E366D"/>
    <w:rsid w:val="029420FA"/>
    <w:rsid w:val="02AF332E"/>
    <w:rsid w:val="02DC0299"/>
    <w:rsid w:val="02DD0ABA"/>
    <w:rsid w:val="02EF0B16"/>
    <w:rsid w:val="02EF3747"/>
    <w:rsid w:val="031776A3"/>
    <w:rsid w:val="03215726"/>
    <w:rsid w:val="034044A6"/>
    <w:rsid w:val="037A58C9"/>
    <w:rsid w:val="03B30EE4"/>
    <w:rsid w:val="03C976CD"/>
    <w:rsid w:val="03D42E2E"/>
    <w:rsid w:val="03FA05DF"/>
    <w:rsid w:val="03FB0B50"/>
    <w:rsid w:val="040051B3"/>
    <w:rsid w:val="04082288"/>
    <w:rsid w:val="042E1B2D"/>
    <w:rsid w:val="04435524"/>
    <w:rsid w:val="04445172"/>
    <w:rsid w:val="046643CE"/>
    <w:rsid w:val="0485793A"/>
    <w:rsid w:val="04936845"/>
    <w:rsid w:val="049E3BA7"/>
    <w:rsid w:val="049F18A8"/>
    <w:rsid w:val="04B53904"/>
    <w:rsid w:val="04B740E9"/>
    <w:rsid w:val="04D55E61"/>
    <w:rsid w:val="04F36995"/>
    <w:rsid w:val="05061F6B"/>
    <w:rsid w:val="050A297E"/>
    <w:rsid w:val="051621D8"/>
    <w:rsid w:val="051E7FA8"/>
    <w:rsid w:val="051F4DE5"/>
    <w:rsid w:val="05304668"/>
    <w:rsid w:val="055C6F9A"/>
    <w:rsid w:val="055F1F79"/>
    <w:rsid w:val="058C6C2F"/>
    <w:rsid w:val="05931DEA"/>
    <w:rsid w:val="05AC5059"/>
    <w:rsid w:val="05B77FF6"/>
    <w:rsid w:val="05D50AA5"/>
    <w:rsid w:val="05E25682"/>
    <w:rsid w:val="05E25BDB"/>
    <w:rsid w:val="05E577DD"/>
    <w:rsid w:val="05EF7C7A"/>
    <w:rsid w:val="05F676A0"/>
    <w:rsid w:val="060A1363"/>
    <w:rsid w:val="060D70D2"/>
    <w:rsid w:val="063174A4"/>
    <w:rsid w:val="065706EB"/>
    <w:rsid w:val="06651A0A"/>
    <w:rsid w:val="066646E8"/>
    <w:rsid w:val="06745E04"/>
    <w:rsid w:val="067E1888"/>
    <w:rsid w:val="06832ACE"/>
    <w:rsid w:val="06B06B75"/>
    <w:rsid w:val="06B56CA7"/>
    <w:rsid w:val="06BE3BA3"/>
    <w:rsid w:val="06C96D43"/>
    <w:rsid w:val="06DA1547"/>
    <w:rsid w:val="071372EE"/>
    <w:rsid w:val="07240B29"/>
    <w:rsid w:val="074F3522"/>
    <w:rsid w:val="07703BE7"/>
    <w:rsid w:val="077104F7"/>
    <w:rsid w:val="07713440"/>
    <w:rsid w:val="077D7C9C"/>
    <w:rsid w:val="077F6AB9"/>
    <w:rsid w:val="078B1A70"/>
    <w:rsid w:val="079343C3"/>
    <w:rsid w:val="079E3FC5"/>
    <w:rsid w:val="07AD517E"/>
    <w:rsid w:val="07CB4B92"/>
    <w:rsid w:val="07DA5924"/>
    <w:rsid w:val="07E33A55"/>
    <w:rsid w:val="08534C69"/>
    <w:rsid w:val="085525E5"/>
    <w:rsid w:val="086912B7"/>
    <w:rsid w:val="089B03BE"/>
    <w:rsid w:val="08A56110"/>
    <w:rsid w:val="08A97948"/>
    <w:rsid w:val="08AC049B"/>
    <w:rsid w:val="08AF2CC2"/>
    <w:rsid w:val="08BE709B"/>
    <w:rsid w:val="08D4742C"/>
    <w:rsid w:val="08E65DFA"/>
    <w:rsid w:val="08ED2C4A"/>
    <w:rsid w:val="08ED5B75"/>
    <w:rsid w:val="08EE0728"/>
    <w:rsid w:val="08F12DB6"/>
    <w:rsid w:val="08F4646F"/>
    <w:rsid w:val="08F7035D"/>
    <w:rsid w:val="090C36B8"/>
    <w:rsid w:val="09154BD3"/>
    <w:rsid w:val="092E0B73"/>
    <w:rsid w:val="09400B61"/>
    <w:rsid w:val="09597384"/>
    <w:rsid w:val="09684A5B"/>
    <w:rsid w:val="09724137"/>
    <w:rsid w:val="09980CA3"/>
    <w:rsid w:val="099A0F0B"/>
    <w:rsid w:val="09AB253D"/>
    <w:rsid w:val="09C46194"/>
    <w:rsid w:val="09CB5A17"/>
    <w:rsid w:val="09DD2E68"/>
    <w:rsid w:val="0A035283"/>
    <w:rsid w:val="0A24135D"/>
    <w:rsid w:val="0A306460"/>
    <w:rsid w:val="0A404414"/>
    <w:rsid w:val="0A4C5E14"/>
    <w:rsid w:val="0A560A40"/>
    <w:rsid w:val="0A735C3F"/>
    <w:rsid w:val="0A781DC6"/>
    <w:rsid w:val="0A88462E"/>
    <w:rsid w:val="0AA22E24"/>
    <w:rsid w:val="0AAE0AFC"/>
    <w:rsid w:val="0AB63699"/>
    <w:rsid w:val="0AC534D0"/>
    <w:rsid w:val="0AE7026D"/>
    <w:rsid w:val="0AF0461D"/>
    <w:rsid w:val="0B147040"/>
    <w:rsid w:val="0B166238"/>
    <w:rsid w:val="0B2226D0"/>
    <w:rsid w:val="0B341F97"/>
    <w:rsid w:val="0B343337"/>
    <w:rsid w:val="0B3D3CDE"/>
    <w:rsid w:val="0B5D00CE"/>
    <w:rsid w:val="0B5F3925"/>
    <w:rsid w:val="0B7463D3"/>
    <w:rsid w:val="0BCB1854"/>
    <w:rsid w:val="0BD47E6F"/>
    <w:rsid w:val="0BDB1EEE"/>
    <w:rsid w:val="0BE55E25"/>
    <w:rsid w:val="0BF54566"/>
    <w:rsid w:val="0C0A774B"/>
    <w:rsid w:val="0C1F21F9"/>
    <w:rsid w:val="0C2A266B"/>
    <w:rsid w:val="0C41712B"/>
    <w:rsid w:val="0C523A4C"/>
    <w:rsid w:val="0C544CEC"/>
    <w:rsid w:val="0C674D69"/>
    <w:rsid w:val="0C6C7FFE"/>
    <w:rsid w:val="0C800164"/>
    <w:rsid w:val="0C9E0714"/>
    <w:rsid w:val="0CAB7C91"/>
    <w:rsid w:val="0CB62C51"/>
    <w:rsid w:val="0CBF458F"/>
    <w:rsid w:val="0CCB349A"/>
    <w:rsid w:val="0CD92CAF"/>
    <w:rsid w:val="0CE43981"/>
    <w:rsid w:val="0CF53C57"/>
    <w:rsid w:val="0D023B46"/>
    <w:rsid w:val="0D0F1B2E"/>
    <w:rsid w:val="0D26258A"/>
    <w:rsid w:val="0D263AF5"/>
    <w:rsid w:val="0D273340"/>
    <w:rsid w:val="0D421899"/>
    <w:rsid w:val="0D646C68"/>
    <w:rsid w:val="0DAA309F"/>
    <w:rsid w:val="0DC00BA8"/>
    <w:rsid w:val="0DC65B0B"/>
    <w:rsid w:val="0DCA4414"/>
    <w:rsid w:val="0E231F63"/>
    <w:rsid w:val="0E48176C"/>
    <w:rsid w:val="0E6E68C1"/>
    <w:rsid w:val="0E923DB5"/>
    <w:rsid w:val="0EA03EA0"/>
    <w:rsid w:val="0ED65CAC"/>
    <w:rsid w:val="0EE84C45"/>
    <w:rsid w:val="0F026AA1"/>
    <w:rsid w:val="0F1C2880"/>
    <w:rsid w:val="0F2771F0"/>
    <w:rsid w:val="0F584D0E"/>
    <w:rsid w:val="0F6C6D88"/>
    <w:rsid w:val="0F7D6A6F"/>
    <w:rsid w:val="0F7E3022"/>
    <w:rsid w:val="0FAF58D9"/>
    <w:rsid w:val="0FB56EBA"/>
    <w:rsid w:val="0FBA05F5"/>
    <w:rsid w:val="0FC72A8C"/>
    <w:rsid w:val="0FCD7101"/>
    <w:rsid w:val="0FDD2B34"/>
    <w:rsid w:val="0FF90CBC"/>
    <w:rsid w:val="101D2815"/>
    <w:rsid w:val="101D6E11"/>
    <w:rsid w:val="10226D90"/>
    <w:rsid w:val="102E4DD1"/>
    <w:rsid w:val="105529D1"/>
    <w:rsid w:val="105F58FD"/>
    <w:rsid w:val="10843D8E"/>
    <w:rsid w:val="109D2AC7"/>
    <w:rsid w:val="10B90AB9"/>
    <w:rsid w:val="10CD2D35"/>
    <w:rsid w:val="10CD3B11"/>
    <w:rsid w:val="10DB789E"/>
    <w:rsid w:val="10E95470"/>
    <w:rsid w:val="110078E5"/>
    <w:rsid w:val="1102186B"/>
    <w:rsid w:val="11065A9C"/>
    <w:rsid w:val="11225C46"/>
    <w:rsid w:val="113C2B70"/>
    <w:rsid w:val="11427631"/>
    <w:rsid w:val="115002AB"/>
    <w:rsid w:val="11854BE4"/>
    <w:rsid w:val="1198142D"/>
    <w:rsid w:val="11A60187"/>
    <w:rsid w:val="11BF0CCD"/>
    <w:rsid w:val="11C40070"/>
    <w:rsid w:val="11CB6E95"/>
    <w:rsid w:val="11FB1369"/>
    <w:rsid w:val="120431CC"/>
    <w:rsid w:val="1209294F"/>
    <w:rsid w:val="120B0AA9"/>
    <w:rsid w:val="120C4E76"/>
    <w:rsid w:val="121476F0"/>
    <w:rsid w:val="12272EEF"/>
    <w:rsid w:val="122D7605"/>
    <w:rsid w:val="122E175B"/>
    <w:rsid w:val="12380230"/>
    <w:rsid w:val="1253772C"/>
    <w:rsid w:val="126850DD"/>
    <w:rsid w:val="1286021F"/>
    <w:rsid w:val="12985AC6"/>
    <w:rsid w:val="12A24D4E"/>
    <w:rsid w:val="12A70955"/>
    <w:rsid w:val="12BE5628"/>
    <w:rsid w:val="12C470C2"/>
    <w:rsid w:val="12C5211A"/>
    <w:rsid w:val="12EF76F7"/>
    <w:rsid w:val="12F935C8"/>
    <w:rsid w:val="130128C5"/>
    <w:rsid w:val="130F1997"/>
    <w:rsid w:val="131A46EC"/>
    <w:rsid w:val="13697BB4"/>
    <w:rsid w:val="137A0689"/>
    <w:rsid w:val="13873A19"/>
    <w:rsid w:val="13965ADF"/>
    <w:rsid w:val="13971527"/>
    <w:rsid w:val="139D02F1"/>
    <w:rsid w:val="13AE529A"/>
    <w:rsid w:val="13AF3792"/>
    <w:rsid w:val="13B17B81"/>
    <w:rsid w:val="13C730E7"/>
    <w:rsid w:val="13E07973"/>
    <w:rsid w:val="13EF3D79"/>
    <w:rsid w:val="13F14B36"/>
    <w:rsid w:val="13FB29B4"/>
    <w:rsid w:val="14121EBF"/>
    <w:rsid w:val="14125185"/>
    <w:rsid w:val="141C1867"/>
    <w:rsid w:val="1433727A"/>
    <w:rsid w:val="143E1F85"/>
    <w:rsid w:val="145D6997"/>
    <w:rsid w:val="146A0FDF"/>
    <w:rsid w:val="147011EE"/>
    <w:rsid w:val="14807A46"/>
    <w:rsid w:val="14830684"/>
    <w:rsid w:val="14C34F24"/>
    <w:rsid w:val="1503555E"/>
    <w:rsid w:val="15155AB5"/>
    <w:rsid w:val="15177412"/>
    <w:rsid w:val="151C6F05"/>
    <w:rsid w:val="151C7ADD"/>
    <w:rsid w:val="151E0F22"/>
    <w:rsid w:val="15297AFD"/>
    <w:rsid w:val="152C2CFD"/>
    <w:rsid w:val="152D3975"/>
    <w:rsid w:val="154E3DA0"/>
    <w:rsid w:val="15684337"/>
    <w:rsid w:val="157635DF"/>
    <w:rsid w:val="157A6F2C"/>
    <w:rsid w:val="158F501C"/>
    <w:rsid w:val="15A1506C"/>
    <w:rsid w:val="15AB7DC7"/>
    <w:rsid w:val="15C465E9"/>
    <w:rsid w:val="15CE2405"/>
    <w:rsid w:val="15D41193"/>
    <w:rsid w:val="15D7314C"/>
    <w:rsid w:val="15ED1B0B"/>
    <w:rsid w:val="16000BD2"/>
    <w:rsid w:val="160840FB"/>
    <w:rsid w:val="161741BB"/>
    <w:rsid w:val="162C423B"/>
    <w:rsid w:val="163079E6"/>
    <w:rsid w:val="16337E2E"/>
    <w:rsid w:val="163725A9"/>
    <w:rsid w:val="165D34F4"/>
    <w:rsid w:val="165F290E"/>
    <w:rsid w:val="16684E01"/>
    <w:rsid w:val="16722A8A"/>
    <w:rsid w:val="167F5A47"/>
    <w:rsid w:val="16804478"/>
    <w:rsid w:val="16924FA4"/>
    <w:rsid w:val="16B83FA2"/>
    <w:rsid w:val="16C722CC"/>
    <w:rsid w:val="16CD3E38"/>
    <w:rsid w:val="16CE4D75"/>
    <w:rsid w:val="16D37502"/>
    <w:rsid w:val="16DE54AA"/>
    <w:rsid w:val="16FD17D1"/>
    <w:rsid w:val="16FE0A02"/>
    <w:rsid w:val="17491E61"/>
    <w:rsid w:val="17562E64"/>
    <w:rsid w:val="175F608C"/>
    <w:rsid w:val="1763076A"/>
    <w:rsid w:val="176413D5"/>
    <w:rsid w:val="176B6B96"/>
    <w:rsid w:val="177C47ED"/>
    <w:rsid w:val="178360FC"/>
    <w:rsid w:val="17CF38B8"/>
    <w:rsid w:val="17EC2284"/>
    <w:rsid w:val="17FE619A"/>
    <w:rsid w:val="18285DF3"/>
    <w:rsid w:val="18326184"/>
    <w:rsid w:val="18561B55"/>
    <w:rsid w:val="1864026C"/>
    <w:rsid w:val="18726C25"/>
    <w:rsid w:val="18870750"/>
    <w:rsid w:val="188A14F3"/>
    <w:rsid w:val="18971703"/>
    <w:rsid w:val="18BA0791"/>
    <w:rsid w:val="18C75367"/>
    <w:rsid w:val="18D423E1"/>
    <w:rsid w:val="18F874BD"/>
    <w:rsid w:val="19063684"/>
    <w:rsid w:val="190E3733"/>
    <w:rsid w:val="192A747F"/>
    <w:rsid w:val="192B3098"/>
    <w:rsid w:val="192C02B0"/>
    <w:rsid w:val="192E7233"/>
    <w:rsid w:val="194070DB"/>
    <w:rsid w:val="19553376"/>
    <w:rsid w:val="19604BB6"/>
    <w:rsid w:val="19A42B2B"/>
    <w:rsid w:val="19B377FA"/>
    <w:rsid w:val="19BA288C"/>
    <w:rsid w:val="19BA6737"/>
    <w:rsid w:val="19BF2C63"/>
    <w:rsid w:val="19C56FE5"/>
    <w:rsid w:val="19F2007B"/>
    <w:rsid w:val="1A175213"/>
    <w:rsid w:val="1A1D37B2"/>
    <w:rsid w:val="1A254AE8"/>
    <w:rsid w:val="1A3D5C3C"/>
    <w:rsid w:val="1A424B3D"/>
    <w:rsid w:val="1A4E14E9"/>
    <w:rsid w:val="1A4E5726"/>
    <w:rsid w:val="1A502E27"/>
    <w:rsid w:val="1A5643EC"/>
    <w:rsid w:val="1A6A2EA3"/>
    <w:rsid w:val="1A7A3A16"/>
    <w:rsid w:val="1A7B7D10"/>
    <w:rsid w:val="1A9573BA"/>
    <w:rsid w:val="1AB17D1C"/>
    <w:rsid w:val="1AB42483"/>
    <w:rsid w:val="1ACA73D3"/>
    <w:rsid w:val="1ACC7D9B"/>
    <w:rsid w:val="1AE31258"/>
    <w:rsid w:val="1AFA5E12"/>
    <w:rsid w:val="1B021230"/>
    <w:rsid w:val="1B0261C8"/>
    <w:rsid w:val="1B0D04F3"/>
    <w:rsid w:val="1B1C400A"/>
    <w:rsid w:val="1B2226B2"/>
    <w:rsid w:val="1B362C49"/>
    <w:rsid w:val="1B47067C"/>
    <w:rsid w:val="1B562DC6"/>
    <w:rsid w:val="1B57664E"/>
    <w:rsid w:val="1B7F0094"/>
    <w:rsid w:val="1B87105A"/>
    <w:rsid w:val="1B882020"/>
    <w:rsid w:val="1B8B6070"/>
    <w:rsid w:val="1B9F2518"/>
    <w:rsid w:val="1BD134E8"/>
    <w:rsid w:val="1BE75E60"/>
    <w:rsid w:val="1BF849C9"/>
    <w:rsid w:val="1C0F3F04"/>
    <w:rsid w:val="1C2150B3"/>
    <w:rsid w:val="1C246F16"/>
    <w:rsid w:val="1C485083"/>
    <w:rsid w:val="1C514471"/>
    <w:rsid w:val="1C60574F"/>
    <w:rsid w:val="1C8F296A"/>
    <w:rsid w:val="1C9479A4"/>
    <w:rsid w:val="1C982FA3"/>
    <w:rsid w:val="1CB87339"/>
    <w:rsid w:val="1CC51302"/>
    <w:rsid w:val="1CE03C43"/>
    <w:rsid w:val="1CE960D0"/>
    <w:rsid w:val="1D303F31"/>
    <w:rsid w:val="1D3810CA"/>
    <w:rsid w:val="1D3978B1"/>
    <w:rsid w:val="1D440BCC"/>
    <w:rsid w:val="1D457A4F"/>
    <w:rsid w:val="1D4E37F9"/>
    <w:rsid w:val="1D5E2CF9"/>
    <w:rsid w:val="1D614D95"/>
    <w:rsid w:val="1D6E7472"/>
    <w:rsid w:val="1D7A639C"/>
    <w:rsid w:val="1D8F2446"/>
    <w:rsid w:val="1D953C0A"/>
    <w:rsid w:val="1DA305C9"/>
    <w:rsid w:val="1DA81B6E"/>
    <w:rsid w:val="1DA82E3D"/>
    <w:rsid w:val="1DAC5BC8"/>
    <w:rsid w:val="1DB47D85"/>
    <w:rsid w:val="1DC42B07"/>
    <w:rsid w:val="1DC75A41"/>
    <w:rsid w:val="1DCC674D"/>
    <w:rsid w:val="1DCD4A27"/>
    <w:rsid w:val="1DF73FB0"/>
    <w:rsid w:val="1E035DC6"/>
    <w:rsid w:val="1E134C7A"/>
    <w:rsid w:val="1E165E0D"/>
    <w:rsid w:val="1E1E31CB"/>
    <w:rsid w:val="1E2C3AC1"/>
    <w:rsid w:val="1E4B22A1"/>
    <w:rsid w:val="1E585FAE"/>
    <w:rsid w:val="1E5F7230"/>
    <w:rsid w:val="1E614675"/>
    <w:rsid w:val="1E6535E4"/>
    <w:rsid w:val="1E7027BD"/>
    <w:rsid w:val="1E706473"/>
    <w:rsid w:val="1E8852A0"/>
    <w:rsid w:val="1E980129"/>
    <w:rsid w:val="1EAB53AC"/>
    <w:rsid w:val="1EBB6F85"/>
    <w:rsid w:val="1EC159CB"/>
    <w:rsid w:val="1EDB6B2F"/>
    <w:rsid w:val="1F0262B2"/>
    <w:rsid w:val="1F2461E0"/>
    <w:rsid w:val="1F2E32B3"/>
    <w:rsid w:val="1F4C4E65"/>
    <w:rsid w:val="1F522635"/>
    <w:rsid w:val="1F5A5F5E"/>
    <w:rsid w:val="1F5C2FB4"/>
    <w:rsid w:val="1F663CA5"/>
    <w:rsid w:val="1F6F0F21"/>
    <w:rsid w:val="1F6F3472"/>
    <w:rsid w:val="1F77770A"/>
    <w:rsid w:val="1F8732B8"/>
    <w:rsid w:val="1F900F97"/>
    <w:rsid w:val="1FAE5A3B"/>
    <w:rsid w:val="1FCE7964"/>
    <w:rsid w:val="1FF02697"/>
    <w:rsid w:val="1FFC4B84"/>
    <w:rsid w:val="201063DC"/>
    <w:rsid w:val="20144CA5"/>
    <w:rsid w:val="201D3159"/>
    <w:rsid w:val="20340AEA"/>
    <w:rsid w:val="203C17D7"/>
    <w:rsid w:val="203D56AD"/>
    <w:rsid w:val="203E0D4D"/>
    <w:rsid w:val="204E32B9"/>
    <w:rsid w:val="205E725A"/>
    <w:rsid w:val="206423CB"/>
    <w:rsid w:val="20712A4D"/>
    <w:rsid w:val="207945CE"/>
    <w:rsid w:val="20A901ED"/>
    <w:rsid w:val="20AA18A2"/>
    <w:rsid w:val="20AB0BE9"/>
    <w:rsid w:val="20D50322"/>
    <w:rsid w:val="20E153A4"/>
    <w:rsid w:val="20EB0935"/>
    <w:rsid w:val="20F81D1B"/>
    <w:rsid w:val="21112824"/>
    <w:rsid w:val="2118527F"/>
    <w:rsid w:val="2123713F"/>
    <w:rsid w:val="212A5B94"/>
    <w:rsid w:val="212D2395"/>
    <w:rsid w:val="214831B7"/>
    <w:rsid w:val="214B04BF"/>
    <w:rsid w:val="214F1556"/>
    <w:rsid w:val="21523D9E"/>
    <w:rsid w:val="21524E7F"/>
    <w:rsid w:val="217875BF"/>
    <w:rsid w:val="21956953"/>
    <w:rsid w:val="21A2383C"/>
    <w:rsid w:val="21A2550D"/>
    <w:rsid w:val="21C32C03"/>
    <w:rsid w:val="21D91B46"/>
    <w:rsid w:val="21E72B6F"/>
    <w:rsid w:val="21FD3655"/>
    <w:rsid w:val="220E6612"/>
    <w:rsid w:val="221072CF"/>
    <w:rsid w:val="22182036"/>
    <w:rsid w:val="22341BDE"/>
    <w:rsid w:val="22485C1E"/>
    <w:rsid w:val="226A0C93"/>
    <w:rsid w:val="22736709"/>
    <w:rsid w:val="22BE749C"/>
    <w:rsid w:val="22C028DD"/>
    <w:rsid w:val="23172177"/>
    <w:rsid w:val="23261D96"/>
    <w:rsid w:val="232E2056"/>
    <w:rsid w:val="232F6044"/>
    <w:rsid w:val="23321193"/>
    <w:rsid w:val="23386614"/>
    <w:rsid w:val="233A4495"/>
    <w:rsid w:val="234510E4"/>
    <w:rsid w:val="23477A4D"/>
    <w:rsid w:val="234C1B0B"/>
    <w:rsid w:val="23537581"/>
    <w:rsid w:val="2354298E"/>
    <w:rsid w:val="236145E9"/>
    <w:rsid w:val="23730B5C"/>
    <w:rsid w:val="2382059B"/>
    <w:rsid w:val="23B00D6A"/>
    <w:rsid w:val="23BF677F"/>
    <w:rsid w:val="23C07012"/>
    <w:rsid w:val="23D96B68"/>
    <w:rsid w:val="23F74EC0"/>
    <w:rsid w:val="23FB2313"/>
    <w:rsid w:val="2416670A"/>
    <w:rsid w:val="24183227"/>
    <w:rsid w:val="24236AAB"/>
    <w:rsid w:val="244575D1"/>
    <w:rsid w:val="24463D4E"/>
    <w:rsid w:val="246A1C09"/>
    <w:rsid w:val="246C588B"/>
    <w:rsid w:val="248012D3"/>
    <w:rsid w:val="248A15BB"/>
    <w:rsid w:val="24AB603F"/>
    <w:rsid w:val="24D46CDA"/>
    <w:rsid w:val="24E34A75"/>
    <w:rsid w:val="24EA7EF9"/>
    <w:rsid w:val="24EF749F"/>
    <w:rsid w:val="24F03585"/>
    <w:rsid w:val="25065EF1"/>
    <w:rsid w:val="25106069"/>
    <w:rsid w:val="25174270"/>
    <w:rsid w:val="251E7A5B"/>
    <w:rsid w:val="25253697"/>
    <w:rsid w:val="253E7013"/>
    <w:rsid w:val="25595770"/>
    <w:rsid w:val="25647A48"/>
    <w:rsid w:val="256C4300"/>
    <w:rsid w:val="2571417F"/>
    <w:rsid w:val="25727479"/>
    <w:rsid w:val="257F3D64"/>
    <w:rsid w:val="25904A70"/>
    <w:rsid w:val="2593624D"/>
    <w:rsid w:val="25A20C2F"/>
    <w:rsid w:val="25A33B2D"/>
    <w:rsid w:val="25AD5653"/>
    <w:rsid w:val="25B46A35"/>
    <w:rsid w:val="25C05686"/>
    <w:rsid w:val="25C51ED4"/>
    <w:rsid w:val="25D41FBC"/>
    <w:rsid w:val="25D66E44"/>
    <w:rsid w:val="25DB48B3"/>
    <w:rsid w:val="25E60A73"/>
    <w:rsid w:val="25EB5C04"/>
    <w:rsid w:val="25F0544D"/>
    <w:rsid w:val="25F75231"/>
    <w:rsid w:val="265564E9"/>
    <w:rsid w:val="26814DD3"/>
    <w:rsid w:val="269221D4"/>
    <w:rsid w:val="26BC0D7D"/>
    <w:rsid w:val="26C93595"/>
    <w:rsid w:val="26E64CF8"/>
    <w:rsid w:val="26F037D0"/>
    <w:rsid w:val="26F41443"/>
    <w:rsid w:val="27073BC4"/>
    <w:rsid w:val="270D7F15"/>
    <w:rsid w:val="27165388"/>
    <w:rsid w:val="27175DC1"/>
    <w:rsid w:val="271A1C09"/>
    <w:rsid w:val="27340E5B"/>
    <w:rsid w:val="2751016E"/>
    <w:rsid w:val="27690657"/>
    <w:rsid w:val="276C1857"/>
    <w:rsid w:val="27732FA6"/>
    <w:rsid w:val="27A554FF"/>
    <w:rsid w:val="27BE02C4"/>
    <w:rsid w:val="27EF0D83"/>
    <w:rsid w:val="280173E1"/>
    <w:rsid w:val="282953CA"/>
    <w:rsid w:val="284835B7"/>
    <w:rsid w:val="28551427"/>
    <w:rsid w:val="286E14BE"/>
    <w:rsid w:val="286E2E0B"/>
    <w:rsid w:val="28742A71"/>
    <w:rsid w:val="28EB4BA9"/>
    <w:rsid w:val="291D1335"/>
    <w:rsid w:val="29257B04"/>
    <w:rsid w:val="292A336C"/>
    <w:rsid w:val="29450FF2"/>
    <w:rsid w:val="294D46BE"/>
    <w:rsid w:val="296A49CC"/>
    <w:rsid w:val="297479B6"/>
    <w:rsid w:val="29A92336"/>
    <w:rsid w:val="29B56B80"/>
    <w:rsid w:val="29C63095"/>
    <w:rsid w:val="29CE3A82"/>
    <w:rsid w:val="29CE50F4"/>
    <w:rsid w:val="29D52DAD"/>
    <w:rsid w:val="2A28165F"/>
    <w:rsid w:val="2A48244E"/>
    <w:rsid w:val="2A4F1F94"/>
    <w:rsid w:val="2A5D1867"/>
    <w:rsid w:val="2A6D1EB0"/>
    <w:rsid w:val="2A7963F4"/>
    <w:rsid w:val="2AA00038"/>
    <w:rsid w:val="2AA35184"/>
    <w:rsid w:val="2AA609BE"/>
    <w:rsid w:val="2AAB5DE7"/>
    <w:rsid w:val="2ABA5236"/>
    <w:rsid w:val="2AC10053"/>
    <w:rsid w:val="2AC90E79"/>
    <w:rsid w:val="2B372B2E"/>
    <w:rsid w:val="2B4162A2"/>
    <w:rsid w:val="2B5977D2"/>
    <w:rsid w:val="2B7C5126"/>
    <w:rsid w:val="2B872F0B"/>
    <w:rsid w:val="2BA56CDA"/>
    <w:rsid w:val="2BC74EED"/>
    <w:rsid w:val="2BC82BEE"/>
    <w:rsid w:val="2BCE79DC"/>
    <w:rsid w:val="2BD1345B"/>
    <w:rsid w:val="2BDB47C0"/>
    <w:rsid w:val="2BDE6CA9"/>
    <w:rsid w:val="2BFC0256"/>
    <w:rsid w:val="2C01074A"/>
    <w:rsid w:val="2C22657D"/>
    <w:rsid w:val="2C38787C"/>
    <w:rsid w:val="2C4B1FD5"/>
    <w:rsid w:val="2C4C7B41"/>
    <w:rsid w:val="2C5D79C6"/>
    <w:rsid w:val="2C85679C"/>
    <w:rsid w:val="2C903458"/>
    <w:rsid w:val="2C9D529E"/>
    <w:rsid w:val="2C9E3589"/>
    <w:rsid w:val="2C9F15E9"/>
    <w:rsid w:val="2CB7060B"/>
    <w:rsid w:val="2CBE0473"/>
    <w:rsid w:val="2CD133EF"/>
    <w:rsid w:val="2CD9724A"/>
    <w:rsid w:val="2CF23E75"/>
    <w:rsid w:val="2CF952D2"/>
    <w:rsid w:val="2D1053DC"/>
    <w:rsid w:val="2D125244"/>
    <w:rsid w:val="2D2266C6"/>
    <w:rsid w:val="2D300825"/>
    <w:rsid w:val="2D384A2F"/>
    <w:rsid w:val="2D4D13D7"/>
    <w:rsid w:val="2D5F3BD8"/>
    <w:rsid w:val="2D726A90"/>
    <w:rsid w:val="2D876E57"/>
    <w:rsid w:val="2DCD2456"/>
    <w:rsid w:val="2DD34D40"/>
    <w:rsid w:val="2DD6605C"/>
    <w:rsid w:val="2DDD0D0B"/>
    <w:rsid w:val="2DEC7225"/>
    <w:rsid w:val="2DF6698C"/>
    <w:rsid w:val="2E0166FF"/>
    <w:rsid w:val="2E0321FD"/>
    <w:rsid w:val="2E214558"/>
    <w:rsid w:val="2E2C3078"/>
    <w:rsid w:val="2E47367A"/>
    <w:rsid w:val="2E5A7950"/>
    <w:rsid w:val="2E656100"/>
    <w:rsid w:val="2E657B1B"/>
    <w:rsid w:val="2E7A7B5C"/>
    <w:rsid w:val="2E7B1CE1"/>
    <w:rsid w:val="2E947BF2"/>
    <w:rsid w:val="2E9B0F89"/>
    <w:rsid w:val="2EB85F74"/>
    <w:rsid w:val="2EC8279A"/>
    <w:rsid w:val="2EC86D41"/>
    <w:rsid w:val="2EE43A15"/>
    <w:rsid w:val="2F2C3EBC"/>
    <w:rsid w:val="2F434509"/>
    <w:rsid w:val="2F601632"/>
    <w:rsid w:val="2F7D265D"/>
    <w:rsid w:val="2F841438"/>
    <w:rsid w:val="2F8B0DD3"/>
    <w:rsid w:val="2FA430CF"/>
    <w:rsid w:val="2FAA2DAB"/>
    <w:rsid w:val="2FBC2431"/>
    <w:rsid w:val="2FBD57E7"/>
    <w:rsid w:val="2FE358A4"/>
    <w:rsid w:val="2FEA73B1"/>
    <w:rsid w:val="2FF76EB7"/>
    <w:rsid w:val="2FF8169E"/>
    <w:rsid w:val="2FFD57DD"/>
    <w:rsid w:val="30141A2D"/>
    <w:rsid w:val="301B11CE"/>
    <w:rsid w:val="302D0943"/>
    <w:rsid w:val="3040249E"/>
    <w:rsid w:val="306135C7"/>
    <w:rsid w:val="30643D22"/>
    <w:rsid w:val="306A7007"/>
    <w:rsid w:val="308E0224"/>
    <w:rsid w:val="30C03AAA"/>
    <w:rsid w:val="30D214D7"/>
    <w:rsid w:val="30E222DF"/>
    <w:rsid w:val="30EA37CB"/>
    <w:rsid w:val="30EB77AA"/>
    <w:rsid w:val="312D57A8"/>
    <w:rsid w:val="317B4248"/>
    <w:rsid w:val="31875389"/>
    <w:rsid w:val="318F6041"/>
    <w:rsid w:val="31924546"/>
    <w:rsid w:val="31946BBA"/>
    <w:rsid w:val="319D0157"/>
    <w:rsid w:val="319E0453"/>
    <w:rsid w:val="31BD5944"/>
    <w:rsid w:val="31D236B8"/>
    <w:rsid w:val="31DD03B3"/>
    <w:rsid w:val="31E06187"/>
    <w:rsid w:val="31E454F6"/>
    <w:rsid w:val="31E7679F"/>
    <w:rsid w:val="31E82310"/>
    <w:rsid w:val="31F76528"/>
    <w:rsid w:val="32121FFF"/>
    <w:rsid w:val="32131C23"/>
    <w:rsid w:val="3215014E"/>
    <w:rsid w:val="321509F9"/>
    <w:rsid w:val="32280547"/>
    <w:rsid w:val="32353999"/>
    <w:rsid w:val="32366073"/>
    <w:rsid w:val="324E2659"/>
    <w:rsid w:val="325131C3"/>
    <w:rsid w:val="325320FB"/>
    <w:rsid w:val="32564B02"/>
    <w:rsid w:val="3261015D"/>
    <w:rsid w:val="32697BA5"/>
    <w:rsid w:val="32837BE9"/>
    <w:rsid w:val="32844EBD"/>
    <w:rsid w:val="32896351"/>
    <w:rsid w:val="329B42A7"/>
    <w:rsid w:val="329E7ABF"/>
    <w:rsid w:val="32B52A58"/>
    <w:rsid w:val="32D73141"/>
    <w:rsid w:val="32DE48B8"/>
    <w:rsid w:val="32E30220"/>
    <w:rsid w:val="32EE5DD4"/>
    <w:rsid w:val="3329488B"/>
    <w:rsid w:val="33337FBD"/>
    <w:rsid w:val="33507B3F"/>
    <w:rsid w:val="33520996"/>
    <w:rsid w:val="3383384E"/>
    <w:rsid w:val="338F0F19"/>
    <w:rsid w:val="33A07C89"/>
    <w:rsid w:val="33C72570"/>
    <w:rsid w:val="33E00D5C"/>
    <w:rsid w:val="33E14806"/>
    <w:rsid w:val="33F31D8F"/>
    <w:rsid w:val="34011166"/>
    <w:rsid w:val="34181DCF"/>
    <w:rsid w:val="341D741C"/>
    <w:rsid w:val="342902AA"/>
    <w:rsid w:val="34382161"/>
    <w:rsid w:val="347D3A74"/>
    <w:rsid w:val="34D879BB"/>
    <w:rsid w:val="35055A34"/>
    <w:rsid w:val="350C1B78"/>
    <w:rsid w:val="35351D4B"/>
    <w:rsid w:val="35427FC5"/>
    <w:rsid w:val="35560E01"/>
    <w:rsid w:val="35566B0C"/>
    <w:rsid w:val="355766C9"/>
    <w:rsid w:val="356673C4"/>
    <w:rsid w:val="35712521"/>
    <w:rsid w:val="358C2862"/>
    <w:rsid w:val="35A31F3E"/>
    <w:rsid w:val="35C5183E"/>
    <w:rsid w:val="35D44366"/>
    <w:rsid w:val="361E2AE5"/>
    <w:rsid w:val="3624612C"/>
    <w:rsid w:val="363D57A3"/>
    <w:rsid w:val="363F0490"/>
    <w:rsid w:val="366235CA"/>
    <w:rsid w:val="367965F5"/>
    <w:rsid w:val="36C9182E"/>
    <w:rsid w:val="36CA0A02"/>
    <w:rsid w:val="36E822A9"/>
    <w:rsid w:val="36FC5932"/>
    <w:rsid w:val="370166FD"/>
    <w:rsid w:val="37093989"/>
    <w:rsid w:val="3714272B"/>
    <w:rsid w:val="371927D6"/>
    <w:rsid w:val="374D2767"/>
    <w:rsid w:val="37536856"/>
    <w:rsid w:val="375A6211"/>
    <w:rsid w:val="3763439D"/>
    <w:rsid w:val="376C1A12"/>
    <w:rsid w:val="378064D5"/>
    <w:rsid w:val="379423AB"/>
    <w:rsid w:val="37B009FC"/>
    <w:rsid w:val="37BD7AA6"/>
    <w:rsid w:val="37CC0913"/>
    <w:rsid w:val="37D159D0"/>
    <w:rsid w:val="37D42263"/>
    <w:rsid w:val="37F22DBE"/>
    <w:rsid w:val="37F54B45"/>
    <w:rsid w:val="380152DC"/>
    <w:rsid w:val="38027489"/>
    <w:rsid w:val="380A651E"/>
    <w:rsid w:val="38297235"/>
    <w:rsid w:val="38550999"/>
    <w:rsid w:val="38635731"/>
    <w:rsid w:val="386F0DA4"/>
    <w:rsid w:val="387365EB"/>
    <w:rsid w:val="387B3474"/>
    <w:rsid w:val="38841583"/>
    <w:rsid w:val="389F0627"/>
    <w:rsid w:val="38B4708D"/>
    <w:rsid w:val="38C438F2"/>
    <w:rsid w:val="38D662E0"/>
    <w:rsid w:val="38F30A80"/>
    <w:rsid w:val="38F856DA"/>
    <w:rsid w:val="38F938F1"/>
    <w:rsid w:val="393825AB"/>
    <w:rsid w:val="393C6ED0"/>
    <w:rsid w:val="39544A56"/>
    <w:rsid w:val="395605F2"/>
    <w:rsid w:val="397C0679"/>
    <w:rsid w:val="398C099C"/>
    <w:rsid w:val="39962B58"/>
    <w:rsid w:val="39AB5E03"/>
    <w:rsid w:val="39B31215"/>
    <w:rsid w:val="39B80535"/>
    <w:rsid w:val="39BC585B"/>
    <w:rsid w:val="39D3125B"/>
    <w:rsid w:val="39D60665"/>
    <w:rsid w:val="39E76759"/>
    <w:rsid w:val="39EB7641"/>
    <w:rsid w:val="3A0E662B"/>
    <w:rsid w:val="3A1C402B"/>
    <w:rsid w:val="3A2228BC"/>
    <w:rsid w:val="3A332B96"/>
    <w:rsid w:val="3A3C4CAF"/>
    <w:rsid w:val="3A4619A3"/>
    <w:rsid w:val="3A4A1178"/>
    <w:rsid w:val="3A540CC8"/>
    <w:rsid w:val="3A561EBE"/>
    <w:rsid w:val="3A5C5C1D"/>
    <w:rsid w:val="3A6309FE"/>
    <w:rsid w:val="3A69414B"/>
    <w:rsid w:val="3A72715E"/>
    <w:rsid w:val="3A86077B"/>
    <w:rsid w:val="3A8D0934"/>
    <w:rsid w:val="3ADE2D47"/>
    <w:rsid w:val="3AE30880"/>
    <w:rsid w:val="3AEC66D3"/>
    <w:rsid w:val="3AF54C05"/>
    <w:rsid w:val="3B09141D"/>
    <w:rsid w:val="3B1D6B16"/>
    <w:rsid w:val="3B2F75FC"/>
    <w:rsid w:val="3B472EAF"/>
    <w:rsid w:val="3B483097"/>
    <w:rsid w:val="3B837076"/>
    <w:rsid w:val="3B8D167D"/>
    <w:rsid w:val="3B8E0803"/>
    <w:rsid w:val="3B9B75BE"/>
    <w:rsid w:val="3B9E7C64"/>
    <w:rsid w:val="3BAD268B"/>
    <w:rsid w:val="3BC30F6F"/>
    <w:rsid w:val="3BDD1721"/>
    <w:rsid w:val="3BE24C8E"/>
    <w:rsid w:val="3C0F1C25"/>
    <w:rsid w:val="3C3012A9"/>
    <w:rsid w:val="3C5B2337"/>
    <w:rsid w:val="3C60742E"/>
    <w:rsid w:val="3C634D39"/>
    <w:rsid w:val="3C7872DE"/>
    <w:rsid w:val="3C9147B1"/>
    <w:rsid w:val="3C966185"/>
    <w:rsid w:val="3C9A7B0B"/>
    <w:rsid w:val="3CAD36C9"/>
    <w:rsid w:val="3CD64CA9"/>
    <w:rsid w:val="3CD76F0F"/>
    <w:rsid w:val="3CE41636"/>
    <w:rsid w:val="3CF02C7B"/>
    <w:rsid w:val="3D1460B0"/>
    <w:rsid w:val="3D233ADE"/>
    <w:rsid w:val="3D35512C"/>
    <w:rsid w:val="3D6C7E97"/>
    <w:rsid w:val="3D8404A3"/>
    <w:rsid w:val="3D926C90"/>
    <w:rsid w:val="3DA732E0"/>
    <w:rsid w:val="3DB24209"/>
    <w:rsid w:val="3DBB303B"/>
    <w:rsid w:val="3DBB77E0"/>
    <w:rsid w:val="3DBD2639"/>
    <w:rsid w:val="3DBD5ED2"/>
    <w:rsid w:val="3DC50464"/>
    <w:rsid w:val="3DC96811"/>
    <w:rsid w:val="3DD9064A"/>
    <w:rsid w:val="3DF23155"/>
    <w:rsid w:val="3DFB148E"/>
    <w:rsid w:val="3DFF3EEE"/>
    <w:rsid w:val="3E1E603A"/>
    <w:rsid w:val="3E28422F"/>
    <w:rsid w:val="3E28763A"/>
    <w:rsid w:val="3E380635"/>
    <w:rsid w:val="3E3B10B8"/>
    <w:rsid w:val="3E5C2651"/>
    <w:rsid w:val="3E657762"/>
    <w:rsid w:val="3E730F66"/>
    <w:rsid w:val="3E743B64"/>
    <w:rsid w:val="3EB4540E"/>
    <w:rsid w:val="3EC30715"/>
    <w:rsid w:val="3ED92334"/>
    <w:rsid w:val="3EEC2633"/>
    <w:rsid w:val="3EFD02D4"/>
    <w:rsid w:val="3EFD6B26"/>
    <w:rsid w:val="3F2314CE"/>
    <w:rsid w:val="3F3463A1"/>
    <w:rsid w:val="3F4D4FD4"/>
    <w:rsid w:val="3F5B37EA"/>
    <w:rsid w:val="3F5B5E9A"/>
    <w:rsid w:val="3F605FE8"/>
    <w:rsid w:val="3F666BD7"/>
    <w:rsid w:val="3F9877CD"/>
    <w:rsid w:val="3F9E1C43"/>
    <w:rsid w:val="3FA94089"/>
    <w:rsid w:val="3FAF22BE"/>
    <w:rsid w:val="3FB75940"/>
    <w:rsid w:val="3FCC0801"/>
    <w:rsid w:val="3FD169B8"/>
    <w:rsid w:val="3FE11FD0"/>
    <w:rsid w:val="3FEC3E0E"/>
    <w:rsid w:val="3FFD7994"/>
    <w:rsid w:val="3FFF0C57"/>
    <w:rsid w:val="401F5FB9"/>
    <w:rsid w:val="40224020"/>
    <w:rsid w:val="402819CB"/>
    <w:rsid w:val="40327960"/>
    <w:rsid w:val="4048373C"/>
    <w:rsid w:val="40544A83"/>
    <w:rsid w:val="40564195"/>
    <w:rsid w:val="405A7C3B"/>
    <w:rsid w:val="405D25D6"/>
    <w:rsid w:val="40937F8D"/>
    <w:rsid w:val="40A42FF1"/>
    <w:rsid w:val="40A476A4"/>
    <w:rsid w:val="40BC5AD7"/>
    <w:rsid w:val="40DB3E90"/>
    <w:rsid w:val="40DC7856"/>
    <w:rsid w:val="40DD2756"/>
    <w:rsid w:val="40EF4827"/>
    <w:rsid w:val="40F17800"/>
    <w:rsid w:val="40F714B6"/>
    <w:rsid w:val="41115044"/>
    <w:rsid w:val="413F34B6"/>
    <w:rsid w:val="414C75E4"/>
    <w:rsid w:val="4155471F"/>
    <w:rsid w:val="415617AC"/>
    <w:rsid w:val="415648A7"/>
    <w:rsid w:val="419D5882"/>
    <w:rsid w:val="41EF4216"/>
    <w:rsid w:val="41FC2448"/>
    <w:rsid w:val="42117700"/>
    <w:rsid w:val="423278B9"/>
    <w:rsid w:val="423B07F0"/>
    <w:rsid w:val="42471B7D"/>
    <w:rsid w:val="425844B4"/>
    <w:rsid w:val="426A317D"/>
    <w:rsid w:val="426B25D4"/>
    <w:rsid w:val="428914A6"/>
    <w:rsid w:val="428F280D"/>
    <w:rsid w:val="429E6B5C"/>
    <w:rsid w:val="42A55E67"/>
    <w:rsid w:val="42A653BA"/>
    <w:rsid w:val="42B8422E"/>
    <w:rsid w:val="42D20147"/>
    <w:rsid w:val="42D95852"/>
    <w:rsid w:val="42EC53E0"/>
    <w:rsid w:val="42ED36B3"/>
    <w:rsid w:val="42F86865"/>
    <w:rsid w:val="42FE335D"/>
    <w:rsid w:val="43084906"/>
    <w:rsid w:val="43171E14"/>
    <w:rsid w:val="43582A0A"/>
    <w:rsid w:val="43656469"/>
    <w:rsid w:val="43843EA4"/>
    <w:rsid w:val="43C57053"/>
    <w:rsid w:val="43CC6064"/>
    <w:rsid w:val="43FB138E"/>
    <w:rsid w:val="44026453"/>
    <w:rsid w:val="44365F86"/>
    <w:rsid w:val="44690DBB"/>
    <w:rsid w:val="44695872"/>
    <w:rsid w:val="44766EB9"/>
    <w:rsid w:val="447F2366"/>
    <w:rsid w:val="44CD1622"/>
    <w:rsid w:val="44CF4B4F"/>
    <w:rsid w:val="44D945CD"/>
    <w:rsid w:val="44F263A0"/>
    <w:rsid w:val="45190019"/>
    <w:rsid w:val="4548069B"/>
    <w:rsid w:val="455E2131"/>
    <w:rsid w:val="45641758"/>
    <w:rsid w:val="456D5910"/>
    <w:rsid w:val="45704E13"/>
    <w:rsid w:val="458128FE"/>
    <w:rsid w:val="45AF1F78"/>
    <w:rsid w:val="45B06E6A"/>
    <w:rsid w:val="45BA2830"/>
    <w:rsid w:val="45CD708E"/>
    <w:rsid w:val="45CF6BE6"/>
    <w:rsid w:val="45E422F8"/>
    <w:rsid w:val="462760EF"/>
    <w:rsid w:val="465D62B8"/>
    <w:rsid w:val="46686073"/>
    <w:rsid w:val="467F0F50"/>
    <w:rsid w:val="468653D0"/>
    <w:rsid w:val="469815C6"/>
    <w:rsid w:val="469E76CB"/>
    <w:rsid w:val="46B45D00"/>
    <w:rsid w:val="46D814F7"/>
    <w:rsid w:val="46F97F47"/>
    <w:rsid w:val="4710374A"/>
    <w:rsid w:val="47257FC6"/>
    <w:rsid w:val="474C750C"/>
    <w:rsid w:val="475C2DC0"/>
    <w:rsid w:val="478812B5"/>
    <w:rsid w:val="4792660D"/>
    <w:rsid w:val="47A3636C"/>
    <w:rsid w:val="47BE61CB"/>
    <w:rsid w:val="47CD33E9"/>
    <w:rsid w:val="47CF6D60"/>
    <w:rsid w:val="47E66DC6"/>
    <w:rsid w:val="482D17BC"/>
    <w:rsid w:val="483416BA"/>
    <w:rsid w:val="483822AD"/>
    <w:rsid w:val="484E277B"/>
    <w:rsid w:val="488A104E"/>
    <w:rsid w:val="489079B2"/>
    <w:rsid w:val="48955C54"/>
    <w:rsid w:val="48AE4FC8"/>
    <w:rsid w:val="48CD112F"/>
    <w:rsid w:val="48D06AD4"/>
    <w:rsid w:val="48D350C2"/>
    <w:rsid w:val="48F35B7D"/>
    <w:rsid w:val="49116687"/>
    <w:rsid w:val="491244C9"/>
    <w:rsid w:val="49335CC4"/>
    <w:rsid w:val="49386B6D"/>
    <w:rsid w:val="493A71C9"/>
    <w:rsid w:val="495503D5"/>
    <w:rsid w:val="49627B61"/>
    <w:rsid w:val="49694F47"/>
    <w:rsid w:val="49765F1C"/>
    <w:rsid w:val="497A40B1"/>
    <w:rsid w:val="499A5561"/>
    <w:rsid w:val="49B17472"/>
    <w:rsid w:val="49B54EE2"/>
    <w:rsid w:val="49BF169D"/>
    <w:rsid w:val="49D4729E"/>
    <w:rsid w:val="49D902F6"/>
    <w:rsid w:val="49DB7AF7"/>
    <w:rsid w:val="49E2102B"/>
    <w:rsid w:val="49E34FD8"/>
    <w:rsid w:val="49FC5E60"/>
    <w:rsid w:val="4A235542"/>
    <w:rsid w:val="4A25146D"/>
    <w:rsid w:val="4A370F5A"/>
    <w:rsid w:val="4A5C7A50"/>
    <w:rsid w:val="4A6E0EB3"/>
    <w:rsid w:val="4A7C25F5"/>
    <w:rsid w:val="4AA633F7"/>
    <w:rsid w:val="4AA96A81"/>
    <w:rsid w:val="4AD90972"/>
    <w:rsid w:val="4AF537B0"/>
    <w:rsid w:val="4B3955C1"/>
    <w:rsid w:val="4B500B59"/>
    <w:rsid w:val="4B5803A0"/>
    <w:rsid w:val="4B7862D2"/>
    <w:rsid w:val="4B8D5B0B"/>
    <w:rsid w:val="4B9A7C7D"/>
    <w:rsid w:val="4BA47D14"/>
    <w:rsid w:val="4BAF4D3D"/>
    <w:rsid w:val="4BB836AE"/>
    <w:rsid w:val="4BBC1E29"/>
    <w:rsid w:val="4BC35194"/>
    <w:rsid w:val="4BD341BE"/>
    <w:rsid w:val="4BDE76AC"/>
    <w:rsid w:val="4C1733BC"/>
    <w:rsid w:val="4C393FA0"/>
    <w:rsid w:val="4C5E780C"/>
    <w:rsid w:val="4C873D9A"/>
    <w:rsid w:val="4CAC3F40"/>
    <w:rsid w:val="4CB43315"/>
    <w:rsid w:val="4CB51BCC"/>
    <w:rsid w:val="4CBB4158"/>
    <w:rsid w:val="4CCE1FC2"/>
    <w:rsid w:val="4CDF1BF4"/>
    <w:rsid w:val="4D0E7F0C"/>
    <w:rsid w:val="4D1B12A5"/>
    <w:rsid w:val="4D240E4F"/>
    <w:rsid w:val="4D283D68"/>
    <w:rsid w:val="4D2F21DC"/>
    <w:rsid w:val="4D415DB7"/>
    <w:rsid w:val="4D45618D"/>
    <w:rsid w:val="4D6838EA"/>
    <w:rsid w:val="4D6840C6"/>
    <w:rsid w:val="4D763BF8"/>
    <w:rsid w:val="4D782ED2"/>
    <w:rsid w:val="4D9F2D19"/>
    <w:rsid w:val="4DAF5446"/>
    <w:rsid w:val="4DB65673"/>
    <w:rsid w:val="4DD82736"/>
    <w:rsid w:val="4E054F56"/>
    <w:rsid w:val="4E1E674C"/>
    <w:rsid w:val="4E204DBF"/>
    <w:rsid w:val="4E2E0CF8"/>
    <w:rsid w:val="4E447519"/>
    <w:rsid w:val="4E464A68"/>
    <w:rsid w:val="4E555EE6"/>
    <w:rsid w:val="4E5D2646"/>
    <w:rsid w:val="4E9D5743"/>
    <w:rsid w:val="4EB824B2"/>
    <w:rsid w:val="4EB852D2"/>
    <w:rsid w:val="4EE32348"/>
    <w:rsid w:val="4EFC6051"/>
    <w:rsid w:val="4F0D167A"/>
    <w:rsid w:val="4F160D84"/>
    <w:rsid w:val="4F2B7833"/>
    <w:rsid w:val="4F340BC1"/>
    <w:rsid w:val="4F374F3F"/>
    <w:rsid w:val="4F3C2D1E"/>
    <w:rsid w:val="4F3E4F22"/>
    <w:rsid w:val="4F5F659F"/>
    <w:rsid w:val="4F6A5CDB"/>
    <w:rsid w:val="4F7311C6"/>
    <w:rsid w:val="4F942403"/>
    <w:rsid w:val="4FA175EF"/>
    <w:rsid w:val="4FB300DC"/>
    <w:rsid w:val="4FB81793"/>
    <w:rsid w:val="4FBA2EEB"/>
    <w:rsid w:val="4FBB35B0"/>
    <w:rsid w:val="4FC43323"/>
    <w:rsid w:val="4FE15367"/>
    <w:rsid w:val="4FE15C0B"/>
    <w:rsid w:val="4FE34005"/>
    <w:rsid w:val="4FE55DF5"/>
    <w:rsid w:val="4FFF52EA"/>
    <w:rsid w:val="500328E1"/>
    <w:rsid w:val="50085875"/>
    <w:rsid w:val="500F06B9"/>
    <w:rsid w:val="50133881"/>
    <w:rsid w:val="50174683"/>
    <w:rsid w:val="501E5D96"/>
    <w:rsid w:val="501F7A3A"/>
    <w:rsid w:val="50237883"/>
    <w:rsid w:val="50250D2A"/>
    <w:rsid w:val="503453E2"/>
    <w:rsid w:val="503B2481"/>
    <w:rsid w:val="50594B3C"/>
    <w:rsid w:val="50624D44"/>
    <w:rsid w:val="506922CC"/>
    <w:rsid w:val="50BD2D29"/>
    <w:rsid w:val="50C978EC"/>
    <w:rsid w:val="510E6F1B"/>
    <w:rsid w:val="512442AC"/>
    <w:rsid w:val="5140376A"/>
    <w:rsid w:val="514A622C"/>
    <w:rsid w:val="51576BCB"/>
    <w:rsid w:val="516B6DE7"/>
    <w:rsid w:val="51791EEB"/>
    <w:rsid w:val="517D7F15"/>
    <w:rsid w:val="518C14B2"/>
    <w:rsid w:val="518F1B64"/>
    <w:rsid w:val="519A2794"/>
    <w:rsid w:val="51FA4C65"/>
    <w:rsid w:val="522D56BD"/>
    <w:rsid w:val="523D5320"/>
    <w:rsid w:val="523E1BDF"/>
    <w:rsid w:val="523E41A9"/>
    <w:rsid w:val="526669B1"/>
    <w:rsid w:val="527B72D6"/>
    <w:rsid w:val="528865F8"/>
    <w:rsid w:val="52A02883"/>
    <w:rsid w:val="52A13B97"/>
    <w:rsid w:val="52A26B02"/>
    <w:rsid w:val="52BD1AB5"/>
    <w:rsid w:val="52C33D66"/>
    <w:rsid w:val="52C87136"/>
    <w:rsid w:val="53067474"/>
    <w:rsid w:val="53374CB4"/>
    <w:rsid w:val="53375B37"/>
    <w:rsid w:val="53410CCE"/>
    <w:rsid w:val="53442F69"/>
    <w:rsid w:val="535B7C55"/>
    <w:rsid w:val="53753A07"/>
    <w:rsid w:val="53827366"/>
    <w:rsid w:val="538319EF"/>
    <w:rsid w:val="538B2CAC"/>
    <w:rsid w:val="539516EE"/>
    <w:rsid w:val="53C8660A"/>
    <w:rsid w:val="53DA7A94"/>
    <w:rsid w:val="53F13763"/>
    <w:rsid w:val="53FB4FF9"/>
    <w:rsid w:val="540129E1"/>
    <w:rsid w:val="54016210"/>
    <w:rsid w:val="54316B75"/>
    <w:rsid w:val="543F741C"/>
    <w:rsid w:val="54542B47"/>
    <w:rsid w:val="547639A0"/>
    <w:rsid w:val="54784CD7"/>
    <w:rsid w:val="54792DB6"/>
    <w:rsid w:val="54823841"/>
    <w:rsid w:val="548337AD"/>
    <w:rsid w:val="54865F78"/>
    <w:rsid w:val="54902C50"/>
    <w:rsid w:val="54922D60"/>
    <w:rsid w:val="54A32556"/>
    <w:rsid w:val="54BC6A27"/>
    <w:rsid w:val="54C35814"/>
    <w:rsid w:val="54C826B9"/>
    <w:rsid w:val="54C86E9D"/>
    <w:rsid w:val="54D76F89"/>
    <w:rsid w:val="54E914E7"/>
    <w:rsid w:val="55075A78"/>
    <w:rsid w:val="551A3027"/>
    <w:rsid w:val="552D16D3"/>
    <w:rsid w:val="553E4DCA"/>
    <w:rsid w:val="55422780"/>
    <w:rsid w:val="55485543"/>
    <w:rsid w:val="55492DEA"/>
    <w:rsid w:val="55592760"/>
    <w:rsid w:val="555E0CB6"/>
    <w:rsid w:val="55777051"/>
    <w:rsid w:val="558A20FC"/>
    <w:rsid w:val="558F6181"/>
    <w:rsid w:val="559448A1"/>
    <w:rsid w:val="5599447B"/>
    <w:rsid w:val="559A1606"/>
    <w:rsid w:val="559B2D78"/>
    <w:rsid w:val="55A43BA9"/>
    <w:rsid w:val="55B21C99"/>
    <w:rsid w:val="55D945F5"/>
    <w:rsid w:val="55E35879"/>
    <w:rsid w:val="55E35A62"/>
    <w:rsid w:val="560766BE"/>
    <w:rsid w:val="561B4944"/>
    <w:rsid w:val="5621327D"/>
    <w:rsid w:val="562C7C75"/>
    <w:rsid w:val="5633664B"/>
    <w:rsid w:val="564444DA"/>
    <w:rsid w:val="56495C9B"/>
    <w:rsid w:val="56560A3A"/>
    <w:rsid w:val="565F3DA6"/>
    <w:rsid w:val="566C7275"/>
    <w:rsid w:val="567279B9"/>
    <w:rsid w:val="568A287D"/>
    <w:rsid w:val="569E4D94"/>
    <w:rsid w:val="56B63727"/>
    <w:rsid w:val="56B77821"/>
    <w:rsid w:val="56C6313A"/>
    <w:rsid w:val="56D323CE"/>
    <w:rsid w:val="56E04E42"/>
    <w:rsid w:val="56F35F1C"/>
    <w:rsid w:val="571441DC"/>
    <w:rsid w:val="5719467F"/>
    <w:rsid w:val="57325D33"/>
    <w:rsid w:val="573639F8"/>
    <w:rsid w:val="575323A6"/>
    <w:rsid w:val="576C64BA"/>
    <w:rsid w:val="577C58BF"/>
    <w:rsid w:val="578E02F4"/>
    <w:rsid w:val="57C7590E"/>
    <w:rsid w:val="57CC3DC9"/>
    <w:rsid w:val="57D51DF2"/>
    <w:rsid w:val="57DE0EE1"/>
    <w:rsid w:val="5801698A"/>
    <w:rsid w:val="58071BCF"/>
    <w:rsid w:val="5815621C"/>
    <w:rsid w:val="582117FE"/>
    <w:rsid w:val="58213CEE"/>
    <w:rsid w:val="587957B4"/>
    <w:rsid w:val="587C288D"/>
    <w:rsid w:val="588564CB"/>
    <w:rsid w:val="588D4A64"/>
    <w:rsid w:val="588E6036"/>
    <w:rsid w:val="58BD59CC"/>
    <w:rsid w:val="58BE2CE7"/>
    <w:rsid w:val="58D911D4"/>
    <w:rsid w:val="58E30BF2"/>
    <w:rsid w:val="58EA1899"/>
    <w:rsid w:val="59052B29"/>
    <w:rsid w:val="590F0736"/>
    <w:rsid w:val="5935695C"/>
    <w:rsid w:val="59521F5E"/>
    <w:rsid w:val="59713A38"/>
    <w:rsid w:val="59727EA5"/>
    <w:rsid w:val="597B3A33"/>
    <w:rsid w:val="598C0423"/>
    <w:rsid w:val="599E40E0"/>
    <w:rsid w:val="59AC5297"/>
    <w:rsid w:val="59D5716B"/>
    <w:rsid w:val="59F744CA"/>
    <w:rsid w:val="59F74D2C"/>
    <w:rsid w:val="5A090830"/>
    <w:rsid w:val="5A0B29AC"/>
    <w:rsid w:val="5A1C364E"/>
    <w:rsid w:val="5A51178B"/>
    <w:rsid w:val="5A53257B"/>
    <w:rsid w:val="5A59480D"/>
    <w:rsid w:val="5A5C21BD"/>
    <w:rsid w:val="5A66445C"/>
    <w:rsid w:val="5A711AB2"/>
    <w:rsid w:val="5A8A4D20"/>
    <w:rsid w:val="5A967036"/>
    <w:rsid w:val="5A9A15B6"/>
    <w:rsid w:val="5AD91624"/>
    <w:rsid w:val="5AD95A4B"/>
    <w:rsid w:val="5AE310DB"/>
    <w:rsid w:val="5B0C1F96"/>
    <w:rsid w:val="5B37153B"/>
    <w:rsid w:val="5B4324F1"/>
    <w:rsid w:val="5B517D14"/>
    <w:rsid w:val="5B580595"/>
    <w:rsid w:val="5B6D64E1"/>
    <w:rsid w:val="5B827977"/>
    <w:rsid w:val="5BAB7FF2"/>
    <w:rsid w:val="5BC50227"/>
    <w:rsid w:val="5BC60D3A"/>
    <w:rsid w:val="5BCE73DA"/>
    <w:rsid w:val="5BD647DD"/>
    <w:rsid w:val="5BE73E7A"/>
    <w:rsid w:val="5BE74F28"/>
    <w:rsid w:val="5BE807EB"/>
    <w:rsid w:val="5C0750DB"/>
    <w:rsid w:val="5C172A89"/>
    <w:rsid w:val="5C207C68"/>
    <w:rsid w:val="5C4A0D86"/>
    <w:rsid w:val="5C5326B5"/>
    <w:rsid w:val="5C640F5A"/>
    <w:rsid w:val="5C71038F"/>
    <w:rsid w:val="5C762430"/>
    <w:rsid w:val="5C784E10"/>
    <w:rsid w:val="5CA24DE1"/>
    <w:rsid w:val="5CA90471"/>
    <w:rsid w:val="5CC1035D"/>
    <w:rsid w:val="5CCD7DFC"/>
    <w:rsid w:val="5CD64696"/>
    <w:rsid w:val="5CEC0241"/>
    <w:rsid w:val="5CFB5BAC"/>
    <w:rsid w:val="5D071402"/>
    <w:rsid w:val="5D080CB6"/>
    <w:rsid w:val="5D085891"/>
    <w:rsid w:val="5D116B69"/>
    <w:rsid w:val="5D2C29DE"/>
    <w:rsid w:val="5D3E1DB7"/>
    <w:rsid w:val="5D4648B4"/>
    <w:rsid w:val="5D494E68"/>
    <w:rsid w:val="5D6E1AB6"/>
    <w:rsid w:val="5D730C4E"/>
    <w:rsid w:val="5D8065AB"/>
    <w:rsid w:val="5D994DEE"/>
    <w:rsid w:val="5DB25986"/>
    <w:rsid w:val="5DB547A4"/>
    <w:rsid w:val="5DCE01AF"/>
    <w:rsid w:val="5DD958F6"/>
    <w:rsid w:val="5DFC288C"/>
    <w:rsid w:val="5DFF1E0A"/>
    <w:rsid w:val="5E0A1E05"/>
    <w:rsid w:val="5E0C1D6A"/>
    <w:rsid w:val="5E1149F1"/>
    <w:rsid w:val="5E1B5C29"/>
    <w:rsid w:val="5E1E4272"/>
    <w:rsid w:val="5E435D5B"/>
    <w:rsid w:val="5E6B7045"/>
    <w:rsid w:val="5E852241"/>
    <w:rsid w:val="5E852D4D"/>
    <w:rsid w:val="5E925370"/>
    <w:rsid w:val="5EB612A9"/>
    <w:rsid w:val="5EC124CF"/>
    <w:rsid w:val="5ED97E43"/>
    <w:rsid w:val="5EE50C5F"/>
    <w:rsid w:val="5EF36C9F"/>
    <w:rsid w:val="5F081DC6"/>
    <w:rsid w:val="5F273944"/>
    <w:rsid w:val="5F356214"/>
    <w:rsid w:val="5F643144"/>
    <w:rsid w:val="5F6E3E56"/>
    <w:rsid w:val="5F8418BA"/>
    <w:rsid w:val="5F841CAE"/>
    <w:rsid w:val="5F860B10"/>
    <w:rsid w:val="5F9112D5"/>
    <w:rsid w:val="5FB62535"/>
    <w:rsid w:val="5FEF28C3"/>
    <w:rsid w:val="5FFD2A20"/>
    <w:rsid w:val="600D0899"/>
    <w:rsid w:val="6020731B"/>
    <w:rsid w:val="60283DAC"/>
    <w:rsid w:val="602B3999"/>
    <w:rsid w:val="60353624"/>
    <w:rsid w:val="604360F9"/>
    <w:rsid w:val="60663F71"/>
    <w:rsid w:val="60666B22"/>
    <w:rsid w:val="607D01E6"/>
    <w:rsid w:val="608A15AB"/>
    <w:rsid w:val="609B0890"/>
    <w:rsid w:val="60B9773C"/>
    <w:rsid w:val="60C01B61"/>
    <w:rsid w:val="60CA3B7E"/>
    <w:rsid w:val="60D00B91"/>
    <w:rsid w:val="60DA6233"/>
    <w:rsid w:val="60EB768C"/>
    <w:rsid w:val="60EE5CBA"/>
    <w:rsid w:val="60F31CBA"/>
    <w:rsid w:val="60F9244C"/>
    <w:rsid w:val="610711AA"/>
    <w:rsid w:val="612F0FB2"/>
    <w:rsid w:val="613F36F2"/>
    <w:rsid w:val="616057A3"/>
    <w:rsid w:val="61622EE9"/>
    <w:rsid w:val="616540C4"/>
    <w:rsid w:val="61715F90"/>
    <w:rsid w:val="61763206"/>
    <w:rsid w:val="617817BA"/>
    <w:rsid w:val="61852103"/>
    <w:rsid w:val="61900749"/>
    <w:rsid w:val="61990F65"/>
    <w:rsid w:val="61B56D47"/>
    <w:rsid w:val="61CC2500"/>
    <w:rsid w:val="620147CF"/>
    <w:rsid w:val="62087374"/>
    <w:rsid w:val="621D4A0E"/>
    <w:rsid w:val="62213391"/>
    <w:rsid w:val="622450CB"/>
    <w:rsid w:val="62391A9D"/>
    <w:rsid w:val="624C1C31"/>
    <w:rsid w:val="625159F5"/>
    <w:rsid w:val="62683DB6"/>
    <w:rsid w:val="626C76D6"/>
    <w:rsid w:val="6288373A"/>
    <w:rsid w:val="628D5C1A"/>
    <w:rsid w:val="629D7CAE"/>
    <w:rsid w:val="629F47B6"/>
    <w:rsid w:val="62AE5E99"/>
    <w:rsid w:val="62BA2AA9"/>
    <w:rsid w:val="62C244BD"/>
    <w:rsid w:val="62C807EE"/>
    <w:rsid w:val="632D2BB6"/>
    <w:rsid w:val="632F634B"/>
    <w:rsid w:val="6335642A"/>
    <w:rsid w:val="633F3B9E"/>
    <w:rsid w:val="63533463"/>
    <w:rsid w:val="63616D77"/>
    <w:rsid w:val="6366122C"/>
    <w:rsid w:val="637D33A9"/>
    <w:rsid w:val="63996A18"/>
    <w:rsid w:val="639B10B9"/>
    <w:rsid w:val="639B4F48"/>
    <w:rsid w:val="639D5B17"/>
    <w:rsid w:val="63A86B4C"/>
    <w:rsid w:val="63B374DF"/>
    <w:rsid w:val="63B405CD"/>
    <w:rsid w:val="63C02465"/>
    <w:rsid w:val="63DF767E"/>
    <w:rsid w:val="63F44F76"/>
    <w:rsid w:val="63F60444"/>
    <w:rsid w:val="640D50EC"/>
    <w:rsid w:val="642761ED"/>
    <w:rsid w:val="64366D22"/>
    <w:rsid w:val="646874C6"/>
    <w:rsid w:val="64883AD5"/>
    <w:rsid w:val="64A25D6D"/>
    <w:rsid w:val="64A71ED9"/>
    <w:rsid w:val="64B33182"/>
    <w:rsid w:val="64BC7359"/>
    <w:rsid w:val="64BF6FF4"/>
    <w:rsid w:val="64D733C7"/>
    <w:rsid w:val="64D95A6F"/>
    <w:rsid w:val="64E01278"/>
    <w:rsid w:val="64E61C00"/>
    <w:rsid w:val="64E758C5"/>
    <w:rsid w:val="64F75CCC"/>
    <w:rsid w:val="650049A4"/>
    <w:rsid w:val="650B6C7E"/>
    <w:rsid w:val="6513750F"/>
    <w:rsid w:val="65294E5D"/>
    <w:rsid w:val="652979F8"/>
    <w:rsid w:val="652B6017"/>
    <w:rsid w:val="65335B2A"/>
    <w:rsid w:val="6548061C"/>
    <w:rsid w:val="654A6EBC"/>
    <w:rsid w:val="65692221"/>
    <w:rsid w:val="65697A65"/>
    <w:rsid w:val="657945DF"/>
    <w:rsid w:val="657A0229"/>
    <w:rsid w:val="658C76A7"/>
    <w:rsid w:val="65A938F8"/>
    <w:rsid w:val="65C845D6"/>
    <w:rsid w:val="65CD1B91"/>
    <w:rsid w:val="65E542D3"/>
    <w:rsid w:val="65E6351A"/>
    <w:rsid w:val="65EE5C3B"/>
    <w:rsid w:val="660626AA"/>
    <w:rsid w:val="66106F66"/>
    <w:rsid w:val="66171FA7"/>
    <w:rsid w:val="663C5C94"/>
    <w:rsid w:val="664B495D"/>
    <w:rsid w:val="666322B9"/>
    <w:rsid w:val="66733190"/>
    <w:rsid w:val="66770F4A"/>
    <w:rsid w:val="668F691E"/>
    <w:rsid w:val="66BB1149"/>
    <w:rsid w:val="66BD4FFC"/>
    <w:rsid w:val="66CA5D9A"/>
    <w:rsid w:val="66D77C3A"/>
    <w:rsid w:val="670F7122"/>
    <w:rsid w:val="67244561"/>
    <w:rsid w:val="673F4B7B"/>
    <w:rsid w:val="674F44CF"/>
    <w:rsid w:val="67652502"/>
    <w:rsid w:val="677C5F6B"/>
    <w:rsid w:val="67A875F9"/>
    <w:rsid w:val="67AA5F4D"/>
    <w:rsid w:val="67B33F51"/>
    <w:rsid w:val="67B613EA"/>
    <w:rsid w:val="67CC2025"/>
    <w:rsid w:val="67CE39FB"/>
    <w:rsid w:val="67EC13FF"/>
    <w:rsid w:val="67F436AF"/>
    <w:rsid w:val="67F8224A"/>
    <w:rsid w:val="680D2C91"/>
    <w:rsid w:val="681732FB"/>
    <w:rsid w:val="681D126E"/>
    <w:rsid w:val="681D2619"/>
    <w:rsid w:val="68250098"/>
    <w:rsid w:val="683469B1"/>
    <w:rsid w:val="68784B90"/>
    <w:rsid w:val="688D4961"/>
    <w:rsid w:val="689404B6"/>
    <w:rsid w:val="68AA088F"/>
    <w:rsid w:val="68AC7D3D"/>
    <w:rsid w:val="68CB3749"/>
    <w:rsid w:val="68D13522"/>
    <w:rsid w:val="68DD1721"/>
    <w:rsid w:val="68E2562F"/>
    <w:rsid w:val="68E563F7"/>
    <w:rsid w:val="692A0C03"/>
    <w:rsid w:val="693E2F8B"/>
    <w:rsid w:val="694E2EBE"/>
    <w:rsid w:val="69651393"/>
    <w:rsid w:val="69690A1D"/>
    <w:rsid w:val="698557B5"/>
    <w:rsid w:val="69894ED4"/>
    <w:rsid w:val="699C3199"/>
    <w:rsid w:val="69E5326B"/>
    <w:rsid w:val="69F306F5"/>
    <w:rsid w:val="69F948F4"/>
    <w:rsid w:val="69FF6FDA"/>
    <w:rsid w:val="6A197406"/>
    <w:rsid w:val="6A2918F1"/>
    <w:rsid w:val="6A3830A7"/>
    <w:rsid w:val="6A412F2A"/>
    <w:rsid w:val="6A4C0EA2"/>
    <w:rsid w:val="6A6F13D1"/>
    <w:rsid w:val="6A7F3448"/>
    <w:rsid w:val="6A907A2B"/>
    <w:rsid w:val="6A95793E"/>
    <w:rsid w:val="6AA50493"/>
    <w:rsid w:val="6AAE2B07"/>
    <w:rsid w:val="6AB53308"/>
    <w:rsid w:val="6ACD48FE"/>
    <w:rsid w:val="6AD527D2"/>
    <w:rsid w:val="6AE775B9"/>
    <w:rsid w:val="6AEA3403"/>
    <w:rsid w:val="6AFC54F8"/>
    <w:rsid w:val="6AFC5C0F"/>
    <w:rsid w:val="6AFF70FF"/>
    <w:rsid w:val="6B0A0DCC"/>
    <w:rsid w:val="6B26258C"/>
    <w:rsid w:val="6B26430F"/>
    <w:rsid w:val="6B6B6040"/>
    <w:rsid w:val="6B763E99"/>
    <w:rsid w:val="6B8C18B3"/>
    <w:rsid w:val="6B8E0ACC"/>
    <w:rsid w:val="6BBA5F1B"/>
    <w:rsid w:val="6BBC0301"/>
    <w:rsid w:val="6BC8154E"/>
    <w:rsid w:val="6BC95981"/>
    <w:rsid w:val="6BCC4566"/>
    <w:rsid w:val="6BF54A6D"/>
    <w:rsid w:val="6C034540"/>
    <w:rsid w:val="6C2F16B4"/>
    <w:rsid w:val="6C503B23"/>
    <w:rsid w:val="6C8C5F6F"/>
    <w:rsid w:val="6C9244B8"/>
    <w:rsid w:val="6C933CB4"/>
    <w:rsid w:val="6CC26BC2"/>
    <w:rsid w:val="6CD90C20"/>
    <w:rsid w:val="6CF23357"/>
    <w:rsid w:val="6D02006D"/>
    <w:rsid w:val="6D0C3966"/>
    <w:rsid w:val="6D104735"/>
    <w:rsid w:val="6D206747"/>
    <w:rsid w:val="6D280AB9"/>
    <w:rsid w:val="6D343B51"/>
    <w:rsid w:val="6D693765"/>
    <w:rsid w:val="6D733B48"/>
    <w:rsid w:val="6D837808"/>
    <w:rsid w:val="6D913E29"/>
    <w:rsid w:val="6DB0508E"/>
    <w:rsid w:val="6DC441B2"/>
    <w:rsid w:val="6DD46E08"/>
    <w:rsid w:val="6DF837C3"/>
    <w:rsid w:val="6E014003"/>
    <w:rsid w:val="6E0769FA"/>
    <w:rsid w:val="6E1C0F08"/>
    <w:rsid w:val="6E28588D"/>
    <w:rsid w:val="6E2D5C78"/>
    <w:rsid w:val="6E835E13"/>
    <w:rsid w:val="6E872850"/>
    <w:rsid w:val="6E892F5D"/>
    <w:rsid w:val="6E933644"/>
    <w:rsid w:val="6E993053"/>
    <w:rsid w:val="6EAE1C28"/>
    <w:rsid w:val="6EBD1DF6"/>
    <w:rsid w:val="6EDC0261"/>
    <w:rsid w:val="6EDC11D9"/>
    <w:rsid w:val="6EDD18B4"/>
    <w:rsid w:val="6EDD3ABE"/>
    <w:rsid w:val="6EE65361"/>
    <w:rsid w:val="6EF47329"/>
    <w:rsid w:val="6EFE2D13"/>
    <w:rsid w:val="6F0F4DAC"/>
    <w:rsid w:val="6F1E0D79"/>
    <w:rsid w:val="6F423B73"/>
    <w:rsid w:val="6F475250"/>
    <w:rsid w:val="6F63000B"/>
    <w:rsid w:val="6F63407D"/>
    <w:rsid w:val="6F8D22EA"/>
    <w:rsid w:val="6F8D3BB6"/>
    <w:rsid w:val="6F907472"/>
    <w:rsid w:val="6FD04F3F"/>
    <w:rsid w:val="6FE60F7D"/>
    <w:rsid w:val="6FEB3B65"/>
    <w:rsid w:val="700602AB"/>
    <w:rsid w:val="700E4352"/>
    <w:rsid w:val="70187FD2"/>
    <w:rsid w:val="70270F2F"/>
    <w:rsid w:val="704777DB"/>
    <w:rsid w:val="70583A0B"/>
    <w:rsid w:val="706308E1"/>
    <w:rsid w:val="706B0935"/>
    <w:rsid w:val="706D68C1"/>
    <w:rsid w:val="70920CA7"/>
    <w:rsid w:val="70990AD2"/>
    <w:rsid w:val="709B518F"/>
    <w:rsid w:val="70AE4155"/>
    <w:rsid w:val="70BB0DCC"/>
    <w:rsid w:val="70C11B0C"/>
    <w:rsid w:val="70C95ED6"/>
    <w:rsid w:val="70E46F2A"/>
    <w:rsid w:val="70E93EB7"/>
    <w:rsid w:val="70EA282B"/>
    <w:rsid w:val="7106069D"/>
    <w:rsid w:val="71152DF3"/>
    <w:rsid w:val="711C7C76"/>
    <w:rsid w:val="71256C7D"/>
    <w:rsid w:val="713D7B88"/>
    <w:rsid w:val="716D38AF"/>
    <w:rsid w:val="71703DC1"/>
    <w:rsid w:val="7184141E"/>
    <w:rsid w:val="7186164B"/>
    <w:rsid w:val="71917D2E"/>
    <w:rsid w:val="719A48AB"/>
    <w:rsid w:val="71A631A5"/>
    <w:rsid w:val="71A72476"/>
    <w:rsid w:val="71D029A7"/>
    <w:rsid w:val="71D83913"/>
    <w:rsid w:val="71D91CF8"/>
    <w:rsid w:val="71D9280C"/>
    <w:rsid w:val="71DB3FAF"/>
    <w:rsid w:val="71DE7E1D"/>
    <w:rsid w:val="71E61FC4"/>
    <w:rsid w:val="71E634C1"/>
    <w:rsid w:val="71F24D8B"/>
    <w:rsid w:val="71FA2BCC"/>
    <w:rsid w:val="72443D6A"/>
    <w:rsid w:val="72635F58"/>
    <w:rsid w:val="726B011C"/>
    <w:rsid w:val="7272781A"/>
    <w:rsid w:val="72736564"/>
    <w:rsid w:val="72781310"/>
    <w:rsid w:val="72855AC8"/>
    <w:rsid w:val="729F58B4"/>
    <w:rsid w:val="72B70835"/>
    <w:rsid w:val="72BE4597"/>
    <w:rsid w:val="72C43282"/>
    <w:rsid w:val="72D52829"/>
    <w:rsid w:val="72FB7B3E"/>
    <w:rsid w:val="730743E9"/>
    <w:rsid w:val="733748E7"/>
    <w:rsid w:val="73603C21"/>
    <w:rsid w:val="73611306"/>
    <w:rsid w:val="73690FA1"/>
    <w:rsid w:val="736A259F"/>
    <w:rsid w:val="737750F0"/>
    <w:rsid w:val="737E2575"/>
    <w:rsid w:val="73877D3D"/>
    <w:rsid w:val="738B7B30"/>
    <w:rsid w:val="739C5482"/>
    <w:rsid w:val="73AA44E8"/>
    <w:rsid w:val="73B24F5D"/>
    <w:rsid w:val="73CC6421"/>
    <w:rsid w:val="73DE0408"/>
    <w:rsid w:val="73FF4E04"/>
    <w:rsid w:val="74045761"/>
    <w:rsid w:val="74052A01"/>
    <w:rsid w:val="740D1AA1"/>
    <w:rsid w:val="742529D6"/>
    <w:rsid w:val="7431557A"/>
    <w:rsid w:val="743F451C"/>
    <w:rsid w:val="74487B79"/>
    <w:rsid w:val="744F13AF"/>
    <w:rsid w:val="7468519F"/>
    <w:rsid w:val="747542F2"/>
    <w:rsid w:val="747C325E"/>
    <w:rsid w:val="748D0DA7"/>
    <w:rsid w:val="749779F9"/>
    <w:rsid w:val="74CD7AC3"/>
    <w:rsid w:val="74D058FE"/>
    <w:rsid w:val="74DC5694"/>
    <w:rsid w:val="74EE0096"/>
    <w:rsid w:val="74F8012C"/>
    <w:rsid w:val="75001A27"/>
    <w:rsid w:val="75277B91"/>
    <w:rsid w:val="753731DA"/>
    <w:rsid w:val="753E2E2F"/>
    <w:rsid w:val="754408BD"/>
    <w:rsid w:val="75461641"/>
    <w:rsid w:val="756248A9"/>
    <w:rsid w:val="756D799B"/>
    <w:rsid w:val="757619C8"/>
    <w:rsid w:val="75A1211E"/>
    <w:rsid w:val="75A1363B"/>
    <w:rsid w:val="75AB44BA"/>
    <w:rsid w:val="75BB7680"/>
    <w:rsid w:val="75D9187D"/>
    <w:rsid w:val="75DF61C2"/>
    <w:rsid w:val="75E20E03"/>
    <w:rsid w:val="75F055A3"/>
    <w:rsid w:val="762856A1"/>
    <w:rsid w:val="763E3090"/>
    <w:rsid w:val="766436EC"/>
    <w:rsid w:val="766C2F4D"/>
    <w:rsid w:val="767A0C0E"/>
    <w:rsid w:val="76806B9B"/>
    <w:rsid w:val="7682521B"/>
    <w:rsid w:val="76945E09"/>
    <w:rsid w:val="7697543A"/>
    <w:rsid w:val="76AF1C16"/>
    <w:rsid w:val="76B853DA"/>
    <w:rsid w:val="76BE0185"/>
    <w:rsid w:val="76BE67A0"/>
    <w:rsid w:val="76D66D62"/>
    <w:rsid w:val="76EC6A00"/>
    <w:rsid w:val="770C1F0A"/>
    <w:rsid w:val="770F0281"/>
    <w:rsid w:val="7712552C"/>
    <w:rsid w:val="7715608F"/>
    <w:rsid w:val="77293865"/>
    <w:rsid w:val="77295A69"/>
    <w:rsid w:val="772D40DB"/>
    <w:rsid w:val="77571DF2"/>
    <w:rsid w:val="775D767F"/>
    <w:rsid w:val="776326AC"/>
    <w:rsid w:val="77820C3B"/>
    <w:rsid w:val="77EF4E73"/>
    <w:rsid w:val="77F7530B"/>
    <w:rsid w:val="781121C1"/>
    <w:rsid w:val="78350C3E"/>
    <w:rsid w:val="783A39E9"/>
    <w:rsid w:val="784D48EE"/>
    <w:rsid w:val="784E7976"/>
    <w:rsid w:val="786C79B6"/>
    <w:rsid w:val="78797ACF"/>
    <w:rsid w:val="78993FC2"/>
    <w:rsid w:val="78B81A75"/>
    <w:rsid w:val="78BD149C"/>
    <w:rsid w:val="78E44193"/>
    <w:rsid w:val="78FF382A"/>
    <w:rsid w:val="79003A32"/>
    <w:rsid w:val="790367EE"/>
    <w:rsid w:val="792E63FC"/>
    <w:rsid w:val="794C4716"/>
    <w:rsid w:val="794D296F"/>
    <w:rsid w:val="7956473D"/>
    <w:rsid w:val="795949BD"/>
    <w:rsid w:val="7966788F"/>
    <w:rsid w:val="79694679"/>
    <w:rsid w:val="79701340"/>
    <w:rsid w:val="79731581"/>
    <w:rsid w:val="79775C88"/>
    <w:rsid w:val="79836E32"/>
    <w:rsid w:val="79AD6B18"/>
    <w:rsid w:val="79B72D23"/>
    <w:rsid w:val="79CD3D68"/>
    <w:rsid w:val="79E104AA"/>
    <w:rsid w:val="79ED03B2"/>
    <w:rsid w:val="7A0C7AC5"/>
    <w:rsid w:val="7A204471"/>
    <w:rsid w:val="7A2731A6"/>
    <w:rsid w:val="7A330B91"/>
    <w:rsid w:val="7A3D2C1D"/>
    <w:rsid w:val="7A4639B6"/>
    <w:rsid w:val="7A4D2989"/>
    <w:rsid w:val="7A53220B"/>
    <w:rsid w:val="7A8B6B3B"/>
    <w:rsid w:val="7AAC0AB8"/>
    <w:rsid w:val="7AB23BF5"/>
    <w:rsid w:val="7AB6772B"/>
    <w:rsid w:val="7AB94F83"/>
    <w:rsid w:val="7AD778EE"/>
    <w:rsid w:val="7AE2272C"/>
    <w:rsid w:val="7AF727D1"/>
    <w:rsid w:val="7B0A10FE"/>
    <w:rsid w:val="7B0A6ACF"/>
    <w:rsid w:val="7B110429"/>
    <w:rsid w:val="7B152489"/>
    <w:rsid w:val="7B311108"/>
    <w:rsid w:val="7B467CA6"/>
    <w:rsid w:val="7B4B3ED8"/>
    <w:rsid w:val="7B6B039F"/>
    <w:rsid w:val="7B9B0733"/>
    <w:rsid w:val="7BAC56AC"/>
    <w:rsid w:val="7BB82986"/>
    <w:rsid w:val="7BBB1AAA"/>
    <w:rsid w:val="7BD9404E"/>
    <w:rsid w:val="7BE06656"/>
    <w:rsid w:val="7BE4429E"/>
    <w:rsid w:val="7C056BD8"/>
    <w:rsid w:val="7C0B2328"/>
    <w:rsid w:val="7C1E1269"/>
    <w:rsid w:val="7C206261"/>
    <w:rsid w:val="7C66178E"/>
    <w:rsid w:val="7C6D1416"/>
    <w:rsid w:val="7C800543"/>
    <w:rsid w:val="7C830014"/>
    <w:rsid w:val="7C8953AC"/>
    <w:rsid w:val="7C8D2B6B"/>
    <w:rsid w:val="7CA72015"/>
    <w:rsid w:val="7CA945F9"/>
    <w:rsid w:val="7CCD2C6B"/>
    <w:rsid w:val="7CD306D6"/>
    <w:rsid w:val="7CD9290D"/>
    <w:rsid w:val="7CDE78A3"/>
    <w:rsid w:val="7CEF31BE"/>
    <w:rsid w:val="7CF927B7"/>
    <w:rsid w:val="7D055C1A"/>
    <w:rsid w:val="7D090BA0"/>
    <w:rsid w:val="7D0E00ED"/>
    <w:rsid w:val="7D0F15FB"/>
    <w:rsid w:val="7D121B18"/>
    <w:rsid w:val="7D1723F1"/>
    <w:rsid w:val="7D2A660C"/>
    <w:rsid w:val="7D306408"/>
    <w:rsid w:val="7D312EAD"/>
    <w:rsid w:val="7D471A58"/>
    <w:rsid w:val="7D4857BB"/>
    <w:rsid w:val="7D4E0F2F"/>
    <w:rsid w:val="7D5C1746"/>
    <w:rsid w:val="7D6E09F1"/>
    <w:rsid w:val="7D6E5037"/>
    <w:rsid w:val="7D7722B0"/>
    <w:rsid w:val="7D7B0C16"/>
    <w:rsid w:val="7D7B6811"/>
    <w:rsid w:val="7D8F5065"/>
    <w:rsid w:val="7DBC3708"/>
    <w:rsid w:val="7DC15633"/>
    <w:rsid w:val="7DCC42E4"/>
    <w:rsid w:val="7DD80EC3"/>
    <w:rsid w:val="7DDD3EF0"/>
    <w:rsid w:val="7DE95B7F"/>
    <w:rsid w:val="7DEB68C7"/>
    <w:rsid w:val="7DF11E6E"/>
    <w:rsid w:val="7DF22004"/>
    <w:rsid w:val="7E181DFF"/>
    <w:rsid w:val="7E1A21DD"/>
    <w:rsid w:val="7E3E1B1F"/>
    <w:rsid w:val="7E577AE9"/>
    <w:rsid w:val="7E677EAF"/>
    <w:rsid w:val="7E7364A1"/>
    <w:rsid w:val="7E750FCA"/>
    <w:rsid w:val="7E787C68"/>
    <w:rsid w:val="7E851AD4"/>
    <w:rsid w:val="7E8C1780"/>
    <w:rsid w:val="7E8C74E9"/>
    <w:rsid w:val="7E97382D"/>
    <w:rsid w:val="7EB03B1B"/>
    <w:rsid w:val="7EDF62D5"/>
    <w:rsid w:val="7EE01DB4"/>
    <w:rsid w:val="7F066B19"/>
    <w:rsid w:val="7F1B7810"/>
    <w:rsid w:val="7F2468A4"/>
    <w:rsid w:val="7F2501B4"/>
    <w:rsid w:val="7F30689C"/>
    <w:rsid w:val="7F427CC1"/>
    <w:rsid w:val="7F4841C6"/>
    <w:rsid w:val="7F834605"/>
    <w:rsid w:val="7F842003"/>
    <w:rsid w:val="7F8D79CE"/>
    <w:rsid w:val="7F982375"/>
    <w:rsid w:val="7F987BD4"/>
    <w:rsid w:val="7F9F3E5D"/>
    <w:rsid w:val="7FAC60BF"/>
    <w:rsid w:val="7FE0453F"/>
    <w:rsid w:val="7FEE1A61"/>
    <w:rsid w:val="7FF063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semiHidden="0" w:name="toc 9"/>
    <w:lsdException w:uiPriority="0" w:name="Normal Indent"/>
    <w:lsdException w:uiPriority="0" w:name="footnote text"/>
    <w:lsdException w:qFormat="1" w:unhideWhenUsed="0" w:uiPriority="0" w:semiHidden="0" w:name="annotation text"/>
    <w:lsdException w:qFormat="1" w:unhideWhenUsed="0" w:uiPriority="1" w:semiHidden="0" w:name="header"/>
    <w:lsdException w:qFormat="1" w:unhideWhenUsed="0" w:uiPriority="1"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1"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1"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98"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37"/>
    <w:qFormat/>
    <w:uiPriority w:val="2"/>
    <w:pPr>
      <w:keepNext/>
      <w:keepLines/>
      <w:tabs>
        <w:tab w:val="left" w:pos="425"/>
      </w:tabs>
      <w:spacing w:before="340" w:after="330" w:line="576" w:lineRule="auto"/>
      <w:ind w:left="425" w:hanging="425"/>
      <w:outlineLvl w:val="0"/>
    </w:pPr>
    <w:rPr>
      <w:b/>
      <w:kern w:val="44"/>
      <w:sz w:val="44"/>
    </w:rPr>
  </w:style>
  <w:style w:type="paragraph" w:styleId="4">
    <w:name w:val="heading 2"/>
    <w:basedOn w:val="1"/>
    <w:next w:val="1"/>
    <w:link w:val="38"/>
    <w:qFormat/>
    <w:uiPriority w:val="2"/>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1"/>
    <w:qFormat/>
    <w:uiPriority w:val="2"/>
    <w:pPr>
      <w:keepNext/>
      <w:keepLines/>
      <w:numPr>
        <w:ilvl w:val="2"/>
        <w:numId w:val="1"/>
      </w:numPr>
      <w:ind w:firstLine="0" w:firstLineChars="0"/>
      <w:outlineLvl w:val="2"/>
    </w:pPr>
    <w:rPr>
      <w:rFonts w:eastAsiaTheme="minorEastAsia"/>
      <w:bCs/>
      <w:szCs w:val="24"/>
      <w:lang w:val="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0"/>
    <w:qFormat/>
    <w:uiPriority w:val="0"/>
    <w:pPr>
      <w:spacing w:after="120"/>
    </w:pPr>
  </w:style>
  <w:style w:type="paragraph" w:styleId="6">
    <w:name w:val="toc 7"/>
    <w:basedOn w:val="1"/>
    <w:next w:val="1"/>
    <w:semiHidden/>
    <w:qFormat/>
    <w:uiPriority w:val="0"/>
    <w:pPr>
      <w:ind w:left="1260"/>
      <w:jc w:val="left"/>
    </w:pPr>
    <w:rPr>
      <w:sz w:val="18"/>
      <w:szCs w:val="18"/>
    </w:rPr>
  </w:style>
  <w:style w:type="paragraph" w:styleId="7">
    <w:name w:val="caption"/>
    <w:basedOn w:val="1"/>
    <w:next w:val="1"/>
    <w:link w:val="72"/>
    <w:unhideWhenUsed/>
    <w:qFormat/>
    <w:uiPriority w:val="0"/>
    <w:rPr>
      <w:rFonts w:eastAsia="黑体" w:asciiTheme="majorHAnsi" w:hAnsiTheme="majorHAnsi" w:cstheme="majorBidi"/>
      <w:sz w:val="20"/>
    </w:rPr>
  </w:style>
  <w:style w:type="paragraph" w:styleId="8">
    <w:name w:val="Document Map"/>
    <w:basedOn w:val="1"/>
    <w:link w:val="99"/>
    <w:semiHidden/>
    <w:qFormat/>
    <w:uiPriority w:val="0"/>
    <w:pPr>
      <w:shd w:val="clear" w:color="auto" w:fill="000080"/>
    </w:pPr>
  </w:style>
  <w:style w:type="paragraph" w:styleId="9">
    <w:name w:val="annotation text"/>
    <w:basedOn w:val="1"/>
    <w:link w:val="60"/>
    <w:qFormat/>
    <w:uiPriority w:val="0"/>
    <w:pPr>
      <w:jc w:val="left"/>
    </w:pPr>
    <w:rPr>
      <w:lang w:val="zh-CN" w:eastAsia="zh-CN"/>
    </w:rPr>
  </w:style>
  <w:style w:type="paragraph" w:styleId="10">
    <w:name w:val="Body Text Indent"/>
    <w:basedOn w:val="1"/>
    <w:link w:val="103"/>
    <w:qFormat/>
    <w:uiPriority w:val="0"/>
    <w:pPr>
      <w:ind w:firstLine="420"/>
    </w:pPr>
    <w:rPr>
      <w:rFonts w:eastAsia="楷体_GB2312"/>
    </w:rPr>
  </w:style>
  <w:style w:type="paragraph" w:styleId="11">
    <w:name w:val="toc 5"/>
    <w:basedOn w:val="1"/>
    <w:next w:val="1"/>
    <w:semiHidden/>
    <w:qFormat/>
    <w:uiPriority w:val="0"/>
    <w:pPr>
      <w:ind w:left="840"/>
      <w:jc w:val="left"/>
    </w:pPr>
    <w:rPr>
      <w:sz w:val="18"/>
      <w:szCs w:val="18"/>
    </w:rPr>
  </w:style>
  <w:style w:type="paragraph" w:styleId="12">
    <w:name w:val="toc 3"/>
    <w:basedOn w:val="1"/>
    <w:next w:val="1"/>
    <w:semiHidden/>
    <w:qFormat/>
    <w:uiPriority w:val="0"/>
    <w:pPr>
      <w:ind w:left="420"/>
      <w:jc w:val="left"/>
    </w:pPr>
    <w:rPr>
      <w:i/>
      <w:iCs/>
      <w:sz w:val="20"/>
    </w:rPr>
  </w:style>
  <w:style w:type="paragraph" w:styleId="13">
    <w:name w:val="Plain Text"/>
    <w:basedOn w:val="1"/>
    <w:link w:val="96"/>
    <w:qFormat/>
    <w:uiPriority w:val="0"/>
    <w:rPr>
      <w:rFonts w:ascii="宋体" w:hAnsi="Courier New"/>
    </w:rPr>
  </w:style>
  <w:style w:type="paragraph" w:styleId="14">
    <w:name w:val="toc 8"/>
    <w:basedOn w:val="1"/>
    <w:next w:val="1"/>
    <w:semiHidden/>
    <w:qFormat/>
    <w:uiPriority w:val="0"/>
    <w:pPr>
      <w:ind w:left="1470"/>
      <w:jc w:val="left"/>
    </w:pPr>
    <w:rPr>
      <w:sz w:val="18"/>
      <w:szCs w:val="18"/>
    </w:rPr>
  </w:style>
  <w:style w:type="paragraph" w:styleId="15">
    <w:name w:val="Date"/>
    <w:basedOn w:val="1"/>
    <w:next w:val="1"/>
    <w:link w:val="64"/>
    <w:qFormat/>
    <w:uiPriority w:val="0"/>
    <w:rPr>
      <w:rFonts w:ascii="黑体"/>
      <w:b/>
    </w:rPr>
  </w:style>
  <w:style w:type="paragraph" w:styleId="16">
    <w:name w:val="Body Text Indent 2"/>
    <w:basedOn w:val="1"/>
    <w:link w:val="104"/>
    <w:qFormat/>
    <w:uiPriority w:val="0"/>
    <w:pPr>
      <w:spacing w:after="120" w:line="480" w:lineRule="auto"/>
      <w:ind w:left="420" w:leftChars="200"/>
    </w:pPr>
  </w:style>
  <w:style w:type="paragraph" w:styleId="17">
    <w:name w:val="Balloon Text"/>
    <w:basedOn w:val="1"/>
    <w:link w:val="97"/>
    <w:semiHidden/>
    <w:qFormat/>
    <w:uiPriority w:val="0"/>
    <w:rPr>
      <w:sz w:val="18"/>
      <w:szCs w:val="18"/>
    </w:rPr>
  </w:style>
  <w:style w:type="paragraph" w:styleId="18">
    <w:name w:val="footer"/>
    <w:basedOn w:val="1"/>
    <w:link w:val="55"/>
    <w:qFormat/>
    <w:uiPriority w:val="1"/>
    <w:pPr>
      <w:tabs>
        <w:tab w:val="center" w:pos="4153"/>
        <w:tab w:val="right" w:pos="8306"/>
      </w:tabs>
      <w:ind w:firstLine="0" w:firstLineChars="0"/>
      <w:jc w:val="left"/>
    </w:pPr>
    <w:rPr>
      <w:sz w:val="18"/>
    </w:rPr>
  </w:style>
  <w:style w:type="paragraph" w:styleId="19">
    <w:name w:val="header"/>
    <w:basedOn w:val="1"/>
    <w:link w:val="101"/>
    <w:qFormat/>
    <w:uiPriority w:val="1"/>
    <w:pPr>
      <w:tabs>
        <w:tab w:val="center" w:pos="4153"/>
        <w:tab w:val="right" w:pos="8306"/>
      </w:tabs>
      <w:jc w:val="center"/>
    </w:pPr>
    <w:rPr>
      <w:sz w:val="18"/>
      <w:szCs w:val="18"/>
    </w:rPr>
  </w:style>
  <w:style w:type="paragraph" w:styleId="20">
    <w:name w:val="toc 1"/>
    <w:basedOn w:val="1"/>
    <w:next w:val="1"/>
    <w:qFormat/>
    <w:uiPriority w:val="39"/>
    <w:pPr>
      <w:tabs>
        <w:tab w:val="left" w:pos="420"/>
        <w:tab w:val="right" w:leader="dot" w:pos="8296"/>
      </w:tabs>
      <w:ind w:firstLine="0" w:firstLineChars="0"/>
      <w:jc w:val="left"/>
    </w:pPr>
    <w:rPr>
      <w:rFonts w:eastAsiaTheme="minorEastAsia"/>
      <w:bCs/>
      <w:szCs w:val="24"/>
    </w:rPr>
  </w:style>
  <w:style w:type="paragraph" w:styleId="21">
    <w:name w:val="toc 4"/>
    <w:basedOn w:val="1"/>
    <w:next w:val="1"/>
    <w:semiHidden/>
    <w:qFormat/>
    <w:uiPriority w:val="0"/>
    <w:pPr>
      <w:ind w:left="630"/>
      <w:jc w:val="left"/>
    </w:pPr>
    <w:rPr>
      <w:sz w:val="18"/>
      <w:szCs w:val="18"/>
    </w:rPr>
  </w:style>
  <w:style w:type="paragraph" w:styleId="22">
    <w:name w:val="toc 6"/>
    <w:basedOn w:val="1"/>
    <w:next w:val="1"/>
    <w:semiHidden/>
    <w:qFormat/>
    <w:uiPriority w:val="0"/>
    <w:pPr>
      <w:ind w:left="1050"/>
      <w:jc w:val="left"/>
    </w:pPr>
    <w:rPr>
      <w:sz w:val="18"/>
      <w:szCs w:val="18"/>
    </w:rPr>
  </w:style>
  <w:style w:type="paragraph" w:styleId="23">
    <w:name w:val="Body Text Indent 3"/>
    <w:basedOn w:val="1"/>
    <w:link w:val="105"/>
    <w:qFormat/>
    <w:uiPriority w:val="0"/>
    <w:pPr>
      <w:spacing w:line="300" w:lineRule="auto"/>
      <w:ind w:firstLine="435"/>
    </w:pPr>
    <w:rPr>
      <w:rFonts w:ascii="楷体_GB2312" w:eastAsia="仿宋_GB2312"/>
    </w:rPr>
  </w:style>
  <w:style w:type="paragraph" w:styleId="24">
    <w:name w:val="toc 2"/>
    <w:basedOn w:val="1"/>
    <w:next w:val="1"/>
    <w:qFormat/>
    <w:uiPriority w:val="39"/>
    <w:pPr>
      <w:jc w:val="left"/>
    </w:pPr>
    <w:rPr>
      <w:sz w:val="20"/>
    </w:rPr>
  </w:style>
  <w:style w:type="paragraph" w:styleId="25">
    <w:name w:val="toc 9"/>
    <w:basedOn w:val="1"/>
    <w:next w:val="1"/>
    <w:qFormat/>
    <w:uiPriority w:val="0"/>
    <w:pPr>
      <w:ind w:left="1680"/>
      <w:jc w:val="left"/>
    </w:pPr>
    <w:rPr>
      <w:sz w:val="18"/>
      <w:szCs w:val="18"/>
    </w:rPr>
  </w:style>
  <w:style w:type="paragraph" w:styleId="26">
    <w:name w:val="HTML Preformatted"/>
    <w:basedOn w:val="1"/>
    <w:link w:val="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hAnsi="Lucida Console" w:cs="宋体"/>
      <w:kern w:val="0"/>
      <w:szCs w:val="24"/>
    </w:rPr>
  </w:style>
  <w:style w:type="paragraph" w:styleId="27">
    <w:name w:val="Normal (Web)"/>
    <w:basedOn w:val="1"/>
    <w:qFormat/>
    <w:uiPriority w:val="99"/>
    <w:pPr>
      <w:widowControl/>
      <w:spacing w:before="100" w:beforeAutospacing="1" w:after="100" w:afterAutospacing="1" w:line="314" w:lineRule="atLeast"/>
      <w:jc w:val="left"/>
    </w:pPr>
    <w:rPr>
      <w:rFonts w:ascii="宋体" w:hAnsi="宋体" w:cs="宋体"/>
      <w:kern w:val="0"/>
      <w:sz w:val="22"/>
      <w:szCs w:val="22"/>
    </w:rPr>
  </w:style>
  <w:style w:type="paragraph" w:styleId="28">
    <w:name w:val="annotation subject"/>
    <w:basedOn w:val="9"/>
    <w:next w:val="9"/>
    <w:link w:val="65"/>
    <w:semiHidden/>
    <w:qFormat/>
    <w:uiPriority w:val="0"/>
    <w:rPr>
      <w:b/>
      <w:bCs/>
    </w:rPr>
  </w:style>
  <w:style w:type="paragraph" w:styleId="29">
    <w:name w:val="Body Text First Indent"/>
    <w:basedOn w:val="2"/>
    <w:link w:val="102"/>
    <w:qFormat/>
    <w:uiPriority w:val="0"/>
    <w:pPr>
      <w:ind w:firstLine="420" w:firstLineChars="100"/>
    </w:pPr>
    <w:rPr>
      <w:szCs w:val="24"/>
    </w:r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1"/>
    <w:rPr>
      <w:b/>
    </w:rPr>
  </w:style>
  <w:style w:type="character" w:styleId="34">
    <w:name w:val="page number"/>
    <w:basedOn w:val="32"/>
    <w:qFormat/>
    <w:uiPriority w:val="1"/>
  </w:style>
  <w:style w:type="character" w:styleId="35">
    <w:name w:val="Hyperlink"/>
    <w:qFormat/>
    <w:uiPriority w:val="99"/>
    <w:rPr>
      <w:color w:val="0000FF"/>
      <w:u w:val="single"/>
    </w:rPr>
  </w:style>
  <w:style w:type="character" w:styleId="36">
    <w:name w:val="annotation reference"/>
    <w:qFormat/>
    <w:uiPriority w:val="0"/>
    <w:rPr>
      <w:sz w:val="21"/>
      <w:szCs w:val="21"/>
    </w:rPr>
  </w:style>
  <w:style w:type="character" w:customStyle="1" w:styleId="37">
    <w:name w:val="标题 1 Char"/>
    <w:basedOn w:val="32"/>
    <w:link w:val="3"/>
    <w:qFormat/>
    <w:uiPriority w:val="2"/>
    <w:rPr>
      <w:b/>
      <w:kern w:val="44"/>
      <w:sz w:val="44"/>
    </w:rPr>
  </w:style>
  <w:style w:type="character" w:customStyle="1" w:styleId="38">
    <w:name w:val="标题 2 Char"/>
    <w:link w:val="4"/>
    <w:qFormat/>
    <w:uiPriority w:val="2"/>
    <w:rPr>
      <w:rFonts w:ascii="Arial" w:hAnsi="Arial" w:eastAsia="黑体"/>
      <w:b/>
      <w:bCs/>
      <w:kern w:val="2"/>
      <w:sz w:val="32"/>
      <w:szCs w:val="32"/>
    </w:rPr>
  </w:style>
  <w:style w:type="paragraph" w:customStyle="1" w:styleId="39">
    <w:name w:val="章"/>
    <w:basedOn w:val="1"/>
    <w:link w:val="40"/>
    <w:qFormat/>
    <w:uiPriority w:val="0"/>
    <w:pPr>
      <w:pageBreakBefore/>
      <w:numPr>
        <w:ilvl w:val="0"/>
        <w:numId w:val="2"/>
      </w:numPr>
      <w:spacing w:before="100" w:beforeLines="100" w:after="100" w:afterLines="100" w:line="360" w:lineRule="auto"/>
      <w:ind w:firstLineChars="0"/>
      <w:jc w:val="center"/>
      <w:outlineLvl w:val="0"/>
    </w:pPr>
    <w:rPr>
      <w:rFonts w:ascii="Times New Roman" w:hAnsi="Times New Roman"/>
      <w:b/>
      <w:sz w:val="28"/>
    </w:rPr>
  </w:style>
  <w:style w:type="character" w:customStyle="1" w:styleId="40">
    <w:name w:val="章 Char"/>
    <w:link w:val="39"/>
    <w:qFormat/>
    <w:uiPriority w:val="0"/>
    <w:rPr>
      <w:rFonts w:ascii="Times New Roman" w:hAnsi="Times New Roman" w:eastAsia="宋体"/>
      <w:b/>
      <w:kern w:val="2"/>
      <w:sz w:val="28"/>
    </w:rPr>
  </w:style>
  <w:style w:type="paragraph" w:customStyle="1" w:styleId="41">
    <w:name w:val="节"/>
    <w:basedOn w:val="1"/>
    <w:qFormat/>
    <w:uiPriority w:val="0"/>
    <w:pPr>
      <w:numPr>
        <w:ilvl w:val="1"/>
        <w:numId w:val="2"/>
      </w:numPr>
      <w:spacing w:before="100" w:beforeLines="100" w:after="100" w:afterLines="100" w:line="300" w:lineRule="auto"/>
      <w:ind w:firstLineChars="0"/>
      <w:jc w:val="center"/>
      <w:outlineLvl w:val="1"/>
    </w:pPr>
    <w:rPr>
      <w:rFonts w:ascii="Times New Roman" w:hAnsi="Times New Roman"/>
      <w:b/>
      <w:sz w:val="24"/>
      <w:szCs w:val="24"/>
    </w:rPr>
  </w:style>
  <w:style w:type="paragraph" w:customStyle="1" w:styleId="42">
    <w:name w:val="条文"/>
    <w:basedOn w:val="1"/>
    <w:link w:val="44"/>
    <w:qFormat/>
    <w:uiPriority w:val="0"/>
    <w:pPr>
      <w:numPr>
        <w:ilvl w:val="2"/>
        <w:numId w:val="2"/>
      </w:numPr>
      <w:spacing w:line="360" w:lineRule="auto"/>
      <w:ind w:firstLineChars="0"/>
      <w:outlineLvl w:val="2"/>
    </w:pPr>
    <w:rPr>
      <w:rFonts w:ascii="Times New Roman" w:hAnsi="Times New Roman"/>
      <w:sz w:val="24"/>
    </w:rPr>
  </w:style>
  <w:style w:type="paragraph" w:customStyle="1" w:styleId="43">
    <w:name w:val="款"/>
    <w:basedOn w:val="1"/>
    <w:link w:val="50"/>
    <w:qFormat/>
    <w:uiPriority w:val="0"/>
    <w:pPr>
      <w:numPr>
        <w:ilvl w:val="3"/>
        <w:numId w:val="2"/>
      </w:numPr>
      <w:ind w:firstLine="200"/>
    </w:pPr>
  </w:style>
  <w:style w:type="character" w:customStyle="1" w:styleId="44">
    <w:name w:val="条文 Char"/>
    <w:link w:val="42"/>
    <w:qFormat/>
    <w:locked/>
    <w:uiPriority w:val="0"/>
    <w:rPr>
      <w:rFonts w:ascii="Times New Roman" w:hAnsi="Times New Roman" w:eastAsia="宋体"/>
      <w:kern w:val="2"/>
      <w:sz w:val="24"/>
    </w:rPr>
  </w:style>
  <w:style w:type="paragraph" w:customStyle="1" w:styleId="45">
    <w:name w:val="图表名"/>
    <w:basedOn w:val="1"/>
    <w:link w:val="46"/>
    <w:qFormat/>
    <w:uiPriority w:val="0"/>
    <w:pPr>
      <w:ind w:firstLine="0" w:firstLineChars="0"/>
      <w:jc w:val="center"/>
    </w:pPr>
    <w:rPr>
      <w:rFonts w:ascii="Times New Roman" w:hAnsi="Times New Roman" w:eastAsia="黑体"/>
      <w:sz w:val="21"/>
      <w:szCs w:val="21"/>
    </w:rPr>
  </w:style>
  <w:style w:type="character" w:customStyle="1" w:styleId="46">
    <w:name w:val="图表名 Char"/>
    <w:basedOn w:val="32"/>
    <w:link w:val="45"/>
    <w:qFormat/>
    <w:uiPriority w:val="0"/>
    <w:rPr>
      <w:rFonts w:ascii="Times New Roman" w:hAnsi="Times New Roman" w:eastAsia="黑体"/>
      <w:kern w:val="2"/>
      <w:sz w:val="21"/>
      <w:szCs w:val="21"/>
    </w:rPr>
  </w:style>
  <w:style w:type="paragraph" w:customStyle="1" w:styleId="47">
    <w:name w:val="表"/>
    <w:basedOn w:val="1"/>
    <w:qFormat/>
    <w:uiPriority w:val="1"/>
    <w:pPr>
      <w:spacing w:before="60" w:after="60" w:line="240" w:lineRule="auto"/>
      <w:ind w:firstLine="0" w:firstLineChars="0"/>
      <w:jc w:val="center"/>
    </w:pPr>
    <w:rPr>
      <w:sz w:val="21"/>
    </w:rPr>
  </w:style>
  <w:style w:type="paragraph" w:customStyle="1" w:styleId="48">
    <w:name w:val="图"/>
    <w:basedOn w:val="49"/>
    <w:next w:val="1"/>
    <w:link w:val="77"/>
    <w:qFormat/>
    <w:uiPriority w:val="0"/>
    <w:pPr>
      <w:spacing w:line="240" w:lineRule="auto"/>
      <w:jc w:val="center"/>
    </w:pPr>
  </w:style>
  <w:style w:type="paragraph" w:customStyle="1" w:styleId="49">
    <w:name w:val="条文说明"/>
    <w:basedOn w:val="2"/>
    <w:link w:val="69"/>
    <w:qFormat/>
    <w:uiPriority w:val="0"/>
    <w:pPr>
      <w:spacing w:after="0"/>
      <w:ind w:firstLine="0" w:firstLineChars="0"/>
    </w:pPr>
    <w:rPr>
      <w:color w:val="0070C0"/>
      <w:szCs w:val="24"/>
    </w:rPr>
  </w:style>
  <w:style w:type="character" w:customStyle="1" w:styleId="50">
    <w:name w:val="款 Char"/>
    <w:basedOn w:val="32"/>
    <w:link w:val="43"/>
    <w:qFormat/>
    <w:uiPriority w:val="0"/>
    <w:rPr>
      <w:kern w:val="2"/>
      <w:sz w:val="24"/>
    </w:rPr>
  </w:style>
  <w:style w:type="character" w:customStyle="1" w:styleId="51">
    <w:name w:val="标题 3 Char"/>
    <w:link w:val="5"/>
    <w:qFormat/>
    <w:uiPriority w:val="2"/>
    <w:rPr>
      <w:rFonts w:eastAsiaTheme="minorEastAsia"/>
      <w:bCs/>
      <w:kern w:val="2"/>
      <w:sz w:val="24"/>
      <w:szCs w:val="24"/>
      <w:lang w:val="zh-CN"/>
    </w:rPr>
  </w:style>
  <w:style w:type="paragraph" w:customStyle="1" w:styleId="52">
    <w:name w:val="1 Char Char Char Char Char Char Char"/>
    <w:basedOn w:val="1"/>
    <w:qFormat/>
    <w:uiPriority w:val="0"/>
    <w:pPr>
      <w:widowControl/>
      <w:spacing w:after="160" w:line="240" w:lineRule="exact"/>
      <w:jc w:val="left"/>
    </w:pPr>
    <w:rPr>
      <w:rFonts w:ascii="Verdana" w:hAnsi="Verdana" w:eastAsia="仿宋_GB2312"/>
      <w:kern w:val="0"/>
      <w:lang w:eastAsia="en-US"/>
    </w:rPr>
  </w:style>
  <w:style w:type="paragraph" w:customStyle="1" w:styleId="53">
    <w:name w:val="Char Char Char Char Char Char Char"/>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54">
    <w:name w:val="默认段落字体 Para Char Char Char Char"/>
    <w:basedOn w:val="1"/>
    <w:qFormat/>
    <w:uiPriority w:val="0"/>
  </w:style>
  <w:style w:type="character" w:customStyle="1" w:styleId="55">
    <w:name w:val="页脚 Char"/>
    <w:link w:val="18"/>
    <w:qFormat/>
    <w:uiPriority w:val="1"/>
    <w:rPr>
      <w:rFonts w:eastAsia="宋体"/>
      <w:kern w:val="2"/>
      <w:sz w:val="18"/>
    </w:rPr>
  </w:style>
  <w:style w:type="paragraph" w:customStyle="1" w:styleId="56">
    <w:name w:val="TOC 标题1"/>
    <w:basedOn w:val="3"/>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7">
    <w:name w:val="列出段落1"/>
    <w:basedOn w:val="1"/>
    <w:qFormat/>
    <w:uiPriority w:val="33"/>
    <w:pPr>
      <w:ind w:firstLine="420"/>
    </w:pPr>
    <w:rPr>
      <w:rFonts w:ascii="Calibri" w:hAnsi="Calibri"/>
      <w:szCs w:val="22"/>
    </w:rPr>
  </w:style>
  <w:style w:type="paragraph" w:styleId="58">
    <w:name w:val="List Paragraph"/>
    <w:basedOn w:val="1"/>
    <w:link w:val="81"/>
    <w:qFormat/>
    <w:uiPriority w:val="34"/>
    <w:pPr>
      <w:numPr>
        <w:ilvl w:val="0"/>
        <w:numId w:val="3"/>
      </w:numPr>
      <w:spacing w:line="300" w:lineRule="auto"/>
      <w:ind w:firstLine="0" w:firstLineChars="0"/>
    </w:pPr>
    <w:rPr>
      <w:color w:val="0D0D0D" w:themeColor="text1" w:themeTint="F2"/>
      <w:szCs w:val="22"/>
      <w14:textFill>
        <w14:solidFill>
          <w14:schemeClr w14:val="tx1">
            <w14:lumMod w14:val="95000"/>
            <w14:lumOff w14:val="5000"/>
          </w14:schemeClr>
        </w14:solidFill>
      </w14:textFill>
    </w:rPr>
  </w:style>
  <w:style w:type="paragraph" w:customStyle="1" w:styleId="59">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60">
    <w:name w:val="批注文字 Char"/>
    <w:link w:val="9"/>
    <w:qFormat/>
    <w:uiPriority w:val="0"/>
    <w:rPr>
      <w:kern w:val="2"/>
      <w:sz w:val="24"/>
      <w:lang w:val="zh-CN" w:eastAsia="zh-CN"/>
    </w:rPr>
  </w:style>
  <w:style w:type="paragraph" w:customStyle="1" w:styleId="61">
    <w:name w:val="分条"/>
    <w:basedOn w:val="1"/>
    <w:link w:val="62"/>
    <w:qFormat/>
    <w:uiPriority w:val="0"/>
  </w:style>
  <w:style w:type="character" w:customStyle="1" w:styleId="62">
    <w:name w:val="分条 Char"/>
    <w:link w:val="61"/>
    <w:qFormat/>
    <w:uiPriority w:val="0"/>
    <w:rPr>
      <w:kern w:val="2"/>
      <w:sz w:val="24"/>
      <w:szCs w:val="24"/>
    </w:rPr>
  </w:style>
  <w:style w:type="paragraph" w:styleId="63">
    <w:name w:val="No Spacing"/>
    <w:basedOn w:val="1"/>
    <w:link w:val="100"/>
    <w:qFormat/>
    <w:uiPriority w:val="1"/>
    <w:pPr>
      <w:widowControl/>
      <w:jc w:val="left"/>
    </w:pPr>
    <w:rPr>
      <w:rFonts w:ascii="Calibri" w:hAnsi="Calibri"/>
      <w:kern w:val="0"/>
      <w:szCs w:val="32"/>
      <w:lang w:eastAsia="en-US" w:bidi="en-US"/>
    </w:rPr>
  </w:style>
  <w:style w:type="character" w:customStyle="1" w:styleId="64">
    <w:name w:val="日期 Char"/>
    <w:basedOn w:val="32"/>
    <w:link w:val="15"/>
    <w:qFormat/>
    <w:uiPriority w:val="0"/>
    <w:rPr>
      <w:rFonts w:ascii="黑体"/>
      <w:b/>
      <w:kern w:val="2"/>
      <w:sz w:val="24"/>
    </w:rPr>
  </w:style>
  <w:style w:type="character" w:customStyle="1" w:styleId="65">
    <w:name w:val="批注主题 Char"/>
    <w:basedOn w:val="60"/>
    <w:link w:val="28"/>
    <w:semiHidden/>
    <w:qFormat/>
    <w:uiPriority w:val="0"/>
    <w:rPr>
      <w:b/>
      <w:bCs/>
      <w:kern w:val="2"/>
      <w:sz w:val="24"/>
      <w:lang w:val="zh-CN" w:eastAsia="zh-CN"/>
    </w:rPr>
  </w:style>
  <w:style w:type="paragraph" w:customStyle="1" w:styleId="66">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67">
    <w:name w:val="列出段落2"/>
    <w:basedOn w:val="1"/>
    <w:qFormat/>
    <w:uiPriority w:val="0"/>
    <w:pPr>
      <w:ind w:firstLine="420"/>
    </w:pPr>
  </w:style>
  <w:style w:type="paragraph" w:customStyle="1" w:styleId="68">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9">
    <w:name w:val="条文说明 Char"/>
    <w:basedOn w:val="70"/>
    <w:link w:val="49"/>
    <w:qFormat/>
    <w:locked/>
    <w:uiPriority w:val="0"/>
    <w:rPr>
      <w:color w:val="0070C0"/>
      <w:kern w:val="2"/>
      <w:sz w:val="24"/>
      <w:szCs w:val="24"/>
    </w:rPr>
  </w:style>
  <w:style w:type="character" w:customStyle="1" w:styleId="70">
    <w:name w:val="正文文本 Char"/>
    <w:basedOn w:val="32"/>
    <w:link w:val="2"/>
    <w:qFormat/>
    <w:uiPriority w:val="0"/>
    <w:rPr>
      <w:kern w:val="2"/>
      <w:sz w:val="24"/>
    </w:rPr>
  </w:style>
  <w:style w:type="paragraph" w:customStyle="1" w:styleId="71">
    <w:name w:val="正文3"/>
    <w:basedOn w:val="1"/>
    <w:qFormat/>
    <w:uiPriority w:val="0"/>
    <w:pPr>
      <w:ind w:firstLine="480"/>
    </w:pPr>
    <w:rPr>
      <w:rFonts w:cs="宋体"/>
    </w:rPr>
  </w:style>
  <w:style w:type="character" w:customStyle="1" w:styleId="72">
    <w:name w:val="题注 Char"/>
    <w:link w:val="7"/>
    <w:qFormat/>
    <w:uiPriority w:val="0"/>
    <w:rPr>
      <w:rFonts w:eastAsia="黑体" w:asciiTheme="majorHAnsi" w:hAnsiTheme="majorHAnsi" w:cstheme="majorBidi"/>
      <w:kern w:val="2"/>
    </w:rPr>
  </w:style>
  <w:style w:type="character" w:customStyle="1" w:styleId="73">
    <w:name w:val="fontstyle01"/>
    <w:basedOn w:val="32"/>
    <w:qFormat/>
    <w:uiPriority w:val="0"/>
    <w:rPr>
      <w:rFonts w:hint="default" w:ascii="HiddenHorzOCR-Identity-H" w:hAnsi="HiddenHorzOCR-Identity-H"/>
      <w:color w:val="3F3F3F"/>
      <w:sz w:val="18"/>
      <w:szCs w:val="18"/>
    </w:rPr>
  </w:style>
  <w:style w:type="character" w:customStyle="1" w:styleId="74">
    <w:name w:val="fontstyle21"/>
    <w:basedOn w:val="32"/>
    <w:qFormat/>
    <w:uiPriority w:val="0"/>
    <w:rPr>
      <w:rFonts w:hint="eastAsia" w:ascii="仿宋" w:hAnsi="仿宋" w:eastAsia="仿宋"/>
      <w:color w:val="000000"/>
      <w:sz w:val="28"/>
      <w:szCs w:val="28"/>
    </w:rPr>
  </w:style>
  <w:style w:type="character" w:customStyle="1" w:styleId="75">
    <w:name w:val="fontstyle31"/>
    <w:basedOn w:val="32"/>
    <w:qFormat/>
    <w:uiPriority w:val="0"/>
    <w:rPr>
      <w:rFonts w:hint="default" w:ascii="Times-Italic" w:hAnsi="Times-Italic"/>
      <w:i/>
      <w:iCs/>
      <w:color w:val="000000"/>
      <w:sz w:val="20"/>
      <w:szCs w:val="20"/>
    </w:rPr>
  </w:style>
  <w:style w:type="character" w:styleId="76">
    <w:name w:val="Placeholder Text"/>
    <w:basedOn w:val="32"/>
    <w:semiHidden/>
    <w:qFormat/>
    <w:uiPriority w:val="98"/>
    <w:rPr>
      <w:color w:val="808080"/>
    </w:rPr>
  </w:style>
  <w:style w:type="character" w:customStyle="1" w:styleId="77">
    <w:name w:val="图 Char"/>
    <w:basedOn w:val="69"/>
    <w:link w:val="48"/>
    <w:qFormat/>
    <w:uiPriority w:val="0"/>
    <w:rPr>
      <w:color w:val="0070C0"/>
      <w:kern w:val="2"/>
      <w:sz w:val="24"/>
      <w:szCs w:val="24"/>
    </w:rPr>
  </w:style>
  <w:style w:type="character" w:customStyle="1" w:styleId="78">
    <w:name w:val="fontstyle11"/>
    <w:basedOn w:val="32"/>
    <w:qFormat/>
    <w:uiPriority w:val="0"/>
    <w:rPr>
      <w:rFonts w:ascii="ArialMT" w:hAnsi="ArialMT" w:eastAsia="ArialMT" w:cs="ArialMT"/>
      <w:color w:val="000000"/>
      <w:sz w:val="18"/>
      <w:szCs w:val="18"/>
    </w:rPr>
  </w:style>
  <w:style w:type="character" w:customStyle="1" w:styleId="79">
    <w:name w:val="fontstyle41"/>
    <w:basedOn w:val="32"/>
    <w:qFormat/>
    <w:uiPriority w:val="0"/>
    <w:rPr>
      <w:rFonts w:hint="default" w:ascii="TimesNewRoman" w:hAnsi="TimesNewRoman"/>
      <w:color w:val="000000"/>
      <w:sz w:val="24"/>
      <w:szCs w:val="24"/>
    </w:rPr>
  </w:style>
  <w:style w:type="character" w:customStyle="1" w:styleId="80">
    <w:name w:val="keyword"/>
    <w:basedOn w:val="32"/>
    <w:qFormat/>
    <w:uiPriority w:val="0"/>
  </w:style>
  <w:style w:type="character" w:customStyle="1" w:styleId="81">
    <w:name w:val="列出段落 Char"/>
    <w:link w:val="58"/>
    <w:qFormat/>
    <w:locked/>
    <w:uiPriority w:val="34"/>
    <w:rPr>
      <w:color w:val="0D0D0D" w:themeColor="text1" w:themeTint="F2"/>
      <w:kern w:val="2"/>
      <w:sz w:val="24"/>
      <w:szCs w:val="22"/>
      <w14:textFill>
        <w14:solidFill>
          <w14:schemeClr w14:val="tx1">
            <w14:lumMod w14:val="95000"/>
            <w14:lumOff w14:val="5000"/>
          </w14:schemeClr>
        </w14:solidFill>
      </w14:textFill>
    </w:rPr>
  </w:style>
  <w:style w:type="paragraph" w:customStyle="1" w:styleId="82">
    <w:name w:val="Char"/>
    <w:basedOn w:val="1"/>
    <w:qFormat/>
    <w:uiPriority w:val="0"/>
    <w:rPr>
      <w:sz w:val="28"/>
      <w:szCs w:val="28"/>
    </w:rPr>
  </w:style>
  <w:style w:type="paragraph" w:customStyle="1" w:styleId="83">
    <w:name w:val="Char Char Char Char"/>
    <w:basedOn w:val="1"/>
    <w:qFormat/>
    <w:uiPriority w:val="0"/>
    <w:rPr>
      <w:rFonts w:ascii="Tahoma" w:hAnsi="Tahoma"/>
    </w:rPr>
  </w:style>
  <w:style w:type="paragraph" w:customStyle="1" w:styleId="84">
    <w:name w:val="Char Char Char Char Char Char"/>
    <w:basedOn w:val="1"/>
    <w:qFormat/>
    <w:uiPriority w:val="0"/>
    <w:pPr>
      <w:widowControl/>
      <w:spacing w:after="160" w:line="240" w:lineRule="exact"/>
      <w:jc w:val="left"/>
    </w:pPr>
  </w:style>
  <w:style w:type="paragraph" w:customStyle="1" w:styleId="85">
    <w:name w:val="Char Char Char Char Char Char Char Char Char Char Char Char Char Char Char"/>
    <w:basedOn w:val="1"/>
    <w:qFormat/>
    <w:uiPriority w:val="0"/>
    <w:pPr>
      <w:widowControl/>
      <w:spacing w:after="160" w:line="240" w:lineRule="exact"/>
      <w:jc w:val="left"/>
    </w:pPr>
  </w:style>
  <w:style w:type="paragraph" w:customStyle="1" w:styleId="86">
    <w:name w:val="Char Char Char Char Char Char Char Char Char Char Char Char Char Char Char Char Char Char Char Char Char Char Char Char Char"/>
    <w:basedOn w:val="1"/>
    <w:qFormat/>
    <w:uiPriority w:val="94"/>
    <w:pPr>
      <w:widowControl/>
      <w:spacing w:after="160" w:line="240" w:lineRule="exact"/>
      <w:jc w:val="left"/>
    </w:pPr>
  </w:style>
  <w:style w:type="paragraph" w:customStyle="1" w:styleId="87">
    <w:name w:val="Char Char Char Char Char Char Char1"/>
    <w:basedOn w:val="1"/>
    <w:qFormat/>
    <w:uiPriority w:val="0"/>
    <w:pPr>
      <w:widowControl/>
      <w:spacing w:after="160" w:line="240" w:lineRule="exact"/>
      <w:jc w:val="left"/>
    </w:pPr>
    <w:rPr>
      <w:rFonts w:ascii="Arial" w:hAnsi="Arial" w:eastAsia="Times New Roman" w:cs="Verdana"/>
      <w:b/>
      <w:kern w:val="0"/>
      <w:szCs w:val="21"/>
      <w:lang w:eastAsia="en-US"/>
    </w:rPr>
  </w:style>
  <w:style w:type="paragraph" w:customStyle="1" w:styleId="88">
    <w:name w:val="Char Char Char Char Char Char Char2"/>
    <w:basedOn w:val="1"/>
    <w:qFormat/>
    <w:uiPriority w:val="0"/>
    <w:pPr>
      <w:widowControl/>
      <w:topLinePunct/>
      <w:spacing w:after="160" w:line="240" w:lineRule="exact"/>
      <w:jc w:val="left"/>
    </w:pPr>
    <w:rPr>
      <w:rFonts w:ascii="Arial" w:hAnsi="Arial" w:eastAsia="Times New Roman" w:cs="Verdana"/>
      <w:b/>
      <w:kern w:val="0"/>
      <w:szCs w:val="24"/>
      <w:lang w:eastAsia="en-US"/>
    </w:rPr>
  </w:style>
  <w:style w:type="paragraph" w:customStyle="1" w:styleId="89">
    <w:name w:val="Char1"/>
    <w:basedOn w:val="1"/>
    <w:qFormat/>
    <w:uiPriority w:val="0"/>
    <w:rPr>
      <w:szCs w:val="24"/>
    </w:rPr>
  </w:style>
  <w:style w:type="paragraph" w:customStyle="1" w:styleId="90">
    <w:name w:val="Char1 Char Char Char"/>
    <w:basedOn w:val="1"/>
    <w:qFormat/>
    <w:uiPriority w:val="0"/>
    <w:pPr>
      <w:widowControl/>
      <w:spacing w:after="160" w:line="240" w:lineRule="exact"/>
      <w:jc w:val="left"/>
    </w:pPr>
  </w:style>
  <w:style w:type="paragraph" w:customStyle="1" w:styleId="91">
    <w:name w:val="Char4"/>
    <w:basedOn w:val="1"/>
    <w:qFormat/>
    <w:uiPriority w:val="0"/>
    <w:rPr>
      <w:rFonts w:ascii="Tahoma" w:hAnsi="Tahoma"/>
    </w:rPr>
  </w:style>
  <w:style w:type="paragraph" w:customStyle="1" w:styleId="92">
    <w:name w:val="Char41"/>
    <w:basedOn w:val="1"/>
    <w:qFormat/>
    <w:uiPriority w:val="0"/>
    <w:rPr>
      <w:rFonts w:ascii="Tahoma" w:hAnsi="Tahoma"/>
    </w:rPr>
  </w:style>
  <w:style w:type="character" w:customStyle="1" w:styleId="93">
    <w:name w:val="def"/>
    <w:basedOn w:val="32"/>
    <w:qFormat/>
    <w:uiPriority w:val="0"/>
  </w:style>
  <w:style w:type="character" w:customStyle="1" w:styleId="94">
    <w:name w:val="HTML 预设格式 Char"/>
    <w:basedOn w:val="32"/>
    <w:link w:val="26"/>
    <w:qFormat/>
    <w:uiPriority w:val="0"/>
    <w:rPr>
      <w:rFonts w:ascii="Lucida Console" w:hAnsi="Lucida Console" w:cs="宋体"/>
      <w:sz w:val="24"/>
      <w:szCs w:val="24"/>
    </w:rPr>
  </w:style>
  <w:style w:type="paragraph" w:customStyle="1" w:styleId="95">
    <w:name w:val="reader-word-layer"/>
    <w:basedOn w:val="1"/>
    <w:qFormat/>
    <w:uiPriority w:val="0"/>
    <w:pPr>
      <w:widowControl/>
      <w:spacing w:before="100" w:beforeAutospacing="1" w:after="100" w:afterAutospacing="1"/>
      <w:jc w:val="left"/>
    </w:pPr>
    <w:rPr>
      <w:rFonts w:ascii="宋体" w:hAnsi="宋体" w:cs="宋体"/>
      <w:kern w:val="0"/>
      <w:szCs w:val="24"/>
    </w:rPr>
  </w:style>
  <w:style w:type="character" w:customStyle="1" w:styleId="96">
    <w:name w:val="纯文本 Char"/>
    <w:basedOn w:val="32"/>
    <w:link w:val="13"/>
    <w:qFormat/>
    <w:uiPriority w:val="0"/>
    <w:rPr>
      <w:rFonts w:ascii="宋体" w:hAnsi="Courier New"/>
      <w:kern w:val="2"/>
      <w:sz w:val="24"/>
    </w:rPr>
  </w:style>
  <w:style w:type="character" w:customStyle="1" w:styleId="97">
    <w:name w:val="批注框文本 Char"/>
    <w:basedOn w:val="32"/>
    <w:link w:val="17"/>
    <w:semiHidden/>
    <w:qFormat/>
    <w:uiPriority w:val="0"/>
    <w:rPr>
      <w:kern w:val="2"/>
      <w:sz w:val="18"/>
      <w:szCs w:val="18"/>
    </w:rPr>
  </w:style>
  <w:style w:type="table" w:customStyle="1" w:styleId="98">
    <w:name w:val="网格型1"/>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tblHeader/>
    </w:trPr>
  </w:style>
  <w:style w:type="character" w:customStyle="1" w:styleId="99">
    <w:name w:val="文档结构图 Char"/>
    <w:basedOn w:val="32"/>
    <w:link w:val="8"/>
    <w:semiHidden/>
    <w:qFormat/>
    <w:uiPriority w:val="0"/>
    <w:rPr>
      <w:kern w:val="2"/>
      <w:sz w:val="24"/>
      <w:shd w:val="clear" w:color="auto" w:fill="000080"/>
    </w:rPr>
  </w:style>
  <w:style w:type="character" w:customStyle="1" w:styleId="100">
    <w:name w:val="无间隔 Char"/>
    <w:link w:val="63"/>
    <w:qFormat/>
    <w:uiPriority w:val="1"/>
    <w:rPr>
      <w:rFonts w:ascii="Calibri" w:hAnsi="Calibri"/>
      <w:sz w:val="24"/>
      <w:szCs w:val="32"/>
      <w:lang w:eastAsia="en-US" w:bidi="en-US"/>
    </w:rPr>
  </w:style>
  <w:style w:type="character" w:customStyle="1" w:styleId="101">
    <w:name w:val="页眉 Char"/>
    <w:link w:val="19"/>
    <w:qFormat/>
    <w:uiPriority w:val="1"/>
    <w:rPr>
      <w:kern w:val="2"/>
      <w:sz w:val="18"/>
      <w:szCs w:val="18"/>
    </w:rPr>
  </w:style>
  <w:style w:type="character" w:customStyle="1" w:styleId="102">
    <w:name w:val="正文首行缩进 Char"/>
    <w:basedOn w:val="70"/>
    <w:link w:val="29"/>
    <w:qFormat/>
    <w:uiPriority w:val="0"/>
    <w:rPr>
      <w:kern w:val="2"/>
      <w:sz w:val="24"/>
      <w:szCs w:val="24"/>
    </w:rPr>
  </w:style>
  <w:style w:type="character" w:customStyle="1" w:styleId="103">
    <w:name w:val="正文文本缩进 Char"/>
    <w:basedOn w:val="32"/>
    <w:link w:val="10"/>
    <w:qFormat/>
    <w:uiPriority w:val="0"/>
    <w:rPr>
      <w:rFonts w:eastAsia="楷体_GB2312"/>
      <w:kern w:val="2"/>
      <w:sz w:val="24"/>
    </w:rPr>
  </w:style>
  <w:style w:type="character" w:customStyle="1" w:styleId="104">
    <w:name w:val="正文文本缩进 2 Char"/>
    <w:basedOn w:val="32"/>
    <w:link w:val="16"/>
    <w:qFormat/>
    <w:uiPriority w:val="0"/>
    <w:rPr>
      <w:kern w:val="2"/>
      <w:sz w:val="24"/>
    </w:rPr>
  </w:style>
  <w:style w:type="character" w:customStyle="1" w:styleId="105">
    <w:name w:val="正文文本缩进 3 Char"/>
    <w:basedOn w:val="32"/>
    <w:link w:val="23"/>
    <w:qFormat/>
    <w:uiPriority w:val="0"/>
    <w:rPr>
      <w:rFonts w:ascii="楷体_GB2312" w:eastAsia="仿宋_GB2312"/>
      <w:kern w:val="2"/>
      <w:sz w:val="24"/>
    </w:rPr>
  </w:style>
  <w:style w:type="paragraph" w:customStyle="1" w:styleId="106">
    <w:name w:val="公示-陈"/>
    <w:next w:val="1"/>
    <w:qFormat/>
    <w:uiPriority w:val="0"/>
    <w:pPr>
      <w:jc w:val="right"/>
    </w:pPr>
    <w:rPr>
      <w:rFonts w:ascii="Times New Roman" w:hAnsi="Times New Roman" w:eastAsia="宋体" w:cs="Times New Roman"/>
      <w:bCs/>
      <w:i/>
      <w:kern w:val="2"/>
      <w:sz w:val="21"/>
      <w:szCs w:val="24"/>
      <w:lang w:val="en-US" w:eastAsia="zh-CN" w:bidi="ar-SA"/>
    </w:rPr>
  </w:style>
  <w:style w:type="paragraph" w:customStyle="1" w:styleId="107">
    <w:name w:val="表格内容-陈"/>
    <w:basedOn w:val="108"/>
    <w:qFormat/>
    <w:uiPriority w:val="0"/>
    <w:pPr>
      <w:spacing w:line="240" w:lineRule="auto"/>
      <w:ind w:firstLine="0" w:firstLineChars="0"/>
      <w:jc w:val="center"/>
      <w:outlineLvl w:val="9"/>
    </w:pPr>
  </w:style>
  <w:style w:type="paragraph" w:customStyle="1" w:styleId="108">
    <w:name w:val="款-陈"/>
    <w:basedOn w:val="1"/>
    <w:qFormat/>
    <w:uiPriority w:val="0"/>
    <w:pPr>
      <w:spacing w:line="360" w:lineRule="auto"/>
      <w:ind w:firstLine="150" w:firstLineChars="150"/>
      <w:outlineLvl w:val="3"/>
    </w:pPr>
    <w:rPr>
      <w:bCs/>
    </w:rPr>
  </w:style>
  <w:style w:type="paragraph" w:customStyle="1" w:styleId="109">
    <w:name w:val="封面标准文稿类别"/>
    <w:qFormat/>
    <w:uiPriority w:val="0"/>
    <w:pPr>
      <w:spacing w:before="440" w:line="400" w:lineRule="exact"/>
      <w:jc w:val="center"/>
    </w:pPr>
    <w:rPr>
      <w:rFonts w:ascii="宋体" w:hAnsi="Times New Roman" w:eastAsia="宋体" w:cs="Times New Roman"/>
      <w:sz w:val="24"/>
      <w:szCs w:val="22"/>
      <w:lang w:val="en-US" w:eastAsia="zh-CN" w:bidi="ar-SA"/>
    </w:rPr>
  </w:style>
  <w:style w:type="paragraph" w:customStyle="1" w:styleId="110">
    <w:name w:val="条文标题1"/>
    <w:basedOn w:val="3"/>
    <w:qFormat/>
    <w:uiPriority w:val="0"/>
    <w:pPr>
      <w:spacing w:before="100" w:after="100"/>
    </w:pPr>
    <w:rPr>
      <w:szCs w:val="30"/>
    </w:rPr>
  </w:style>
</w:styles>
</file>

<file path=word/_rels/document.xml.rels><?xml version="1.0" encoding="UTF-8" standalone="yes"?>
<Relationships xmlns="http://schemas.openxmlformats.org/package/2006/relationships"><Relationship Id="rId99" Type="http://schemas.openxmlformats.org/officeDocument/2006/relationships/image" Target="media/image45.png"/><Relationship Id="rId98" Type="http://schemas.openxmlformats.org/officeDocument/2006/relationships/image" Target="media/image44.png"/><Relationship Id="rId97" Type="http://schemas.openxmlformats.org/officeDocument/2006/relationships/image" Target="media/image43.png"/><Relationship Id="rId96" Type="http://schemas.openxmlformats.org/officeDocument/2006/relationships/image" Target="media/image42.png"/><Relationship Id="rId95" Type="http://schemas.openxmlformats.org/officeDocument/2006/relationships/image" Target="media/image41.png"/><Relationship Id="rId94" Type="http://schemas.openxmlformats.org/officeDocument/2006/relationships/image" Target="media/image40.png"/><Relationship Id="rId93" Type="http://schemas.openxmlformats.org/officeDocument/2006/relationships/image" Target="media/image39.png"/><Relationship Id="rId92" Type="http://schemas.openxmlformats.org/officeDocument/2006/relationships/image" Target="media/image38.png"/><Relationship Id="rId91" Type="http://schemas.openxmlformats.org/officeDocument/2006/relationships/image" Target="media/image37.png"/><Relationship Id="rId90" Type="http://schemas.openxmlformats.org/officeDocument/2006/relationships/image" Target="media/image36.png"/><Relationship Id="rId9" Type="http://schemas.openxmlformats.org/officeDocument/2006/relationships/footer" Target="footer3.xml"/><Relationship Id="rId89" Type="http://schemas.openxmlformats.org/officeDocument/2006/relationships/image" Target="media/image35.png"/><Relationship Id="rId88" Type="http://schemas.openxmlformats.org/officeDocument/2006/relationships/oleObject" Target="embeddings/oleObject35.bin"/><Relationship Id="rId87" Type="http://schemas.openxmlformats.org/officeDocument/2006/relationships/image" Target="media/image34.wmf"/><Relationship Id="rId86" Type="http://schemas.openxmlformats.org/officeDocument/2006/relationships/oleObject" Target="embeddings/oleObject34.bin"/><Relationship Id="rId85" Type="http://schemas.openxmlformats.org/officeDocument/2006/relationships/image" Target="media/image33.wmf"/><Relationship Id="rId84" Type="http://schemas.openxmlformats.org/officeDocument/2006/relationships/oleObject" Target="embeddings/oleObject33.bin"/><Relationship Id="rId83" Type="http://schemas.openxmlformats.org/officeDocument/2006/relationships/image" Target="media/image32.wmf"/><Relationship Id="rId82" Type="http://schemas.openxmlformats.org/officeDocument/2006/relationships/oleObject" Target="embeddings/oleObject32.bin"/><Relationship Id="rId81" Type="http://schemas.openxmlformats.org/officeDocument/2006/relationships/image" Target="media/image31.wmf"/><Relationship Id="rId80" Type="http://schemas.openxmlformats.org/officeDocument/2006/relationships/oleObject" Target="embeddings/oleObject31.bin"/><Relationship Id="rId8" Type="http://schemas.openxmlformats.org/officeDocument/2006/relationships/footer" Target="footer2.xml"/><Relationship Id="rId79" Type="http://schemas.openxmlformats.org/officeDocument/2006/relationships/image" Target="media/image30.wmf"/><Relationship Id="rId78" Type="http://schemas.openxmlformats.org/officeDocument/2006/relationships/oleObject" Target="embeddings/oleObject30.bin"/><Relationship Id="rId77" Type="http://schemas.openxmlformats.org/officeDocument/2006/relationships/image" Target="media/image29.wmf"/><Relationship Id="rId76" Type="http://schemas.openxmlformats.org/officeDocument/2006/relationships/oleObject" Target="embeddings/oleObject29.bin"/><Relationship Id="rId75" Type="http://schemas.openxmlformats.org/officeDocument/2006/relationships/image" Target="media/image28.wmf"/><Relationship Id="rId74" Type="http://schemas.openxmlformats.org/officeDocument/2006/relationships/oleObject" Target="embeddings/oleObject28.bin"/><Relationship Id="rId73" Type="http://schemas.openxmlformats.org/officeDocument/2006/relationships/image" Target="media/image27.wmf"/><Relationship Id="rId72" Type="http://schemas.openxmlformats.org/officeDocument/2006/relationships/oleObject" Target="embeddings/oleObject27.bin"/><Relationship Id="rId71" Type="http://schemas.openxmlformats.org/officeDocument/2006/relationships/image" Target="media/image26.wmf"/><Relationship Id="rId70" Type="http://schemas.openxmlformats.org/officeDocument/2006/relationships/oleObject" Target="embeddings/oleObject26.bin"/><Relationship Id="rId7" Type="http://schemas.openxmlformats.org/officeDocument/2006/relationships/footer" Target="footer1.xml"/><Relationship Id="rId69" Type="http://schemas.openxmlformats.org/officeDocument/2006/relationships/image" Target="media/image25.wmf"/><Relationship Id="rId68" Type="http://schemas.openxmlformats.org/officeDocument/2006/relationships/oleObject" Target="embeddings/oleObject25.bin"/><Relationship Id="rId67" Type="http://schemas.openxmlformats.org/officeDocument/2006/relationships/image" Target="media/image24.wmf"/><Relationship Id="rId66" Type="http://schemas.openxmlformats.org/officeDocument/2006/relationships/oleObject" Target="embeddings/oleObject24.bin"/><Relationship Id="rId65" Type="http://schemas.openxmlformats.org/officeDocument/2006/relationships/image" Target="media/image23.wmf"/><Relationship Id="rId64" Type="http://schemas.openxmlformats.org/officeDocument/2006/relationships/oleObject" Target="embeddings/oleObject23.bin"/><Relationship Id="rId63" Type="http://schemas.openxmlformats.org/officeDocument/2006/relationships/image" Target="media/image22.wmf"/><Relationship Id="rId62" Type="http://schemas.openxmlformats.org/officeDocument/2006/relationships/oleObject" Target="embeddings/oleObject22.bin"/><Relationship Id="rId61" Type="http://schemas.openxmlformats.org/officeDocument/2006/relationships/image" Target="media/image21.wmf"/><Relationship Id="rId60" Type="http://schemas.openxmlformats.org/officeDocument/2006/relationships/oleObject" Target="embeddings/oleObject21.bin"/><Relationship Id="rId6" Type="http://schemas.openxmlformats.org/officeDocument/2006/relationships/header" Target="header2.xml"/><Relationship Id="rId59" Type="http://schemas.openxmlformats.org/officeDocument/2006/relationships/image" Target="media/image20.wmf"/><Relationship Id="rId58" Type="http://schemas.openxmlformats.org/officeDocument/2006/relationships/oleObject" Target="embeddings/oleObject20.bin"/><Relationship Id="rId57" Type="http://schemas.openxmlformats.org/officeDocument/2006/relationships/image" Target="media/image19.wmf"/><Relationship Id="rId56" Type="http://schemas.openxmlformats.org/officeDocument/2006/relationships/oleObject" Target="embeddings/oleObject19.bin"/><Relationship Id="rId55" Type="http://schemas.openxmlformats.org/officeDocument/2006/relationships/image" Target="media/image18.wmf"/><Relationship Id="rId54" Type="http://schemas.openxmlformats.org/officeDocument/2006/relationships/oleObject" Target="embeddings/oleObject18.bin"/><Relationship Id="rId53" Type="http://schemas.openxmlformats.org/officeDocument/2006/relationships/image" Target="media/image17.wmf"/><Relationship Id="rId52" Type="http://schemas.openxmlformats.org/officeDocument/2006/relationships/oleObject" Target="embeddings/oleObject17.bin"/><Relationship Id="rId51" Type="http://schemas.openxmlformats.org/officeDocument/2006/relationships/image" Target="media/image16.wmf"/><Relationship Id="rId50" Type="http://schemas.openxmlformats.org/officeDocument/2006/relationships/oleObject" Target="embeddings/oleObject16.bin"/><Relationship Id="rId5" Type="http://schemas.openxmlformats.org/officeDocument/2006/relationships/header" Target="header1.xml"/><Relationship Id="rId49" Type="http://schemas.openxmlformats.org/officeDocument/2006/relationships/image" Target="media/image15.wmf"/><Relationship Id="rId48" Type="http://schemas.openxmlformats.org/officeDocument/2006/relationships/oleObject" Target="embeddings/oleObject15.bin"/><Relationship Id="rId47" Type="http://schemas.openxmlformats.org/officeDocument/2006/relationships/image" Target="media/image14.wmf"/><Relationship Id="rId46" Type="http://schemas.openxmlformats.org/officeDocument/2006/relationships/oleObject" Target="embeddings/oleObject14.bin"/><Relationship Id="rId45" Type="http://schemas.openxmlformats.org/officeDocument/2006/relationships/image" Target="media/image13.wmf"/><Relationship Id="rId44" Type="http://schemas.openxmlformats.org/officeDocument/2006/relationships/oleObject" Target="embeddings/oleObject13.bin"/><Relationship Id="rId43" Type="http://schemas.openxmlformats.org/officeDocument/2006/relationships/image" Target="media/image12.wmf"/><Relationship Id="rId42" Type="http://schemas.openxmlformats.org/officeDocument/2006/relationships/oleObject" Target="embeddings/oleObject12.bin"/><Relationship Id="rId41" Type="http://schemas.openxmlformats.org/officeDocument/2006/relationships/image" Target="media/image11.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0.wmf"/><Relationship Id="rId38" Type="http://schemas.openxmlformats.org/officeDocument/2006/relationships/oleObject" Target="embeddings/oleObject10.bin"/><Relationship Id="rId376" Type="http://schemas.openxmlformats.org/officeDocument/2006/relationships/fontTable" Target="fontTable.xml"/><Relationship Id="rId375" Type="http://schemas.openxmlformats.org/officeDocument/2006/relationships/customXml" Target="../customXml/item2.xml"/><Relationship Id="rId374" Type="http://schemas.openxmlformats.org/officeDocument/2006/relationships/numbering" Target="numbering.xml"/><Relationship Id="rId373" Type="http://schemas.openxmlformats.org/officeDocument/2006/relationships/customXml" Target="../customXml/item1.xml"/><Relationship Id="rId372" Type="http://schemas.openxmlformats.org/officeDocument/2006/relationships/image" Target="media/image213.png"/><Relationship Id="rId371" Type="http://schemas.openxmlformats.org/officeDocument/2006/relationships/image" Target="media/image212.png"/><Relationship Id="rId370" Type="http://schemas.openxmlformats.org/officeDocument/2006/relationships/image" Target="media/image211.png"/><Relationship Id="rId37" Type="http://schemas.openxmlformats.org/officeDocument/2006/relationships/image" Target="media/image9.wmf"/><Relationship Id="rId369" Type="http://schemas.openxmlformats.org/officeDocument/2006/relationships/image" Target="media/image210.png"/><Relationship Id="rId368" Type="http://schemas.openxmlformats.org/officeDocument/2006/relationships/image" Target="media/image209.png"/><Relationship Id="rId367" Type="http://schemas.openxmlformats.org/officeDocument/2006/relationships/image" Target="media/image208.emf"/><Relationship Id="rId366" Type="http://schemas.openxmlformats.org/officeDocument/2006/relationships/image" Target="media/image207.emf"/><Relationship Id="rId365" Type="http://schemas.openxmlformats.org/officeDocument/2006/relationships/image" Target="media/image206.png"/><Relationship Id="rId364" Type="http://schemas.openxmlformats.org/officeDocument/2006/relationships/image" Target="media/image205.png"/><Relationship Id="rId363" Type="http://schemas.openxmlformats.org/officeDocument/2006/relationships/image" Target="media/image204.png"/><Relationship Id="rId362" Type="http://schemas.openxmlformats.org/officeDocument/2006/relationships/image" Target="media/image203.png"/><Relationship Id="rId361" Type="http://schemas.openxmlformats.org/officeDocument/2006/relationships/image" Target="media/image202.png"/><Relationship Id="rId360" Type="http://schemas.openxmlformats.org/officeDocument/2006/relationships/image" Target="media/image201.png"/><Relationship Id="rId36" Type="http://schemas.openxmlformats.org/officeDocument/2006/relationships/oleObject" Target="embeddings/oleObject9.bin"/><Relationship Id="rId359" Type="http://schemas.openxmlformats.org/officeDocument/2006/relationships/image" Target="media/image200.png"/><Relationship Id="rId358" Type="http://schemas.openxmlformats.org/officeDocument/2006/relationships/image" Target="media/image199.png"/><Relationship Id="rId357" Type="http://schemas.openxmlformats.org/officeDocument/2006/relationships/image" Target="media/image198.png"/><Relationship Id="rId356" Type="http://schemas.openxmlformats.org/officeDocument/2006/relationships/image" Target="media/image197.png"/><Relationship Id="rId355" Type="http://schemas.openxmlformats.org/officeDocument/2006/relationships/image" Target="media/image196.emf"/><Relationship Id="rId354" Type="http://schemas.openxmlformats.org/officeDocument/2006/relationships/image" Target="media/image195.png"/><Relationship Id="rId353" Type="http://schemas.openxmlformats.org/officeDocument/2006/relationships/image" Target="media/image194.png"/><Relationship Id="rId352" Type="http://schemas.openxmlformats.org/officeDocument/2006/relationships/image" Target="media/image193.png"/><Relationship Id="rId351" Type="http://schemas.openxmlformats.org/officeDocument/2006/relationships/image" Target="media/image192.png"/><Relationship Id="rId350" Type="http://schemas.openxmlformats.org/officeDocument/2006/relationships/image" Target="media/image191.png"/><Relationship Id="rId35" Type="http://schemas.openxmlformats.org/officeDocument/2006/relationships/image" Target="media/image8.wmf"/><Relationship Id="rId349" Type="http://schemas.openxmlformats.org/officeDocument/2006/relationships/image" Target="media/image190.png"/><Relationship Id="rId348" Type="http://schemas.openxmlformats.org/officeDocument/2006/relationships/image" Target="media/image189.png"/><Relationship Id="rId347" Type="http://schemas.openxmlformats.org/officeDocument/2006/relationships/image" Target="media/image188.png"/><Relationship Id="rId346" Type="http://schemas.openxmlformats.org/officeDocument/2006/relationships/image" Target="media/image187.png"/><Relationship Id="rId345" Type="http://schemas.openxmlformats.org/officeDocument/2006/relationships/image" Target="media/image186.png"/><Relationship Id="rId344" Type="http://schemas.openxmlformats.org/officeDocument/2006/relationships/image" Target="media/image185.png"/><Relationship Id="rId343" Type="http://schemas.openxmlformats.org/officeDocument/2006/relationships/image" Target="media/image184.wmf"/><Relationship Id="rId342" Type="http://schemas.openxmlformats.org/officeDocument/2006/relationships/oleObject" Target="embeddings/oleObject140.bin"/><Relationship Id="rId341" Type="http://schemas.openxmlformats.org/officeDocument/2006/relationships/image" Target="media/image183.wmf"/><Relationship Id="rId340" Type="http://schemas.openxmlformats.org/officeDocument/2006/relationships/oleObject" Target="embeddings/oleObject139.bin"/><Relationship Id="rId34" Type="http://schemas.openxmlformats.org/officeDocument/2006/relationships/oleObject" Target="embeddings/oleObject8.bin"/><Relationship Id="rId339" Type="http://schemas.openxmlformats.org/officeDocument/2006/relationships/image" Target="media/image182.wmf"/><Relationship Id="rId338" Type="http://schemas.openxmlformats.org/officeDocument/2006/relationships/oleObject" Target="embeddings/oleObject138.bin"/><Relationship Id="rId337" Type="http://schemas.openxmlformats.org/officeDocument/2006/relationships/image" Target="media/image181.wmf"/><Relationship Id="rId336" Type="http://schemas.openxmlformats.org/officeDocument/2006/relationships/oleObject" Target="embeddings/oleObject137.bin"/><Relationship Id="rId335" Type="http://schemas.openxmlformats.org/officeDocument/2006/relationships/oleObject" Target="embeddings/oleObject136.bin"/><Relationship Id="rId334" Type="http://schemas.openxmlformats.org/officeDocument/2006/relationships/image" Target="media/image180.wmf"/><Relationship Id="rId333" Type="http://schemas.openxmlformats.org/officeDocument/2006/relationships/oleObject" Target="embeddings/oleObject135.bin"/><Relationship Id="rId332" Type="http://schemas.openxmlformats.org/officeDocument/2006/relationships/image" Target="media/image179.wmf"/><Relationship Id="rId331" Type="http://schemas.openxmlformats.org/officeDocument/2006/relationships/oleObject" Target="embeddings/oleObject134.bin"/><Relationship Id="rId330" Type="http://schemas.openxmlformats.org/officeDocument/2006/relationships/image" Target="media/image178.wmf"/><Relationship Id="rId33" Type="http://schemas.openxmlformats.org/officeDocument/2006/relationships/image" Target="media/image7.wmf"/><Relationship Id="rId329" Type="http://schemas.openxmlformats.org/officeDocument/2006/relationships/oleObject" Target="embeddings/oleObject133.bin"/><Relationship Id="rId328" Type="http://schemas.openxmlformats.org/officeDocument/2006/relationships/image" Target="media/image177.wmf"/><Relationship Id="rId327" Type="http://schemas.openxmlformats.org/officeDocument/2006/relationships/oleObject" Target="embeddings/oleObject132.bin"/><Relationship Id="rId326" Type="http://schemas.openxmlformats.org/officeDocument/2006/relationships/image" Target="media/image176.wmf"/><Relationship Id="rId325" Type="http://schemas.openxmlformats.org/officeDocument/2006/relationships/oleObject" Target="embeddings/oleObject131.bin"/><Relationship Id="rId324" Type="http://schemas.openxmlformats.org/officeDocument/2006/relationships/image" Target="media/image175.wmf"/><Relationship Id="rId323" Type="http://schemas.openxmlformats.org/officeDocument/2006/relationships/oleObject" Target="embeddings/oleObject130.bin"/><Relationship Id="rId322" Type="http://schemas.openxmlformats.org/officeDocument/2006/relationships/image" Target="media/image174.wmf"/><Relationship Id="rId321" Type="http://schemas.openxmlformats.org/officeDocument/2006/relationships/oleObject" Target="embeddings/oleObject129.bin"/><Relationship Id="rId320" Type="http://schemas.openxmlformats.org/officeDocument/2006/relationships/image" Target="media/image173.wmf"/><Relationship Id="rId32" Type="http://schemas.openxmlformats.org/officeDocument/2006/relationships/oleObject" Target="embeddings/oleObject7.bin"/><Relationship Id="rId319" Type="http://schemas.openxmlformats.org/officeDocument/2006/relationships/oleObject" Target="embeddings/oleObject128.bin"/><Relationship Id="rId318" Type="http://schemas.openxmlformats.org/officeDocument/2006/relationships/image" Target="media/image172.wmf"/><Relationship Id="rId317" Type="http://schemas.openxmlformats.org/officeDocument/2006/relationships/oleObject" Target="embeddings/oleObject127.bin"/><Relationship Id="rId316" Type="http://schemas.openxmlformats.org/officeDocument/2006/relationships/image" Target="media/image171.wmf"/><Relationship Id="rId315" Type="http://schemas.openxmlformats.org/officeDocument/2006/relationships/oleObject" Target="embeddings/oleObject126.bin"/><Relationship Id="rId314" Type="http://schemas.openxmlformats.org/officeDocument/2006/relationships/image" Target="media/image170.wmf"/><Relationship Id="rId313" Type="http://schemas.openxmlformats.org/officeDocument/2006/relationships/oleObject" Target="embeddings/oleObject125.bin"/><Relationship Id="rId312" Type="http://schemas.openxmlformats.org/officeDocument/2006/relationships/image" Target="media/image169.wmf"/><Relationship Id="rId311" Type="http://schemas.openxmlformats.org/officeDocument/2006/relationships/oleObject" Target="embeddings/oleObject124.bin"/><Relationship Id="rId310" Type="http://schemas.openxmlformats.org/officeDocument/2006/relationships/image" Target="media/image168.wmf"/><Relationship Id="rId31" Type="http://schemas.openxmlformats.org/officeDocument/2006/relationships/image" Target="media/image6.wmf"/><Relationship Id="rId309" Type="http://schemas.openxmlformats.org/officeDocument/2006/relationships/oleObject" Target="embeddings/oleObject123.bin"/><Relationship Id="rId308" Type="http://schemas.openxmlformats.org/officeDocument/2006/relationships/image" Target="media/image167.wmf"/><Relationship Id="rId307" Type="http://schemas.openxmlformats.org/officeDocument/2006/relationships/oleObject" Target="embeddings/oleObject122.bin"/><Relationship Id="rId306" Type="http://schemas.openxmlformats.org/officeDocument/2006/relationships/image" Target="media/image166.wmf"/><Relationship Id="rId305" Type="http://schemas.openxmlformats.org/officeDocument/2006/relationships/oleObject" Target="embeddings/oleObject121.bin"/><Relationship Id="rId304" Type="http://schemas.openxmlformats.org/officeDocument/2006/relationships/image" Target="media/image165.wmf"/><Relationship Id="rId303" Type="http://schemas.openxmlformats.org/officeDocument/2006/relationships/oleObject" Target="embeddings/oleObject120.bin"/><Relationship Id="rId302" Type="http://schemas.openxmlformats.org/officeDocument/2006/relationships/image" Target="media/image164.wmf"/><Relationship Id="rId301" Type="http://schemas.openxmlformats.org/officeDocument/2006/relationships/oleObject" Target="embeddings/oleObject119.bin"/><Relationship Id="rId300" Type="http://schemas.openxmlformats.org/officeDocument/2006/relationships/image" Target="media/image163.wmf"/><Relationship Id="rId30" Type="http://schemas.openxmlformats.org/officeDocument/2006/relationships/oleObject" Target="embeddings/oleObject6.bin"/><Relationship Id="rId3" Type="http://schemas.openxmlformats.org/officeDocument/2006/relationships/footnotes" Target="footnotes.xml"/><Relationship Id="rId299" Type="http://schemas.openxmlformats.org/officeDocument/2006/relationships/oleObject" Target="embeddings/oleObject118.bin"/><Relationship Id="rId298" Type="http://schemas.openxmlformats.org/officeDocument/2006/relationships/image" Target="media/image162.wmf"/><Relationship Id="rId297" Type="http://schemas.openxmlformats.org/officeDocument/2006/relationships/oleObject" Target="embeddings/oleObject117.bin"/><Relationship Id="rId296" Type="http://schemas.openxmlformats.org/officeDocument/2006/relationships/image" Target="media/image161.png"/><Relationship Id="rId295" Type="http://schemas.openxmlformats.org/officeDocument/2006/relationships/image" Target="media/image160.png"/><Relationship Id="rId294" Type="http://schemas.openxmlformats.org/officeDocument/2006/relationships/image" Target="media/image159.png"/><Relationship Id="rId293" Type="http://schemas.openxmlformats.org/officeDocument/2006/relationships/image" Target="media/image158.png"/><Relationship Id="rId292" Type="http://schemas.openxmlformats.org/officeDocument/2006/relationships/image" Target="media/image157.png"/><Relationship Id="rId291" Type="http://schemas.openxmlformats.org/officeDocument/2006/relationships/image" Target="media/image156.png"/><Relationship Id="rId290" Type="http://schemas.openxmlformats.org/officeDocument/2006/relationships/image" Target="media/image155.wmf"/><Relationship Id="rId29" Type="http://schemas.openxmlformats.org/officeDocument/2006/relationships/image" Target="media/image5.wmf"/><Relationship Id="rId289" Type="http://schemas.openxmlformats.org/officeDocument/2006/relationships/oleObject" Target="embeddings/oleObject116.bin"/><Relationship Id="rId288" Type="http://schemas.openxmlformats.org/officeDocument/2006/relationships/image" Target="media/image154.wmf"/><Relationship Id="rId287" Type="http://schemas.openxmlformats.org/officeDocument/2006/relationships/oleObject" Target="embeddings/oleObject115.bin"/><Relationship Id="rId286" Type="http://schemas.openxmlformats.org/officeDocument/2006/relationships/image" Target="media/image153.wmf"/><Relationship Id="rId285" Type="http://schemas.openxmlformats.org/officeDocument/2006/relationships/oleObject" Target="embeddings/oleObject114.bin"/><Relationship Id="rId284" Type="http://schemas.openxmlformats.org/officeDocument/2006/relationships/image" Target="media/image152.png"/><Relationship Id="rId283" Type="http://schemas.openxmlformats.org/officeDocument/2006/relationships/image" Target="media/image151.wmf"/><Relationship Id="rId282" Type="http://schemas.openxmlformats.org/officeDocument/2006/relationships/oleObject" Target="embeddings/oleObject113.bin"/><Relationship Id="rId281" Type="http://schemas.openxmlformats.org/officeDocument/2006/relationships/image" Target="media/image150.wmf"/><Relationship Id="rId280" Type="http://schemas.openxmlformats.org/officeDocument/2006/relationships/oleObject" Target="embeddings/oleObject112.bin"/><Relationship Id="rId28" Type="http://schemas.openxmlformats.org/officeDocument/2006/relationships/oleObject" Target="embeddings/oleObject5.bin"/><Relationship Id="rId279" Type="http://schemas.openxmlformats.org/officeDocument/2006/relationships/image" Target="media/image149.wmf"/><Relationship Id="rId278" Type="http://schemas.openxmlformats.org/officeDocument/2006/relationships/oleObject" Target="embeddings/oleObject111.bin"/><Relationship Id="rId277" Type="http://schemas.openxmlformats.org/officeDocument/2006/relationships/image" Target="media/image148.wmf"/><Relationship Id="rId276" Type="http://schemas.openxmlformats.org/officeDocument/2006/relationships/oleObject" Target="embeddings/oleObject110.bin"/><Relationship Id="rId275" Type="http://schemas.openxmlformats.org/officeDocument/2006/relationships/image" Target="media/image147.wmf"/><Relationship Id="rId274" Type="http://schemas.openxmlformats.org/officeDocument/2006/relationships/oleObject" Target="embeddings/oleObject109.bin"/><Relationship Id="rId273" Type="http://schemas.openxmlformats.org/officeDocument/2006/relationships/image" Target="media/image146.wmf"/><Relationship Id="rId272" Type="http://schemas.openxmlformats.org/officeDocument/2006/relationships/oleObject" Target="embeddings/oleObject108.bin"/><Relationship Id="rId271" Type="http://schemas.openxmlformats.org/officeDocument/2006/relationships/image" Target="media/image145.wmf"/><Relationship Id="rId270" Type="http://schemas.openxmlformats.org/officeDocument/2006/relationships/oleObject" Target="embeddings/oleObject107.bin"/><Relationship Id="rId27" Type="http://schemas.openxmlformats.org/officeDocument/2006/relationships/image" Target="media/image4.wmf"/><Relationship Id="rId269" Type="http://schemas.openxmlformats.org/officeDocument/2006/relationships/image" Target="media/image144.wmf"/><Relationship Id="rId268" Type="http://schemas.openxmlformats.org/officeDocument/2006/relationships/oleObject" Target="embeddings/oleObject106.bin"/><Relationship Id="rId267" Type="http://schemas.openxmlformats.org/officeDocument/2006/relationships/image" Target="media/image143.wmf"/><Relationship Id="rId266" Type="http://schemas.openxmlformats.org/officeDocument/2006/relationships/oleObject" Target="embeddings/oleObject105.bin"/><Relationship Id="rId265" Type="http://schemas.openxmlformats.org/officeDocument/2006/relationships/image" Target="media/image142.wmf"/><Relationship Id="rId264" Type="http://schemas.openxmlformats.org/officeDocument/2006/relationships/oleObject" Target="embeddings/oleObject104.bin"/><Relationship Id="rId263" Type="http://schemas.openxmlformats.org/officeDocument/2006/relationships/image" Target="media/image141.wmf"/><Relationship Id="rId262" Type="http://schemas.openxmlformats.org/officeDocument/2006/relationships/oleObject" Target="embeddings/oleObject103.bin"/><Relationship Id="rId261" Type="http://schemas.openxmlformats.org/officeDocument/2006/relationships/image" Target="media/image140.wmf"/><Relationship Id="rId260" Type="http://schemas.openxmlformats.org/officeDocument/2006/relationships/oleObject" Target="embeddings/oleObject102.bin"/><Relationship Id="rId26" Type="http://schemas.openxmlformats.org/officeDocument/2006/relationships/oleObject" Target="embeddings/oleObject4.bin"/><Relationship Id="rId259" Type="http://schemas.openxmlformats.org/officeDocument/2006/relationships/image" Target="media/image139.wmf"/><Relationship Id="rId258" Type="http://schemas.openxmlformats.org/officeDocument/2006/relationships/oleObject" Target="embeddings/oleObject101.bin"/><Relationship Id="rId257" Type="http://schemas.openxmlformats.org/officeDocument/2006/relationships/image" Target="media/image138.wmf"/><Relationship Id="rId256" Type="http://schemas.openxmlformats.org/officeDocument/2006/relationships/oleObject" Target="embeddings/oleObject100.bin"/><Relationship Id="rId255" Type="http://schemas.openxmlformats.org/officeDocument/2006/relationships/image" Target="media/image137.wmf"/><Relationship Id="rId254" Type="http://schemas.openxmlformats.org/officeDocument/2006/relationships/oleObject" Target="embeddings/oleObject99.bin"/><Relationship Id="rId253" Type="http://schemas.openxmlformats.org/officeDocument/2006/relationships/image" Target="media/image136.wmf"/><Relationship Id="rId252" Type="http://schemas.openxmlformats.org/officeDocument/2006/relationships/oleObject" Target="embeddings/oleObject98.bin"/><Relationship Id="rId251" Type="http://schemas.openxmlformats.org/officeDocument/2006/relationships/image" Target="media/image135.wmf"/><Relationship Id="rId250" Type="http://schemas.openxmlformats.org/officeDocument/2006/relationships/oleObject" Target="embeddings/oleObject97.bin"/><Relationship Id="rId25" Type="http://schemas.openxmlformats.org/officeDocument/2006/relationships/image" Target="media/image3.wmf"/><Relationship Id="rId249" Type="http://schemas.openxmlformats.org/officeDocument/2006/relationships/image" Target="media/image134.wmf"/><Relationship Id="rId248" Type="http://schemas.openxmlformats.org/officeDocument/2006/relationships/oleObject" Target="embeddings/oleObject96.bin"/><Relationship Id="rId247" Type="http://schemas.openxmlformats.org/officeDocument/2006/relationships/image" Target="media/image133.wmf"/><Relationship Id="rId246" Type="http://schemas.openxmlformats.org/officeDocument/2006/relationships/oleObject" Target="embeddings/oleObject95.bin"/><Relationship Id="rId245" Type="http://schemas.openxmlformats.org/officeDocument/2006/relationships/image" Target="media/image132.wmf"/><Relationship Id="rId244" Type="http://schemas.openxmlformats.org/officeDocument/2006/relationships/oleObject" Target="embeddings/oleObject94.bin"/><Relationship Id="rId243" Type="http://schemas.openxmlformats.org/officeDocument/2006/relationships/image" Target="media/image131.wmf"/><Relationship Id="rId242" Type="http://schemas.openxmlformats.org/officeDocument/2006/relationships/oleObject" Target="embeddings/oleObject93.bin"/><Relationship Id="rId241" Type="http://schemas.openxmlformats.org/officeDocument/2006/relationships/image" Target="media/image130.wmf"/><Relationship Id="rId240" Type="http://schemas.openxmlformats.org/officeDocument/2006/relationships/oleObject" Target="embeddings/oleObject92.bin"/><Relationship Id="rId24" Type="http://schemas.openxmlformats.org/officeDocument/2006/relationships/oleObject" Target="embeddings/oleObject3.bin"/><Relationship Id="rId239" Type="http://schemas.openxmlformats.org/officeDocument/2006/relationships/image" Target="media/image129.wmf"/><Relationship Id="rId238" Type="http://schemas.openxmlformats.org/officeDocument/2006/relationships/oleObject" Target="embeddings/oleObject91.bin"/><Relationship Id="rId237" Type="http://schemas.openxmlformats.org/officeDocument/2006/relationships/image" Target="media/image128.png"/><Relationship Id="rId236" Type="http://schemas.openxmlformats.org/officeDocument/2006/relationships/image" Target="media/image127.png"/><Relationship Id="rId235" Type="http://schemas.openxmlformats.org/officeDocument/2006/relationships/oleObject" Target="embeddings/oleObject90.bin"/><Relationship Id="rId234" Type="http://schemas.openxmlformats.org/officeDocument/2006/relationships/oleObject" Target="embeddings/oleObject89.bin"/><Relationship Id="rId233" Type="http://schemas.openxmlformats.org/officeDocument/2006/relationships/image" Target="media/image126.wmf"/><Relationship Id="rId232" Type="http://schemas.openxmlformats.org/officeDocument/2006/relationships/oleObject" Target="embeddings/oleObject88.bin"/><Relationship Id="rId231" Type="http://schemas.openxmlformats.org/officeDocument/2006/relationships/image" Target="media/image125.wmf"/><Relationship Id="rId230" Type="http://schemas.openxmlformats.org/officeDocument/2006/relationships/oleObject" Target="embeddings/oleObject87.bin"/><Relationship Id="rId23" Type="http://schemas.openxmlformats.org/officeDocument/2006/relationships/image" Target="media/image2.wmf"/><Relationship Id="rId229" Type="http://schemas.openxmlformats.org/officeDocument/2006/relationships/image" Target="media/image124.wmf"/><Relationship Id="rId228" Type="http://schemas.openxmlformats.org/officeDocument/2006/relationships/oleObject" Target="embeddings/oleObject86.bin"/><Relationship Id="rId227" Type="http://schemas.openxmlformats.org/officeDocument/2006/relationships/image" Target="media/image123.wmf"/><Relationship Id="rId226" Type="http://schemas.openxmlformats.org/officeDocument/2006/relationships/oleObject" Target="embeddings/oleObject85.bin"/><Relationship Id="rId225" Type="http://schemas.openxmlformats.org/officeDocument/2006/relationships/image" Target="media/image122.wmf"/><Relationship Id="rId224" Type="http://schemas.openxmlformats.org/officeDocument/2006/relationships/oleObject" Target="embeddings/oleObject84.bin"/><Relationship Id="rId223" Type="http://schemas.openxmlformats.org/officeDocument/2006/relationships/image" Target="media/image121.wmf"/><Relationship Id="rId222" Type="http://schemas.openxmlformats.org/officeDocument/2006/relationships/oleObject" Target="embeddings/oleObject83.bin"/><Relationship Id="rId221" Type="http://schemas.openxmlformats.org/officeDocument/2006/relationships/image" Target="media/image120.wmf"/><Relationship Id="rId220" Type="http://schemas.openxmlformats.org/officeDocument/2006/relationships/oleObject" Target="embeddings/oleObject82.bin"/><Relationship Id="rId22" Type="http://schemas.openxmlformats.org/officeDocument/2006/relationships/oleObject" Target="embeddings/oleObject2.bin"/><Relationship Id="rId219" Type="http://schemas.openxmlformats.org/officeDocument/2006/relationships/image" Target="media/image119.wmf"/><Relationship Id="rId218" Type="http://schemas.openxmlformats.org/officeDocument/2006/relationships/oleObject" Target="embeddings/oleObject81.bin"/><Relationship Id="rId217" Type="http://schemas.openxmlformats.org/officeDocument/2006/relationships/image" Target="media/image118.png"/><Relationship Id="rId216" Type="http://schemas.openxmlformats.org/officeDocument/2006/relationships/image" Target="media/image117.png"/><Relationship Id="rId215" Type="http://schemas.openxmlformats.org/officeDocument/2006/relationships/image" Target="media/image116.wmf"/><Relationship Id="rId214" Type="http://schemas.openxmlformats.org/officeDocument/2006/relationships/oleObject" Target="embeddings/oleObject80.bin"/><Relationship Id="rId213" Type="http://schemas.openxmlformats.org/officeDocument/2006/relationships/image" Target="media/image115.wmf"/><Relationship Id="rId212" Type="http://schemas.openxmlformats.org/officeDocument/2006/relationships/oleObject" Target="embeddings/oleObject79.bin"/><Relationship Id="rId211" Type="http://schemas.openxmlformats.org/officeDocument/2006/relationships/image" Target="media/image114.wmf"/><Relationship Id="rId210" Type="http://schemas.openxmlformats.org/officeDocument/2006/relationships/oleObject" Target="embeddings/oleObject78.bin"/><Relationship Id="rId21" Type="http://schemas.openxmlformats.org/officeDocument/2006/relationships/image" Target="media/image1.wmf"/><Relationship Id="rId209" Type="http://schemas.openxmlformats.org/officeDocument/2006/relationships/image" Target="media/image113.wmf"/><Relationship Id="rId208" Type="http://schemas.openxmlformats.org/officeDocument/2006/relationships/oleObject" Target="embeddings/oleObject77.bin"/><Relationship Id="rId207" Type="http://schemas.openxmlformats.org/officeDocument/2006/relationships/image" Target="media/image112.wmf"/><Relationship Id="rId206" Type="http://schemas.openxmlformats.org/officeDocument/2006/relationships/oleObject" Target="embeddings/oleObject76.bin"/><Relationship Id="rId205" Type="http://schemas.openxmlformats.org/officeDocument/2006/relationships/oleObject" Target="embeddings/oleObject75.bin"/><Relationship Id="rId204" Type="http://schemas.openxmlformats.org/officeDocument/2006/relationships/image" Target="media/image111.wmf"/><Relationship Id="rId203" Type="http://schemas.openxmlformats.org/officeDocument/2006/relationships/oleObject" Target="embeddings/oleObject74.bin"/><Relationship Id="rId202" Type="http://schemas.openxmlformats.org/officeDocument/2006/relationships/image" Target="media/image110.wmf"/><Relationship Id="rId201" Type="http://schemas.openxmlformats.org/officeDocument/2006/relationships/oleObject" Target="embeddings/oleObject73.bin"/><Relationship Id="rId200" Type="http://schemas.openxmlformats.org/officeDocument/2006/relationships/image" Target="media/image109.wmf"/><Relationship Id="rId20" Type="http://schemas.openxmlformats.org/officeDocument/2006/relationships/oleObject" Target="embeddings/oleObject1.bin"/><Relationship Id="rId2" Type="http://schemas.openxmlformats.org/officeDocument/2006/relationships/settings" Target="settings.xml"/><Relationship Id="rId199" Type="http://schemas.openxmlformats.org/officeDocument/2006/relationships/oleObject" Target="embeddings/oleObject72.bin"/><Relationship Id="rId198" Type="http://schemas.openxmlformats.org/officeDocument/2006/relationships/image" Target="media/image108.wmf"/><Relationship Id="rId197" Type="http://schemas.openxmlformats.org/officeDocument/2006/relationships/oleObject" Target="embeddings/oleObject71.bin"/><Relationship Id="rId196" Type="http://schemas.openxmlformats.org/officeDocument/2006/relationships/image" Target="media/image107.wmf"/><Relationship Id="rId195" Type="http://schemas.openxmlformats.org/officeDocument/2006/relationships/oleObject" Target="embeddings/oleObject70.bin"/><Relationship Id="rId194" Type="http://schemas.openxmlformats.org/officeDocument/2006/relationships/image" Target="media/image106.wmf"/><Relationship Id="rId193" Type="http://schemas.openxmlformats.org/officeDocument/2006/relationships/oleObject" Target="embeddings/oleObject69.bin"/><Relationship Id="rId192" Type="http://schemas.openxmlformats.org/officeDocument/2006/relationships/image" Target="media/image105.wmf"/><Relationship Id="rId191" Type="http://schemas.openxmlformats.org/officeDocument/2006/relationships/oleObject" Target="embeddings/oleObject68.bin"/><Relationship Id="rId190" Type="http://schemas.openxmlformats.org/officeDocument/2006/relationships/image" Target="media/image104.wmf"/><Relationship Id="rId19" Type="http://schemas.openxmlformats.org/officeDocument/2006/relationships/theme" Target="theme/theme1.xml"/><Relationship Id="rId189" Type="http://schemas.openxmlformats.org/officeDocument/2006/relationships/oleObject" Target="embeddings/oleObject67.bin"/><Relationship Id="rId188" Type="http://schemas.openxmlformats.org/officeDocument/2006/relationships/image" Target="media/image103.wmf"/><Relationship Id="rId187" Type="http://schemas.openxmlformats.org/officeDocument/2006/relationships/oleObject" Target="embeddings/oleObject66.bin"/><Relationship Id="rId186" Type="http://schemas.openxmlformats.org/officeDocument/2006/relationships/image" Target="media/image102.wmf"/><Relationship Id="rId185" Type="http://schemas.openxmlformats.org/officeDocument/2006/relationships/oleObject" Target="embeddings/oleObject65.bin"/><Relationship Id="rId184" Type="http://schemas.openxmlformats.org/officeDocument/2006/relationships/image" Target="media/image101.wmf"/><Relationship Id="rId183" Type="http://schemas.openxmlformats.org/officeDocument/2006/relationships/oleObject" Target="embeddings/oleObject64.bin"/><Relationship Id="rId182" Type="http://schemas.openxmlformats.org/officeDocument/2006/relationships/image" Target="media/image100.wmf"/><Relationship Id="rId181" Type="http://schemas.openxmlformats.org/officeDocument/2006/relationships/oleObject" Target="embeddings/oleObject63.bin"/><Relationship Id="rId180" Type="http://schemas.openxmlformats.org/officeDocument/2006/relationships/image" Target="media/image99.wmf"/><Relationship Id="rId18" Type="http://schemas.openxmlformats.org/officeDocument/2006/relationships/footer" Target="footer12.xml"/><Relationship Id="rId179" Type="http://schemas.openxmlformats.org/officeDocument/2006/relationships/oleObject" Target="embeddings/oleObject62.bin"/><Relationship Id="rId178" Type="http://schemas.openxmlformats.org/officeDocument/2006/relationships/image" Target="media/image98.wmf"/><Relationship Id="rId177" Type="http://schemas.openxmlformats.org/officeDocument/2006/relationships/oleObject" Target="embeddings/oleObject61.bin"/><Relationship Id="rId176" Type="http://schemas.openxmlformats.org/officeDocument/2006/relationships/image" Target="media/image97.wmf"/><Relationship Id="rId175" Type="http://schemas.openxmlformats.org/officeDocument/2006/relationships/oleObject" Target="embeddings/oleObject60.bin"/><Relationship Id="rId174" Type="http://schemas.openxmlformats.org/officeDocument/2006/relationships/image" Target="media/image96.wmf"/><Relationship Id="rId173" Type="http://schemas.openxmlformats.org/officeDocument/2006/relationships/oleObject" Target="embeddings/oleObject59.bin"/><Relationship Id="rId172" Type="http://schemas.openxmlformats.org/officeDocument/2006/relationships/image" Target="media/image95.wmf"/><Relationship Id="rId171" Type="http://schemas.openxmlformats.org/officeDocument/2006/relationships/oleObject" Target="embeddings/oleObject58.bin"/><Relationship Id="rId170" Type="http://schemas.openxmlformats.org/officeDocument/2006/relationships/image" Target="media/image94.wmf"/><Relationship Id="rId17" Type="http://schemas.openxmlformats.org/officeDocument/2006/relationships/footer" Target="footer11.xml"/><Relationship Id="rId169" Type="http://schemas.openxmlformats.org/officeDocument/2006/relationships/oleObject" Target="embeddings/oleObject57.bin"/><Relationship Id="rId168" Type="http://schemas.openxmlformats.org/officeDocument/2006/relationships/image" Target="media/image93.png"/><Relationship Id="rId167" Type="http://schemas.openxmlformats.org/officeDocument/2006/relationships/image" Target="media/image92.png"/><Relationship Id="rId166" Type="http://schemas.openxmlformats.org/officeDocument/2006/relationships/image" Target="media/image91.png"/><Relationship Id="rId165" Type="http://schemas.openxmlformats.org/officeDocument/2006/relationships/image" Target="media/image90.png"/><Relationship Id="rId164" Type="http://schemas.openxmlformats.org/officeDocument/2006/relationships/image" Target="media/image89.png"/><Relationship Id="rId163" Type="http://schemas.openxmlformats.org/officeDocument/2006/relationships/image" Target="media/image88.png"/><Relationship Id="rId162" Type="http://schemas.openxmlformats.org/officeDocument/2006/relationships/image" Target="media/image87.png"/><Relationship Id="rId161" Type="http://schemas.openxmlformats.org/officeDocument/2006/relationships/image" Target="media/image86.png"/><Relationship Id="rId160" Type="http://schemas.openxmlformats.org/officeDocument/2006/relationships/image" Target="media/image85.png"/><Relationship Id="rId16" Type="http://schemas.openxmlformats.org/officeDocument/2006/relationships/footer" Target="footer10.xml"/><Relationship Id="rId159" Type="http://schemas.openxmlformats.org/officeDocument/2006/relationships/image" Target="media/image84.png"/><Relationship Id="rId158" Type="http://schemas.openxmlformats.org/officeDocument/2006/relationships/image" Target="media/image83.png"/><Relationship Id="rId157" Type="http://schemas.openxmlformats.org/officeDocument/2006/relationships/image" Target="media/image82.png"/><Relationship Id="rId156" Type="http://schemas.openxmlformats.org/officeDocument/2006/relationships/image" Target="media/image81.png"/><Relationship Id="rId155" Type="http://schemas.openxmlformats.org/officeDocument/2006/relationships/image" Target="media/image80.png"/><Relationship Id="rId154" Type="http://schemas.openxmlformats.org/officeDocument/2006/relationships/image" Target="media/image79.png"/><Relationship Id="rId153" Type="http://schemas.openxmlformats.org/officeDocument/2006/relationships/image" Target="media/image78.png"/><Relationship Id="rId152" Type="http://schemas.openxmlformats.org/officeDocument/2006/relationships/image" Target="media/image77.png"/><Relationship Id="rId151" Type="http://schemas.openxmlformats.org/officeDocument/2006/relationships/image" Target="media/image76.wmf"/><Relationship Id="rId150" Type="http://schemas.openxmlformats.org/officeDocument/2006/relationships/oleObject" Target="embeddings/oleObject56.bin"/><Relationship Id="rId15" Type="http://schemas.openxmlformats.org/officeDocument/2006/relationships/footer" Target="footer9.xml"/><Relationship Id="rId149" Type="http://schemas.openxmlformats.org/officeDocument/2006/relationships/image" Target="media/image75.wmf"/><Relationship Id="rId148" Type="http://schemas.openxmlformats.org/officeDocument/2006/relationships/oleObject" Target="embeddings/oleObject55.bin"/><Relationship Id="rId147" Type="http://schemas.openxmlformats.org/officeDocument/2006/relationships/image" Target="media/image74.wmf"/><Relationship Id="rId146" Type="http://schemas.openxmlformats.org/officeDocument/2006/relationships/oleObject" Target="embeddings/oleObject54.bin"/><Relationship Id="rId145" Type="http://schemas.openxmlformats.org/officeDocument/2006/relationships/image" Target="media/image73.wmf"/><Relationship Id="rId144" Type="http://schemas.openxmlformats.org/officeDocument/2006/relationships/oleObject" Target="embeddings/oleObject53.bin"/><Relationship Id="rId143" Type="http://schemas.openxmlformats.org/officeDocument/2006/relationships/image" Target="media/image72.wmf"/><Relationship Id="rId142" Type="http://schemas.openxmlformats.org/officeDocument/2006/relationships/oleObject" Target="embeddings/oleObject52.bin"/><Relationship Id="rId141" Type="http://schemas.openxmlformats.org/officeDocument/2006/relationships/image" Target="media/image71.wmf"/><Relationship Id="rId140" Type="http://schemas.openxmlformats.org/officeDocument/2006/relationships/oleObject" Target="embeddings/oleObject51.bin"/><Relationship Id="rId14" Type="http://schemas.openxmlformats.org/officeDocument/2006/relationships/footer" Target="footer8.xml"/><Relationship Id="rId139" Type="http://schemas.openxmlformats.org/officeDocument/2006/relationships/image" Target="media/image70.wmf"/><Relationship Id="rId138" Type="http://schemas.openxmlformats.org/officeDocument/2006/relationships/oleObject" Target="embeddings/oleObject50.bin"/><Relationship Id="rId137" Type="http://schemas.openxmlformats.org/officeDocument/2006/relationships/image" Target="media/image69.wmf"/><Relationship Id="rId136" Type="http://schemas.openxmlformats.org/officeDocument/2006/relationships/oleObject" Target="embeddings/oleObject49.bin"/><Relationship Id="rId135" Type="http://schemas.openxmlformats.org/officeDocument/2006/relationships/image" Target="media/image68.wmf"/><Relationship Id="rId134" Type="http://schemas.openxmlformats.org/officeDocument/2006/relationships/oleObject" Target="embeddings/oleObject48.bin"/><Relationship Id="rId133" Type="http://schemas.openxmlformats.org/officeDocument/2006/relationships/image" Target="media/image67.wmf"/><Relationship Id="rId132" Type="http://schemas.openxmlformats.org/officeDocument/2006/relationships/oleObject" Target="embeddings/oleObject47.bin"/><Relationship Id="rId131" Type="http://schemas.openxmlformats.org/officeDocument/2006/relationships/image" Target="media/image66.wmf"/><Relationship Id="rId130" Type="http://schemas.openxmlformats.org/officeDocument/2006/relationships/oleObject" Target="embeddings/oleObject46.bin"/><Relationship Id="rId13" Type="http://schemas.openxmlformats.org/officeDocument/2006/relationships/footer" Target="footer7.xml"/><Relationship Id="rId129" Type="http://schemas.openxmlformats.org/officeDocument/2006/relationships/image" Target="media/image65.wmf"/><Relationship Id="rId128" Type="http://schemas.openxmlformats.org/officeDocument/2006/relationships/oleObject" Target="embeddings/oleObject45.bin"/><Relationship Id="rId127" Type="http://schemas.openxmlformats.org/officeDocument/2006/relationships/image" Target="media/image64.wmf"/><Relationship Id="rId126" Type="http://schemas.openxmlformats.org/officeDocument/2006/relationships/oleObject" Target="embeddings/oleObject44.bin"/><Relationship Id="rId125" Type="http://schemas.openxmlformats.org/officeDocument/2006/relationships/image" Target="media/image63.wmf"/><Relationship Id="rId124" Type="http://schemas.openxmlformats.org/officeDocument/2006/relationships/oleObject" Target="embeddings/oleObject43.bin"/><Relationship Id="rId123" Type="http://schemas.openxmlformats.org/officeDocument/2006/relationships/image" Target="media/image62.png"/><Relationship Id="rId122" Type="http://schemas.openxmlformats.org/officeDocument/2006/relationships/image" Target="media/image61.wmf"/><Relationship Id="rId121" Type="http://schemas.openxmlformats.org/officeDocument/2006/relationships/oleObject" Target="embeddings/oleObject42.bin"/><Relationship Id="rId120" Type="http://schemas.openxmlformats.org/officeDocument/2006/relationships/image" Target="media/image60.wmf"/><Relationship Id="rId12" Type="http://schemas.openxmlformats.org/officeDocument/2006/relationships/footer" Target="footer6.xml"/><Relationship Id="rId119" Type="http://schemas.openxmlformats.org/officeDocument/2006/relationships/oleObject" Target="embeddings/oleObject41.bin"/><Relationship Id="rId118" Type="http://schemas.openxmlformats.org/officeDocument/2006/relationships/image" Target="media/image59.wmf"/><Relationship Id="rId117" Type="http://schemas.openxmlformats.org/officeDocument/2006/relationships/oleObject" Target="embeddings/oleObject40.bin"/><Relationship Id="rId116" Type="http://schemas.openxmlformats.org/officeDocument/2006/relationships/image" Target="media/image58.wmf"/><Relationship Id="rId115" Type="http://schemas.openxmlformats.org/officeDocument/2006/relationships/oleObject" Target="embeddings/oleObject39.bin"/><Relationship Id="rId114" Type="http://schemas.openxmlformats.org/officeDocument/2006/relationships/image" Target="media/image57.wmf"/><Relationship Id="rId113" Type="http://schemas.openxmlformats.org/officeDocument/2006/relationships/oleObject" Target="embeddings/oleObject38.bin"/><Relationship Id="rId112" Type="http://schemas.openxmlformats.org/officeDocument/2006/relationships/image" Target="media/image56.wmf"/><Relationship Id="rId111" Type="http://schemas.openxmlformats.org/officeDocument/2006/relationships/oleObject" Target="embeddings/oleObject37.bin"/><Relationship Id="rId110" Type="http://schemas.openxmlformats.org/officeDocument/2006/relationships/image" Target="media/image55.png"/><Relationship Id="rId11" Type="http://schemas.openxmlformats.org/officeDocument/2006/relationships/footer" Target="footer5.xml"/><Relationship Id="rId109" Type="http://schemas.openxmlformats.org/officeDocument/2006/relationships/image" Target="media/image54.png"/><Relationship Id="rId108" Type="http://schemas.openxmlformats.org/officeDocument/2006/relationships/image" Target="media/image53.png"/><Relationship Id="rId107" Type="http://schemas.openxmlformats.org/officeDocument/2006/relationships/image" Target="media/image52.png"/><Relationship Id="rId106" Type="http://schemas.openxmlformats.org/officeDocument/2006/relationships/image" Target="media/image51.png"/><Relationship Id="rId105" Type="http://schemas.openxmlformats.org/officeDocument/2006/relationships/image" Target="media/image50.png"/><Relationship Id="rId104" Type="http://schemas.openxmlformats.org/officeDocument/2006/relationships/image" Target="media/image49.png"/><Relationship Id="rId103" Type="http://schemas.openxmlformats.org/officeDocument/2006/relationships/image" Target="media/image48.wmf"/><Relationship Id="rId102" Type="http://schemas.openxmlformats.org/officeDocument/2006/relationships/oleObject" Target="embeddings/oleObject36.bin"/><Relationship Id="rId101" Type="http://schemas.openxmlformats.org/officeDocument/2006/relationships/image" Target="media/image47.png"/><Relationship Id="rId100" Type="http://schemas.openxmlformats.org/officeDocument/2006/relationships/image" Target="media/image46.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1D0D0E-5EA5-440C-9D9A-5417B145BA8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89</Pages>
  <Words>8260</Words>
  <Characters>9694</Characters>
  <Lines>415</Lines>
  <Paragraphs>116</Paragraphs>
  <TotalTime>2</TotalTime>
  <ScaleCrop>false</ScaleCrop>
  <LinksUpToDate>false</LinksUpToDate>
  <CharactersWithSpaces>10045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2017-07-12T02:07:00Z</dcterms:created>
  <dc:creator>zap</dc:creator>
  <cp:lastModifiedBy>WPS_431936151</cp:lastModifiedBy>
  <cp:lastPrinted>2020-09-10T06:08:00Z</cp:lastPrinted>
  <dcterms:modified xsi:type="dcterms:W3CDTF">2025-04-14T01:50:13Z</dcterms:modified>
  <dc:title>《高强钢筋在混凝土结构中应用技术导则》</dc:title>
  <cp:revision>2079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KSOProductBuildVer">
    <vt:lpwstr>2052-12.1.0.20784</vt:lpwstr>
  </property>
  <property fmtid="{D5CDD505-2E9C-101B-9397-08002B2CF9AE}" pid="5" name="MTWinEqns">
    <vt:bool>true</vt:bool>
  </property>
  <property fmtid="{D5CDD505-2E9C-101B-9397-08002B2CF9AE}" pid="6" name="ICV">
    <vt:lpwstr>BFE34E8B30DA49B0A29657EC24BC1101_12</vt:lpwstr>
  </property>
  <property fmtid="{D5CDD505-2E9C-101B-9397-08002B2CF9AE}" pid="7" name="KSOTemplateDocerSaveRecord">
    <vt:lpwstr>eyJoZGlkIjoiMDIwZDIwM2Y0Zjc1M2M0YzRiNjA1MDZkZGQ0M2FmOTEiLCJ1c2VySWQiOiI0MzE5MzYxNTEifQ==</vt:lpwstr>
  </property>
</Properties>
</file>